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2025-06-13</w:t>
      </w:r>
      <w:r>
        <w:rPr/>
        <w:t>，</w:t>
      </w:r>
      <w:r>
        <w:rPr/>
        <w:t xml:space="preserve">10:20 </w:t>
      </w:r>
      <w:r>
        <w:rPr/>
        <w:t>栗丽主治医师查房记录</w:t>
      </w:r>
    </w:p>
    <w:p>
      <w:r>
        <w:rPr/>
        <w:t xml:space="preserve">    人员发热无明显胸闷胸痛、咳血等不适神志清，精神软，双侧瞳孔等大等圆，直径约3mm，对光反射灵敏，巩膜无黄染，结膜无苍白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(2025-06-12 08:59)行下腔静脉彩超检查检查提示：1. 下腔静脉超声未见明显异常；2. 双下肢动脉硬化伴多发斑块形成；3. 左下肢肌间静脉血栓形成。1.慢性肾脏病5期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9.双侧颈动脉硬化伴多发斑块形成今栗丽主治医师查房示：患者心脏偏大、心功能低下、BNP升高，建议停厄贝沙坦、氨氯地平 口服，予沙库巴曲缬沙坦 100mg 一日二次 口服 呋塞米 20mg一日一次 口服，24小时出入量维持在负平衡300-500ml，观察血压、心率、电解质、肾功能，随诊。</w:t>
      </w:r>
    </w:p>
    <w:p/>
    <w:p/>
    <w:p>
      <w:r>
        <w:rPr/>
        <w:t>2025年6月13日10时21分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