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203" w:rsidRPr="00A1714C" w:rsidRDefault="0061728A" w:rsidP="0010672F">
      <w:pPr>
        <w:jc w:val="center"/>
        <w:rPr>
          <w:rFonts w:ascii="黑体" w:eastAsia="黑体" w:hAnsi="黑体" w:cs="黑体"/>
          <w:b/>
          <w:color w:val="000000" w:themeColor="text1"/>
          <w:sz w:val="32"/>
          <w:szCs w:val="32"/>
        </w:rPr>
      </w:pPr>
      <w:r>
        <w:rPr>
          <w:rFonts w:ascii="黑体" w:eastAsia="黑体" w:hAnsi="黑体" w:cs="黑体"/>
          <w:b/>
          <w:color w:val="000000" w:themeColor="text1"/>
          <w:sz w:val="32"/>
          <w:szCs w:val="32"/>
        </w:rPr>
        <w:t>广发睿铭两年持有期混合</w:t>
      </w:r>
      <w:r w:rsidR="0010672F" w:rsidRPr="00A1714C">
        <w:rPr>
          <w:rFonts w:ascii="黑体" w:eastAsia="黑体" w:hAnsi="黑体" w:cs="黑体"/>
          <w:b/>
          <w:color w:val="000000" w:themeColor="text1"/>
          <w:sz w:val="32"/>
          <w:szCs w:val="32"/>
        </w:rPr>
        <w:t>基金</w:t>
      </w:r>
      <w:r w:rsidR="00CE2E03">
        <w:rPr>
          <w:rFonts w:ascii="黑体" w:eastAsia="黑体" w:hAnsi="黑体" w:cs="黑体" w:hint="eastAsia"/>
          <w:b/>
          <w:color w:val="000000" w:themeColor="text1"/>
          <w:sz w:val="32"/>
          <w:szCs w:val="32"/>
        </w:rPr>
        <w:t>十问十答</w:t>
      </w:r>
    </w:p>
    <w:p w:rsidR="00597B39" w:rsidRPr="009713C1" w:rsidRDefault="00597B39" w:rsidP="009713C1">
      <w:pPr>
        <w:jc w:val="center"/>
        <w:rPr>
          <w:b/>
          <w:sz w:val="28"/>
          <w:szCs w:val="28"/>
        </w:rPr>
      </w:pPr>
    </w:p>
    <w:sdt>
      <w:sdtPr>
        <w:rPr>
          <w:rFonts w:asciiTheme="minorHAnsi" w:eastAsiaTheme="minorEastAsia" w:hAnsiTheme="minorHAnsi" w:cstheme="minorBidi"/>
          <w:color w:val="auto"/>
          <w:kern w:val="2"/>
          <w:sz w:val="21"/>
          <w:szCs w:val="22"/>
          <w:lang w:val="zh-CN"/>
        </w:rPr>
        <w:id w:val="1084888252"/>
        <w:docPartObj>
          <w:docPartGallery w:val="Table of Contents"/>
          <w:docPartUnique/>
        </w:docPartObj>
      </w:sdtPr>
      <w:sdtEndPr>
        <w:rPr>
          <w:bCs/>
          <w:sz w:val="24"/>
          <w:szCs w:val="24"/>
        </w:rPr>
      </w:sdtEndPr>
      <w:sdtContent>
        <w:p w:rsidR="00597B39" w:rsidRPr="00DB69C1" w:rsidRDefault="00597B39" w:rsidP="0003350E">
          <w:pPr>
            <w:pStyle w:val="TOC"/>
            <w:spacing w:line="360" w:lineRule="auto"/>
            <w:ind w:firstLineChars="1800" w:firstLine="3780"/>
          </w:pPr>
          <w:r w:rsidRPr="00DB69C1">
            <w:rPr>
              <w:lang w:val="zh-CN"/>
            </w:rPr>
            <w:t>目</w:t>
          </w:r>
          <w:r w:rsidRPr="00DB69C1">
            <w:rPr>
              <w:rFonts w:hint="eastAsia"/>
              <w:lang w:val="zh-CN"/>
            </w:rPr>
            <w:t xml:space="preserve"> </w:t>
          </w:r>
          <w:r w:rsidRPr="00DB69C1">
            <w:rPr>
              <w:lang w:val="zh-CN"/>
            </w:rPr>
            <w:t xml:space="preserve"> </w:t>
          </w:r>
          <w:r w:rsidRPr="00DB69C1">
            <w:rPr>
              <w:lang w:val="zh-CN"/>
            </w:rPr>
            <w:t>录</w:t>
          </w:r>
        </w:p>
        <w:p w:rsidR="00B86AD4" w:rsidRPr="00F2582C" w:rsidRDefault="00597B39" w:rsidP="00B86AD4">
          <w:pPr>
            <w:pStyle w:val="10"/>
            <w:spacing w:line="360" w:lineRule="auto"/>
            <w:rPr>
              <w:noProof/>
              <w:sz w:val="24"/>
              <w:szCs w:val="24"/>
            </w:rPr>
          </w:pPr>
          <w:r w:rsidRPr="00B86AD4">
            <w:rPr>
              <w:bCs/>
              <w:sz w:val="24"/>
              <w:szCs w:val="24"/>
              <w:lang w:val="zh-CN"/>
            </w:rPr>
            <w:fldChar w:fldCharType="begin"/>
          </w:r>
          <w:r w:rsidRPr="00B86AD4">
            <w:rPr>
              <w:bCs/>
              <w:sz w:val="24"/>
              <w:szCs w:val="24"/>
              <w:lang w:val="zh-CN"/>
            </w:rPr>
            <w:instrText xml:space="preserve"> TOC \o "1-3" \h \z \u </w:instrText>
          </w:r>
          <w:r w:rsidRPr="00B86AD4">
            <w:rPr>
              <w:bCs/>
              <w:sz w:val="24"/>
              <w:szCs w:val="24"/>
              <w:lang w:val="zh-CN"/>
            </w:rPr>
            <w:fldChar w:fldCharType="separate"/>
          </w:r>
          <w:hyperlink w:anchor="_Toc66712992" w:history="1">
            <w:r w:rsidR="00B86AD4" w:rsidRPr="00F2582C">
              <w:rPr>
                <w:rStyle w:val="a8"/>
                <w:rFonts w:asciiTheme="minorEastAsia" w:hAnsiTheme="minorEastAsia" w:hint="eastAsia"/>
                <w:noProof/>
                <w:sz w:val="24"/>
                <w:szCs w:val="24"/>
              </w:rPr>
              <w:t>1、</w:t>
            </w:r>
            <w:r w:rsidR="00B86AD4" w:rsidRPr="00F2582C">
              <w:rPr>
                <w:noProof/>
                <w:sz w:val="24"/>
                <w:szCs w:val="24"/>
              </w:rPr>
              <w:tab/>
            </w:r>
            <w:r w:rsidR="00B86AD4" w:rsidRPr="00F2582C">
              <w:rPr>
                <w:rStyle w:val="a8"/>
                <w:rFonts w:asciiTheme="minorEastAsia" w:hAnsiTheme="minorEastAsia" w:hint="eastAsia"/>
                <w:noProof/>
                <w:sz w:val="24"/>
                <w:szCs w:val="24"/>
              </w:rPr>
              <w:t>请问广发睿铭两年持有期混合基金是一只什么类型的基金？</w:t>
            </w:r>
            <w:r w:rsidR="00B86AD4" w:rsidRPr="00F2582C">
              <w:rPr>
                <w:noProof/>
                <w:webHidden/>
                <w:sz w:val="24"/>
                <w:szCs w:val="24"/>
              </w:rPr>
              <w:tab/>
            </w:r>
            <w:r w:rsidR="00B86AD4" w:rsidRPr="00F2582C">
              <w:rPr>
                <w:noProof/>
                <w:webHidden/>
                <w:sz w:val="24"/>
                <w:szCs w:val="24"/>
              </w:rPr>
              <w:fldChar w:fldCharType="begin"/>
            </w:r>
            <w:r w:rsidR="00B86AD4" w:rsidRPr="00F2582C">
              <w:rPr>
                <w:noProof/>
                <w:webHidden/>
                <w:sz w:val="24"/>
                <w:szCs w:val="24"/>
              </w:rPr>
              <w:instrText xml:space="preserve"> PAGEREF _Toc66712992 \h </w:instrText>
            </w:r>
            <w:r w:rsidR="00B86AD4" w:rsidRPr="00F2582C">
              <w:rPr>
                <w:noProof/>
                <w:webHidden/>
                <w:sz w:val="24"/>
                <w:szCs w:val="24"/>
              </w:rPr>
            </w:r>
            <w:r w:rsidR="00B86AD4" w:rsidRPr="00F2582C">
              <w:rPr>
                <w:noProof/>
                <w:webHidden/>
                <w:sz w:val="24"/>
                <w:szCs w:val="24"/>
              </w:rPr>
              <w:fldChar w:fldCharType="separate"/>
            </w:r>
            <w:r w:rsidR="00B86AD4" w:rsidRPr="00F2582C">
              <w:rPr>
                <w:noProof/>
                <w:webHidden/>
                <w:sz w:val="24"/>
                <w:szCs w:val="24"/>
              </w:rPr>
              <w:t>1</w:t>
            </w:r>
            <w:r w:rsidR="00B86AD4" w:rsidRPr="00F2582C">
              <w:rPr>
                <w:noProof/>
                <w:webHidden/>
                <w:sz w:val="24"/>
                <w:szCs w:val="24"/>
              </w:rPr>
              <w:fldChar w:fldCharType="end"/>
            </w:r>
          </w:hyperlink>
        </w:p>
        <w:p w:rsidR="00B86AD4" w:rsidRPr="00F2582C" w:rsidRDefault="003F2E91" w:rsidP="00B86AD4">
          <w:pPr>
            <w:pStyle w:val="10"/>
            <w:spacing w:line="360" w:lineRule="auto"/>
            <w:rPr>
              <w:noProof/>
              <w:sz w:val="24"/>
              <w:szCs w:val="24"/>
            </w:rPr>
          </w:pPr>
          <w:hyperlink w:anchor="_Toc66712993" w:history="1">
            <w:r w:rsidR="00B86AD4" w:rsidRPr="00F2582C">
              <w:rPr>
                <w:rStyle w:val="a8"/>
                <w:rFonts w:asciiTheme="minorEastAsia" w:hAnsiTheme="minorEastAsia" w:hint="eastAsia"/>
                <w:noProof/>
                <w:sz w:val="24"/>
                <w:szCs w:val="24"/>
              </w:rPr>
              <w:t>2、</w:t>
            </w:r>
            <w:r w:rsidR="00B86AD4" w:rsidRPr="00F2582C">
              <w:rPr>
                <w:noProof/>
                <w:sz w:val="24"/>
                <w:szCs w:val="24"/>
              </w:rPr>
              <w:tab/>
            </w:r>
            <w:r w:rsidR="00B86AD4" w:rsidRPr="00F2582C">
              <w:rPr>
                <w:rStyle w:val="a8"/>
                <w:rFonts w:asciiTheme="minorEastAsia" w:hAnsiTheme="minorEastAsia" w:hint="eastAsia"/>
                <w:noProof/>
                <w:sz w:val="24"/>
                <w:szCs w:val="24"/>
              </w:rPr>
              <w:t>广发睿铭两年持有期混合的封闭期多久？建仓策略是什么？产品风险等级是什么？</w:t>
            </w:r>
            <w:r w:rsidR="00B86AD4" w:rsidRPr="00F2582C">
              <w:rPr>
                <w:noProof/>
                <w:webHidden/>
                <w:sz w:val="24"/>
                <w:szCs w:val="24"/>
              </w:rPr>
              <w:tab/>
            </w:r>
            <w:r w:rsidR="00B86AD4" w:rsidRPr="00F2582C">
              <w:rPr>
                <w:noProof/>
                <w:webHidden/>
                <w:sz w:val="24"/>
                <w:szCs w:val="24"/>
              </w:rPr>
              <w:fldChar w:fldCharType="begin"/>
            </w:r>
            <w:r w:rsidR="00B86AD4" w:rsidRPr="00F2582C">
              <w:rPr>
                <w:noProof/>
                <w:webHidden/>
                <w:sz w:val="24"/>
                <w:szCs w:val="24"/>
              </w:rPr>
              <w:instrText xml:space="preserve"> PAGEREF _Toc66712993 \h </w:instrText>
            </w:r>
            <w:r w:rsidR="00B86AD4" w:rsidRPr="00F2582C">
              <w:rPr>
                <w:noProof/>
                <w:webHidden/>
                <w:sz w:val="24"/>
                <w:szCs w:val="24"/>
              </w:rPr>
            </w:r>
            <w:r w:rsidR="00B86AD4" w:rsidRPr="00F2582C">
              <w:rPr>
                <w:noProof/>
                <w:webHidden/>
                <w:sz w:val="24"/>
                <w:szCs w:val="24"/>
              </w:rPr>
              <w:fldChar w:fldCharType="separate"/>
            </w:r>
            <w:r w:rsidR="00B86AD4" w:rsidRPr="00F2582C">
              <w:rPr>
                <w:noProof/>
                <w:webHidden/>
                <w:sz w:val="24"/>
                <w:szCs w:val="24"/>
              </w:rPr>
              <w:t>2</w:t>
            </w:r>
            <w:r w:rsidR="00B86AD4" w:rsidRPr="00F2582C">
              <w:rPr>
                <w:noProof/>
                <w:webHidden/>
                <w:sz w:val="24"/>
                <w:szCs w:val="24"/>
              </w:rPr>
              <w:fldChar w:fldCharType="end"/>
            </w:r>
          </w:hyperlink>
        </w:p>
        <w:p w:rsidR="00B86AD4" w:rsidRPr="00F2582C" w:rsidRDefault="003F2E91" w:rsidP="00B86AD4">
          <w:pPr>
            <w:pStyle w:val="10"/>
            <w:spacing w:line="360" w:lineRule="auto"/>
            <w:rPr>
              <w:noProof/>
              <w:sz w:val="24"/>
              <w:szCs w:val="24"/>
            </w:rPr>
          </w:pPr>
          <w:hyperlink w:anchor="_Toc66712994" w:history="1">
            <w:r w:rsidR="00B86AD4" w:rsidRPr="00F2582C">
              <w:rPr>
                <w:rStyle w:val="a8"/>
                <w:rFonts w:asciiTheme="minorEastAsia" w:hAnsiTheme="minorEastAsia" w:hint="eastAsia"/>
                <w:noProof/>
                <w:sz w:val="24"/>
                <w:szCs w:val="24"/>
              </w:rPr>
              <w:t>3、</w:t>
            </w:r>
            <w:r w:rsidR="00B86AD4" w:rsidRPr="00F2582C">
              <w:rPr>
                <w:noProof/>
                <w:sz w:val="24"/>
                <w:szCs w:val="24"/>
              </w:rPr>
              <w:tab/>
            </w:r>
            <w:r w:rsidR="00B86AD4" w:rsidRPr="00F2582C">
              <w:rPr>
                <w:rStyle w:val="a8"/>
                <w:rFonts w:asciiTheme="minorEastAsia" w:hAnsiTheme="minorEastAsia" w:hint="eastAsia"/>
                <w:noProof/>
                <w:sz w:val="24"/>
                <w:szCs w:val="24"/>
              </w:rPr>
              <w:t>广发睿铭两年持有期混合发行日期是什么时候？</w:t>
            </w:r>
            <w:r w:rsidR="00B86AD4" w:rsidRPr="00F2582C">
              <w:rPr>
                <w:noProof/>
                <w:webHidden/>
                <w:sz w:val="24"/>
                <w:szCs w:val="24"/>
              </w:rPr>
              <w:tab/>
            </w:r>
            <w:r w:rsidR="00B86AD4" w:rsidRPr="00F2582C">
              <w:rPr>
                <w:noProof/>
                <w:webHidden/>
                <w:sz w:val="24"/>
                <w:szCs w:val="24"/>
              </w:rPr>
              <w:fldChar w:fldCharType="begin"/>
            </w:r>
            <w:r w:rsidR="00B86AD4" w:rsidRPr="00F2582C">
              <w:rPr>
                <w:noProof/>
                <w:webHidden/>
                <w:sz w:val="24"/>
                <w:szCs w:val="24"/>
              </w:rPr>
              <w:instrText xml:space="preserve"> PAGEREF _Toc66712994 \h </w:instrText>
            </w:r>
            <w:r w:rsidR="00B86AD4" w:rsidRPr="00F2582C">
              <w:rPr>
                <w:noProof/>
                <w:webHidden/>
                <w:sz w:val="24"/>
                <w:szCs w:val="24"/>
              </w:rPr>
            </w:r>
            <w:r w:rsidR="00B86AD4" w:rsidRPr="00F2582C">
              <w:rPr>
                <w:noProof/>
                <w:webHidden/>
                <w:sz w:val="24"/>
                <w:szCs w:val="24"/>
              </w:rPr>
              <w:fldChar w:fldCharType="separate"/>
            </w:r>
            <w:r w:rsidR="00B86AD4" w:rsidRPr="00F2582C">
              <w:rPr>
                <w:noProof/>
                <w:webHidden/>
                <w:sz w:val="24"/>
                <w:szCs w:val="24"/>
              </w:rPr>
              <w:t>2</w:t>
            </w:r>
            <w:r w:rsidR="00B86AD4" w:rsidRPr="00F2582C">
              <w:rPr>
                <w:noProof/>
                <w:webHidden/>
                <w:sz w:val="24"/>
                <w:szCs w:val="24"/>
              </w:rPr>
              <w:fldChar w:fldCharType="end"/>
            </w:r>
          </w:hyperlink>
        </w:p>
        <w:p w:rsidR="00B86AD4" w:rsidRPr="00F2582C" w:rsidRDefault="003F2E91" w:rsidP="00B86AD4">
          <w:pPr>
            <w:pStyle w:val="10"/>
            <w:spacing w:line="360" w:lineRule="auto"/>
            <w:rPr>
              <w:noProof/>
              <w:sz w:val="24"/>
              <w:szCs w:val="24"/>
            </w:rPr>
          </w:pPr>
          <w:hyperlink w:anchor="_Toc66712995" w:history="1">
            <w:r w:rsidR="00B86AD4" w:rsidRPr="00F2582C">
              <w:rPr>
                <w:rStyle w:val="a8"/>
                <w:rFonts w:asciiTheme="minorEastAsia" w:hAnsiTheme="minorEastAsia" w:hint="eastAsia"/>
                <w:noProof/>
                <w:sz w:val="24"/>
                <w:szCs w:val="24"/>
              </w:rPr>
              <w:t>4、</w:t>
            </w:r>
            <w:r w:rsidR="00B86AD4" w:rsidRPr="00F2582C">
              <w:rPr>
                <w:noProof/>
                <w:sz w:val="24"/>
                <w:szCs w:val="24"/>
              </w:rPr>
              <w:tab/>
            </w:r>
            <w:r w:rsidR="00B86AD4" w:rsidRPr="00F2582C">
              <w:rPr>
                <w:rStyle w:val="a8"/>
                <w:rFonts w:asciiTheme="minorEastAsia" w:hAnsiTheme="minorEastAsia" w:hint="eastAsia"/>
                <w:noProof/>
                <w:sz w:val="24"/>
                <w:szCs w:val="24"/>
              </w:rPr>
              <w:t>广发睿铭两年持有期混合的购买门槛、购买渠道是什么？</w:t>
            </w:r>
            <w:r w:rsidR="00B86AD4" w:rsidRPr="00F2582C">
              <w:rPr>
                <w:noProof/>
                <w:webHidden/>
                <w:sz w:val="24"/>
                <w:szCs w:val="24"/>
              </w:rPr>
              <w:tab/>
            </w:r>
            <w:r w:rsidR="00B86AD4" w:rsidRPr="00F2582C">
              <w:rPr>
                <w:noProof/>
                <w:webHidden/>
                <w:sz w:val="24"/>
                <w:szCs w:val="24"/>
              </w:rPr>
              <w:fldChar w:fldCharType="begin"/>
            </w:r>
            <w:r w:rsidR="00B86AD4" w:rsidRPr="00F2582C">
              <w:rPr>
                <w:noProof/>
                <w:webHidden/>
                <w:sz w:val="24"/>
                <w:szCs w:val="24"/>
              </w:rPr>
              <w:instrText xml:space="preserve"> PAGEREF _Toc66712995 \h </w:instrText>
            </w:r>
            <w:r w:rsidR="00B86AD4" w:rsidRPr="00F2582C">
              <w:rPr>
                <w:noProof/>
                <w:webHidden/>
                <w:sz w:val="24"/>
                <w:szCs w:val="24"/>
              </w:rPr>
            </w:r>
            <w:r w:rsidR="00B86AD4" w:rsidRPr="00F2582C">
              <w:rPr>
                <w:noProof/>
                <w:webHidden/>
                <w:sz w:val="24"/>
                <w:szCs w:val="24"/>
              </w:rPr>
              <w:fldChar w:fldCharType="separate"/>
            </w:r>
            <w:r w:rsidR="00B86AD4" w:rsidRPr="00F2582C">
              <w:rPr>
                <w:noProof/>
                <w:webHidden/>
                <w:sz w:val="24"/>
                <w:szCs w:val="24"/>
              </w:rPr>
              <w:t>2</w:t>
            </w:r>
            <w:r w:rsidR="00B86AD4" w:rsidRPr="00F2582C">
              <w:rPr>
                <w:noProof/>
                <w:webHidden/>
                <w:sz w:val="24"/>
                <w:szCs w:val="24"/>
              </w:rPr>
              <w:fldChar w:fldCharType="end"/>
            </w:r>
          </w:hyperlink>
        </w:p>
        <w:p w:rsidR="00B86AD4" w:rsidRPr="00F2582C" w:rsidRDefault="003F2E91" w:rsidP="00B86AD4">
          <w:pPr>
            <w:pStyle w:val="10"/>
            <w:spacing w:line="360" w:lineRule="auto"/>
            <w:rPr>
              <w:noProof/>
              <w:sz w:val="24"/>
              <w:szCs w:val="24"/>
            </w:rPr>
          </w:pPr>
          <w:hyperlink w:anchor="_Toc66712996" w:history="1">
            <w:r w:rsidR="00B86AD4" w:rsidRPr="00F2582C">
              <w:rPr>
                <w:rStyle w:val="a8"/>
                <w:rFonts w:asciiTheme="minorEastAsia" w:hAnsiTheme="minorEastAsia" w:hint="eastAsia"/>
                <w:noProof/>
                <w:sz w:val="24"/>
                <w:szCs w:val="24"/>
              </w:rPr>
              <w:t>5、</w:t>
            </w:r>
            <w:r w:rsidR="00B86AD4" w:rsidRPr="00F2582C">
              <w:rPr>
                <w:noProof/>
                <w:sz w:val="24"/>
                <w:szCs w:val="24"/>
              </w:rPr>
              <w:tab/>
            </w:r>
            <w:r w:rsidR="00B86AD4" w:rsidRPr="00F2582C">
              <w:rPr>
                <w:rStyle w:val="a8"/>
                <w:rFonts w:asciiTheme="minorEastAsia" w:hAnsiTheme="minorEastAsia" w:hint="eastAsia"/>
                <w:noProof/>
                <w:sz w:val="24"/>
                <w:szCs w:val="24"/>
              </w:rPr>
              <w:t>请介绍一下广发睿铭两年持有期混合的拟任基金经理</w:t>
            </w:r>
            <w:r w:rsidR="00B86AD4" w:rsidRPr="00F2582C">
              <w:rPr>
                <w:rStyle w:val="a8"/>
                <w:rFonts w:asciiTheme="minorEastAsia" w:hAnsiTheme="minorEastAsia"/>
                <w:noProof/>
                <w:sz w:val="24"/>
                <w:szCs w:val="24"/>
              </w:rPr>
              <w:t>?</w:t>
            </w:r>
            <w:r w:rsidR="00B86AD4" w:rsidRPr="00F2582C">
              <w:rPr>
                <w:noProof/>
                <w:webHidden/>
                <w:sz w:val="24"/>
                <w:szCs w:val="24"/>
              </w:rPr>
              <w:tab/>
            </w:r>
            <w:r w:rsidR="00B86AD4" w:rsidRPr="00F2582C">
              <w:rPr>
                <w:noProof/>
                <w:webHidden/>
                <w:sz w:val="24"/>
                <w:szCs w:val="24"/>
              </w:rPr>
              <w:fldChar w:fldCharType="begin"/>
            </w:r>
            <w:r w:rsidR="00B86AD4" w:rsidRPr="00F2582C">
              <w:rPr>
                <w:noProof/>
                <w:webHidden/>
                <w:sz w:val="24"/>
                <w:szCs w:val="24"/>
              </w:rPr>
              <w:instrText xml:space="preserve"> PAGEREF _Toc66712996 \h </w:instrText>
            </w:r>
            <w:r w:rsidR="00B86AD4" w:rsidRPr="00F2582C">
              <w:rPr>
                <w:noProof/>
                <w:webHidden/>
                <w:sz w:val="24"/>
                <w:szCs w:val="24"/>
              </w:rPr>
            </w:r>
            <w:r w:rsidR="00B86AD4" w:rsidRPr="00F2582C">
              <w:rPr>
                <w:noProof/>
                <w:webHidden/>
                <w:sz w:val="24"/>
                <w:szCs w:val="24"/>
              </w:rPr>
              <w:fldChar w:fldCharType="separate"/>
            </w:r>
            <w:r w:rsidR="00B86AD4" w:rsidRPr="00F2582C">
              <w:rPr>
                <w:noProof/>
                <w:webHidden/>
                <w:sz w:val="24"/>
                <w:szCs w:val="24"/>
              </w:rPr>
              <w:t>3</w:t>
            </w:r>
            <w:r w:rsidR="00B86AD4" w:rsidRPr="00F2582C">
              <w:rPr>
                <w:noProof/>
                <w:webHidden/>
                <w:sz w:val="24"/>
                <w:szCs w:val="24"/>
              </w:rPr>
              <w:fldChar w:fldCharType="end"/>
            </w:r>
          </w:hyperlink>
        </w:p>
        <w:p w:rsidR="00B86AD4" w:rsidRPr="00F2582C" w:rsidRDefault="003F2E91" w:rsidP="00B86AD4">
          <w:pPr>
            <w:pStyle w:val="10"/>
            <w:spacing w:line="360" w:lineRule="auto"/>
            <w:rPr>
              <w:noProof/>
              <w:sz w:val="24"/>
              <w:szCs w:val="24"/>
            </w:rPr>
          </w:pPr>
          <w:hyperlink w:anchor="_Toc66712997" w:history="1">
            <w:r w:rsidR="00B86AD4" w:rsidRPr="00F2582C">
              <w:rPr>
                <w:rStyle w:val="a8"/>
                <w:rFonts w:asciiTheme="minorEastAsia" w:hAnsiTheme="minorEastAsia" w:hint="eastAsia"/>
                <w:noProof/>
                <w:sz w:val="24"/>
                <w:szCs w:val="24"/>
              </w:rPr>
              <w:t>6、</w:t>
            </w:r>
            <w:r w:rsidR="00B86AD4" w:rsidRPr="00F2582C">
              <w:rPr>
                <w:noProof/>
                <w:sz w:val="24"/>
                <w:szCs w:val="24"/>
              </w:rPr>
              <w:tab/>
            </w:r>
            <w:r w:rsidR="00B86AD4" w:rsidRPr="00F2582C">
              <w:rPr>
                <w:rStyle w:val="a8"/>
                <w:rFonts w:asciiTheme="minorEastAsia" w:hAnsiTheme="minorEastAsia" w:hint="eastAsia"/>
                <w:noProof/>
                <w:sz w:val="24"/>
                <w:szCs w:val="24"/>
              </w:rPr>
              <w:t>拟任基金经理的投资风格是什么？</w:t>
            </w:r>
            <w:r w:rsidR="00B86AD4" w:rsidRPr="00F2582C">
              <w:rPr>
                <w:noProof/>
                <w:webHidden/>
                <w:sz w:val="24"/>
                <w:szCs w:val="24"/>
              </w:rPr>
              <w:tab/>
            </w:r>
            <w:r w:rsidR="00B86AD4" w:rsidRPr="00F2582C">
              <w:rPr>
                <w:noProof/>
                <w:webHidden/>
                <w:sz w:val="24"/>
                <w:szCs w:val="24"/>
              </w:rPr>
              <w:fldChar w:fldCharType="begin"/>
            </w:r>
            <w:r w:rsidR="00B86AD4" w:rsidRPr="00F2582C">
              <w:rPr>
                <w:noProof/>
                <w:webHidden/>
                <w:sz w:val="24"/>
                <w:szCs w:val="24"/>
              </w:rPr>
              <w:instrText xml:space="preserve"> PAGEREF _Toc66712997 \h </w:instrText>
            </w:r>
            <w:r w:rsidR="00B86AD4" w:rsidRPr="00F2582C">
              <w:rPr>
                <w:noProof/>
                <w:webHidden/>
                <w:sz w:val="24"/>
                <w:szCs w:val="24"/>
              </w:rPr>
            </w:r>
            <w:r w:rsidR="00B86AD4" w:rsidRPr="00F2582C">
              <w:rPr>
                <w:noProof/>
                <w:webHidden/>
                <w:sz w:val="24"/>
                <w:szCs w:val="24"/>
              </w:rPr>
              <w:fldChar w:fldCharType="separate"/>
            </w:r>
            <w:r w:rsidR="00B86AD4" w:rsidRPr="00F2582C">
              <w:rPr>
                <w:noProof/>
                <w:webHidden/>
                <w:sz w:val="24"/>
                <w:szCs w:val="24"/>
              </w:rPr>
              <w:t>3</w:t>
            </w:r>
            <w:r w:rsidR="00B86AD4" w:rsidRPr="00F2582C">
              <w:rPr>
                <w:noProof/>
                <w:webHidden/>
                <w:sz w:val="24"/>
                <w:szCs w:val="24"/>
              </w:rPr>
              <w:fldChar w:fldCharType="end"/>
            </w:r>
          </w:hyperlink>
        </w:p>
        <w:p w:rsidR="00B86AD4" w:rsidRPr="00F2582C" w:rsidRDefault="003F2E91" w:rsidP="00B86AD4">
          <w:pPr>
            <w:pStyle w:val="10"/>
            <w:spacing w:line="360" w:lineRule="auto"/>
            <w:rPr>
              <w:noProof/>
              <w:sz w:val="24"/>
              <w:szCs w:val="24"/>
            </w:rPr>
          </w:pPr>
          <w:hyperlink w:anchor="_Toc66712998" w:history="1">
            <w:r w:rsidR="00B86AD4" w:rsidRPr="00F2582C">
              <w:rPr>
                <w:rStyle w:val="a8"/>
                <w:rFonts w:asciiTheme="minorEastAsia" w:hAnsiTheme="minorEastAsia" w:hint="eastAsia"/>
                <w:noProof/>
                <w:sz w:val="24"/>
                <w:szCs w:val="24"/>
              </w:rPr>
              <w:t>7、</w:t>
            </w:r>
            <w:r w:rsidR="00B86AD4" w:rsidRPr="00F2582C">
              <w:rPr>
                <w:noProof/>
                <w:sz w:val="24"/>
                <w:szCs w:val="24"/>
              </w:rPr>
              <w:tab/>
            </w:r>
            <w:r w:rsidR="00B86AD4" w:rsidRPr="00F2582C">
              <w:rPr>
                <w:rStyle w:val="a8"/>
                <w:rFonts w:asciiTheme="minorEastAsia" w:hAnsiTheme="minorEastAsia" w:hint="eastAsia"/>
                <w:noProof/>
                <w:sz w:val="24"/>
                <w:szCs w:val="24"/>
              </w:rPr>
              <w:t>请介绍一下广发睿铭两年持有期混合拟任基金经理过往投资业绩？</w:t>
            </w:r>
            <w:r w:rsidR="00B86AD4" w:rsidRPr="00F2582C">
              <w:rPr>
                <w:noProof/>
                <w:webHidden/>
                <w:sz w:val="24"/>
                <w:szCs w:val="24"/>
              </w:rPr>
              <w:tab/>
            </w:r>
            <w:r w:rsidR="00B86AD4" w:rsidRPr="00F2582C">
              <w:rPr>
                <w:noProof/>
                <w:webHidden/>
                <w:sz w:val="24"/>
                <w:szCs w:val="24"/>
              </w:rPr>
              <w:fldChar w:fldCharType="begin"/>
            </w:r>
            <w:r w:rsidR="00B86AD4" w:rsidRPr="00F2582C">
              <w:rPr>
                <w:noProof/>
                <w:webHidden/>
                <w:sz w:val="24"/>
                <w:szCs w:val="24"/>
              </w:rPr>
              <w:instrText xml:space="preserve"> PAGEREF _Toc66712998 \h </w:instrText>
            </w:r>
            <w:r w:rsidR="00B86AD4" w:rsidRPr="00F2582C">
              <w:rPr>
                <w:noProof/>
                <w:webHidden/>
                <w:sz w:val="24"/>
                <w:szCs w:val="24"/>
              </w:rPr>
            </w:r>
            <w:r w:rsidR="00B86AD4" w:rsidRPr="00F2582C">
              <w:rPr>
                <w:noProof/>
                <w:webHidden/>
                <w:sz w:val="24"/>
                <w:szCs w:val="24"/>
              </w:rPr>
              <w:fldChar w:fldCharType="separate"/>
            </w:r>
            <w:r w:rsidR="00B86AD4" w:rsidRPr="00F2582C">
              <w:rPr>
                <w:noProof/>
                <w:webHidden/>
                <w:sz w:val="24"/>
                <w:szCs w:val="24"/>
              </w:rPr>
              <w:t>3</w:t>
            </w:r>
            <w:r w:rsidR="00B86AD4" w:rsidRPr="00F2582C">
              <w:rPr>
                <w:noProof/>
                <w:webHidden/>
                <w:sz w:val="24"/>
                <w:szCs w:val="24"/>
              </w:rPr>
              <w:fldChar w:fldCharType="end"/>
            </w:r>
          </w:hyperlink>
        </w:p>
        <w:p w:rsidR="00B86AD4" w:rsidRPr="00F2582C" w:rsidRDefault="003F2E91" w:rsidP="00B86AD4">
          <w:pPr>
            <w:pStyle w:val="10"/>
            <w:spacing w:line="360" w:lineRule="auto"/>
            <w:rPr>
              <w:noProof/>
              <w:sz w:val="24"/>
              <w:szCs w:val="24"/>
            </w:rPr>
          </w:pPr>
          <w:hyperlink w:anchor="_Toc66712999" w:history="1">
            <w:r w:rsidR="00B86AD4" w:rsidRPr="00F2582C">
              <w:rPr>
                <w:rStyle w:val="a8"/>
                <w:rFonts w:asciiTheme="minorEastAsia" w:hAnsiTheme="minorEastAsia" w:hint="eastAsia"/>
                <w:noProof/>
                <w:sz w:val="24"/>
                <w:szCs w:val="24"/>
              </w:rPr>
              <w:t>8、</w:t>
            </w:r>
            <w:r w:rsidR="00B86AD4" w:rsidRPr="00F2582C">
              <w:rPr>
                <w:noProof/>
                <w:sz w:val="24"/>
                <w:szCs w:val="24"/>
              </w:rPr>
              <w:tab/>
            </w:r>
            <w:r w:rsidR="00B86AD4" w:rsidRPr="00F2582C">
              <w:rPr>
                <w:rStyle w:val="a8"/>
                <w:rFonts w:asciiTheme="minorEastAsia" w:hAnsiTheme="minorEastAsia" w:hint="eastAsia"/>
                <w:noProof/>
                <w:sz w:val="24"/>
                <w:szCs w:val="24"/>
              </w:rPr>
              <w:t>拟任基金经理王明旭对未来的市场走势如何判断？</w:t>
            </w:r>
            <w:r w:rsidR="00B86AD4" w:rsidRPr="00F2582C">
              <w:rPr>
                <w:noProof/>
                <w:webHidden/>
                <w:sz w:val="24"/>
                <w:szCs w:val="24"/>
              </w:rPr>
              <w:tab/>
            </w:r>
            <w:r w:rsidR="00B86AD4" w:rsidRPr="00F2582C">
              <w:rPr>
                <w:noProof/>
                <w:webHidden/>
                <w:sz w:val="24"/>
                <w:szCs w:val="24"/>
              </w:rPr>
              <w:fldChar w:fldCharType="begin"/>
            </w:r>
            <w:r w:rsidR="00B86AD4" w:rsidRPr="00F2582C">
              <w:rPr>
                <w:noProof/>
                <w:webHidden/>
                <w:sz w:val="24"/>
                <w:szCs w:val="24"/>
              </w:rPr>
              <w:instrText xml:space="preserve"> PAGEREF _Toc66712999 \h </w:instrText>
            </w:r>
            <w:r w:rsidR="00B86AD4" w:rsidRPr="00F2582C">
              <w:rPr>
                <w:noProof/>
                <w:webHidden/>
                <w:sz w:val="24"/>
                <w:szCs w:val="24"/>
              </w:rPr>
            </w:r>
            <w:r w:rsidR="00B86AD4" w:rsidRPr="00F2582C">
              <w:rPr>
                <w:noProof/>
                <w:webHidden/>
                <w:sz w:val="24"/>
                <w:szCs w:val="24"/>
              </w:rPr>
              <w:fldChar w:fldCharType="separate"/>
            </w:r>
            <w:r w:rsidR="00B86AD4" w:rsidRPr="00F2582C">
              <w:rPr>
                <w:noProof/>
                <w:webHidden/>
                <w:sz w:val="24"/>
                <w:szCs w:val="24"/>
              </w:rPr>
              <w:t>5</w:t>
            </w:r>
            <w:r w:rsidR="00B86AD4" w:rsidRPr="00F2582C">
              <w:rPr>
                <w:noProof/>
                <w:webHidden/>
                <w:sz w:val="24"/>
                <w:szCs w:val="24"/>
              </w:rPr>
              <w:fldChar w:fldCharType="end"/>
            </w:r>
          </w:hyperlink>
        </w:p>
        <w:p w:rsidR="00B86AD4" w:rsidRPr="00F2582C" w:rsidRDefault="003F2E91" w:rsidP="00B86AD4">
          <w:pPr>
            <w:pStyle w:val="10"/>
            <w:spacing w:line="360" w:lineRule="auto"/>
            <w:rPr>
              <w:noProof/>
              <w:sz w:val="24"/>
              <w:szCs w:val="24"/>
            </w:rPr>
          </w:pPr>
          <w:hyperlink w:anchor="_Toc66713000" w:history="1">
            <w:r w:rsidR="00B86AD4" w:rsidRPr="00F2582C">
              <w:rPr>
                <w:rStyle w:val="a8"/>
                <w:rFonts w:asciiTheme="minorEastAsia" w:hAnsiTheme="minorEastAsia" w:hint="eastAsia"/>
                <w:noProof/>
                <w:sz w:val="24"/>
                <w:szCs w:val="24"/>
              </w:rPr>
              <w:t>9、</w:t>
            </w:r>
            <w:r w:rsidR="00B86AD4" w:rsidRPr="00F2582C">
              <w:rPr>
                <w:noProof/>
                <w:sz w:val="24"/>
                <w:szCs w:val="24"/>
              </w:rPr>
              <w:tab/>
            </w:r>
            <w:r w:rsidR="00B86AD4" w:rsidRPr="00F2582C">
              <w:rPr>
                <w:rStyle w:val="a8"/>
                <w:rFonts w:asciiTheme="minorEastAsia" w:hAnsiTheme="minorEastAsia" w:hint="eastAsia"/>
                <w:noProof/>
                <w:sz w:val="24"/>
                <w:szCs w:val="24"/>
              </w:rPr>
              <w:t>广发基金的投资管理能力如何？</w:t>
            </w:r>
            <w:r w:rsidR="00B86AD4" w:rsidRPr="00F2582C">
              <w:rPr>
                <w:noProof/>
                <w:webHidden/>
                <w:sz w:val="24"/>
                <w:szCs w:val="24"/>
              </w:rPr>
              <w:tab/>
            </w:r>
            <w:r w:rsidR="00B86AD4" w:rsidRPr="00F2582C">
              <w:rPr>
                <w:noProof/>
                <w:webHidden/>
                <w:sz w:val="24"/>
                <w:szCs w:val="24"/>
              </w:rPr>
              <w:fldChar w:fldCharType="begin"/>
            </w:r>
            <w:r w:rsidR="00B86AD4" w:rsidRPr="00F2582C">
              <w:rPr>
                <w:noProof/>
                <w:webHidden/>
                <w:sz w:val="24"/>
                <w:szCs w:val="24"/>
              </w:rPr>
              <w:instrText xml:space="preserve"> PAGEREF _Toc66713000 \h </w:instrText>
            </w:r>
            <w:r w:rsidR="00B86AD4" w:rsidRPr="00F2582C">
              <w:rPr>
                <w:noProof/>
                <w:webHidden/>
                <w:sz w:val="24"/>
                <w:szCs w:val="24"/>
              </w:rPr>
            </w:r>
            <w:r w:rsidR="00B86AD4" w:rsidRPr="00F2582C">
              <w:rPr>
                <w:noProof/>
                <w:webHidden/>
                <w:sz w:val="24"/>
                <w:szCs w:val="24"/>
              </w:rPr>
              <w:fldChar w:fldCharType="separate"/>
            </w:r>
            <w:r w:rsidR="00B86AD4" w:rsidRPr="00F2582C">
              <w:rPr>
                <w:noProof/>
                <w:webHidden/>
                <w:sz w:val="24"/>
                <w:szCs w:val="24"/>
              </w:rPr>
              <w:t>5</w:t>
            </w:r>
            <w:r w:rsidR="00B86AD4" w:rsidRPr="00F2582C">
              <w:rPr>
                <w:noProof/>
                <w:webHidden/>
                <w:sz w:val="24"/>
                <w:szCs w:val="24"/>
              </w:rPr>
              <w:fldChar w:fldCharType="end"/>
            </w:r>
          </w:hyperlink>
        </w:p>
        <w:p w:rsidR="00B86AD4" w:rsidRPr="00F2582C" w:rsidRDefault="003F2E91" w:rsidP="00B86AD4">
          <w:pPr>
            <w:pStyle w:val="10"/>
            <w:spacing w:line="360" w:lineRule="auto"/>
            <w:rPr>
              <w:noProof/>
              <w:sz w:val="24"/>
              <w:szCs w:val="24"/>
            </w:rPr>
          </w:pPr>
          <w:hyperlink w:anchor="_Toc66713001" w:history="1">
            <w:r w:rsidR="00B86AD4" w:rsidRPr="00F2582C">
              <w:rPr>
                <w:rStyle w:val="a8"/>
                <w:rFonts w:asciiTheme="minorEastAsia" w:hAnsiTheme="minorEastAsia" w:hint="eastAsia"/>
                <w:noProof/>
                <w:sz w:val="24"/>
                <w:szCs w:val="24"/>
              </w:rPr>
              <w:t>10、</w:t>
            </w:r>
            <w:r w:rsidR="00B86AD4" w:rsidRPr="00F2582C">
              <w:rPr>
                <w:noProof/>
                <w:sz w:val="24"/>
                <w:szCs w:val="24"/>
              </w:rPr>
              <w:tab/>
            </w:r>
            <w:r w:rsidR="00B86AD4" w:rsidRPr="00F2582C">
              <w:rPr>
                <w:rStyle w:val="a8"/>
                <w:rFonts w:asciiTheme="minorEastAsia" w:hAnsiTheme="minorEastAsia" w:hint="eastAsia"/>
                <w:noProof/>
                <w:sz w:val="24"/>
                <w:szCs w:val="24"/>
              </w:rPr>
              <w:t>广发睿铭两年持有期混合的产品费率如何？</w:t>
            </w:r>
            <w:r w:rsidR="00B86AD4" w:rsidRPr="00F2582C">
              <w:rPr>
                <w:noProof/>
                <w:webHidden/>
                <w:sz w:val="24"/>
                <w:szCs w:val="24"/>
              </w:rPr>
              <w:tab/>
            </w:r>
            <w:r w:rsidR="00B86AD4" w:rsidRPr="00F2582C">
              <w:rPr>
                <w:noProof/>
                <w:webHidden/>
                <w:sz w:val="24"/>
                <w:szCs w:val="24"/>
              </w:rPr>
              <w:fldChar w:fldCharType="begin"/>
            </w:r>
            <w:r w:rsidR="00B86AD4" w:rsidRPr="00F2582C">
              <w:rPr>
                <w:noProof/>
                <w:webHidden/>
                <w:sz w:val="24"/>
                <w:szCs w:val="24"/>
              </w:rPr>
              <w:instrText xml:space="preserve"> PAGEREF _Toc66713001 \h </w:instrText>
            </w:r>
            <w:r w:rsidR="00B86AD4" w:rsidRPr="00F2582C">
              <w:rPr>
                <w:noProof/>
                <w:webHidden/>
                <w:sz w:val="24"/>
                <w:szCs w:val="24"/>
              </w:rPr>
            </w:r>
            <w:r w:rsidR="00B86AD4" w:rsidRPr="00F2582C">
              <w:rPr>
                <w:noProof/>
                <w:webHidden/>
                <w:sz w:val="24"/>
                <w:szCs w:val="24"/>
              </w:rPr>
              <w:fldChar w:fldCharType="separate"/>
            </w:r>
            <w:r w:rsidR="00B86AD4" w:rsidRPr="00F2582C">
              <w:rPr>
                <w:noProof/>
                <w:webHidden/>
                <w:sz w:val="24"/>
                <w:szCs w:val="24"/>
              </w:rPr>
              <w:t>6</w:t>
            </w:r>
            <w:r w:rsidR="00B86AD4" w:rsidRPr="00F2582C">
              <w:rPr>
                <w:noProof/>
                <w:webHidden/>
                <w:sz w:val="24"/>
                <w:szCs w:val="24"/>
              </w:rPr>
              <w:fldChar w:fldCharType="end"/>
            </w:r>
          </w:hyperlink>
        </w:p>
        <w:p w:rsidR="00597B39" w:rsidRPr="00D738BB" w:rsidRDefault="00597B39" w:rsidP="00B86AD4">
          <w:pPr>
            <w:pStyle w:val="10"/>
            <w:spacing w:line="360" w:lineRule="auto"/>
            <w:rPr>
              <w:noProof/>
              <w:sz w:val="24"/>
              <w:szCs w:val="24"/>
            </w:rPr>
          </w:pPr>
          <w:r w:rsidRPr="00B86AD4">
            <w:rPr>
              <w:bCs/>
              <w:sz w:val="24"/>
              <w:szCs w:val="24"/>
              <w:lang w:val="zh-CN"/>
            </w:rPr>
            <w:fldChar w:fldCharType="end"/>
          </w:r>
        </w:p>
      </w:sdtContent>
    </w:sdt>
    <w:p w:rsidR="003703FD" w:rsidRDefault="003703FD" w:rsidP="007C0D00">
      <w:pPr>
        <w:spacing w:line="360" w:lineRule="auto"/>
      </w:pPr>
    </w:p>
    <w:p w:rsidR="00597B39" w:rsidRDefault="00597B39" w:rsidP="007C0D00">
      <w:pPr>
        <w:spacing w:line="360" w:lineRule="auto"/>
      </w:pPr>
    </w:p>
    <w:p w:rsidR="00597B39" w:rsidRDefault="00597B39" w:rsidP="007C0D00">
      <w:pPr>
        <w:spacing w:line="360" w:lineRule="auto"/>
      </w:pPr>
    </w:p>
    <w:p w:rsidR="00597B39" w:rsidRDefault="00597B39" w:rsidP="007C0D00">
      <w:pPr>
        <w:spacing w:line="360" w:lineRule="auto"/>
      </w:pPr>
    </w:p>
    <w:p w:rsidR="00597B39" w:rsidRDefault="00597B39" w:rsidP="007C0D00">
      <w:pPr>
        <w:spacing w:line="360" w:lineRule="auto"/>
      </w:pPr>
    </w:p>
    <w:p w:rsidR="00597B39" w:rsidRDefault="00597B39" w:rsidP="007C0D00">
      <w:pPr>
        <w:spacing w:line="360" w:lineRule="auto"/>
      </w:pPr>
    </w:p>
    <w:p w:rsidR="00597B39" w:rsidRDefault="00597B39" w:rsidP="007C0D00">
      <w:pPr>
        <w:spacing w:line="360" w:lineRule="auto"/>
      </w:pPr>
    </w:p>
    <w:p w:rsidR="00BA3DF7" w:rsidRDefault="00BA3DF7" w:rsidP="007C0D00">
      <w:pPr>
        <w:spacing w:line="360" w:lineRule="auto"/>
      </w:pPr>
    </w:p>
    <w:p w:rsidR="00D738BB" w:rsidRDefault="00D738BB" w:rsidP="007C0D00">
      <w:pPr>
        <w:spacing w:line="360" w:lineRule="auto"/>
      </w:pPr>
    </w:p>
    <w:p w:rsidR="00D738BB" w:rsidRDefault="00D738BB" w:rsidP="007C0D00">
      <w:pPr>
        <w:spacing w:line="360" w:lineRule="auto"/>
      </w:pPr>
    </w:p>
    <w:p w:rsidR="00D738BB" w:rsidRDefault="00D738BB" w:rsidP="007C0D00">
      <w:pPr>
        <w:spacing w:line="360" w:lineRule="auto"/>
      </w:pPr>
    </w:p>
    <w:p w:rsidR="00D738BB" w:rsidRDefault="00D738BB" w:rsidP="007C0D00">
      <w:pPr>
        <w:spacing w:line="360" w:lineRule="auto"/>
      </w:pPr>
    </w:p>
    <w:p w:rsidR="00D738BB" w:rsidRDefault="00D738BB" w:rsidP="007C0D00">
      <w:pPr>
        <w:spacing w:line="360" w:lineRule="auto"/>
      </w:pPr>
    </w:p>
    <w:p w:rsidR="001C32F9" w:rsidRPr="001C32F9" w:rsidRDefault="00C450C7" w:rsidP="001C32F9">
      <w:pPr>
        <w:pStyle w:val="a5"/>
        <w:numPr>
          <w:ilvl w:val="0"/>
          <w:numId w:val="1"/>
        </w:numPr>
        <w:spacing w:line="360" w:lineRule="auto"/>
        <w:ind w:firstLineChars="0"/>
        <w:outlineLvl w:val="0"/>
        <w:rPr>
          <w:rFonts w:asciiTheme="minorEastAsia" w:hAnsiTheme="minorEastAsia"/>
          <w:b/>
          <w:sz w:val="24"/>
          <w:szCs w:val="24"/>
        </w:rPr>
      </w:pPr>
      <w:bookmarkStart w:id="0" w:name="_Toc29539217"/>
      <w:bookmarkStart w:id="1" w:name="_Toc66712992"/>
      <w:r w:rsidRPr="001C32F9">
        <w:rPr>
          <w:rFonts w:asciiTheme="minorEastAsia" w:hAnsiTheme="minorEastAsia" w:hint="eastAsia"/>
          <w:b/>
          <w:sz w:val="24"/>
          <w:szCs w:val="24"/>
        </w:rPr>
        <w:lastRenderedPageBreak/>
        <w:t>请问</w:t>
      </w:r>
      <w:r w:rsidR="0061728A">
        <w:rPr>
          <w:rFonts w:asciiTheme="minorEastAsia" w:hAnsiTheme="minorEastAsia" w:hint="eastAsia"/>
          <w:b/>
          <w:sz w:val="24"/>
          <w:szCs w:val="24"/>
        </w:rPr>
        <w:t>广发睿铭两年持有期混合</w:t>
      </w:r>
      <w:r w:rsidRPr="001C32F9">
        <w:rPr>
          <w:rFonts w:asciiTheme="minorEastAsia" w:hAnsiTheme="minorEastAsia" w:hint="eastAsia"/>
          <w:b/>
          <w:sz w:val="24"/>
          <w:szCs w:val="24"/>
        </w:rPr>
        <w:t>基金</w:t>
      </w:r>
      <w:r w:rsidR="00D77B49" w:rsidRPr="001C32F9">
        <w:rPr>
          <w:rFonts w:asciiTheme="minorEastAsia" w:hAnsiTheme="minorEastAsia" w:hint="eastAsia"/>
          <w:b/>
          <w:sz w:val="24"/>
          <w:szCs w:val="24"/>
        </w:rPr>
        <w:t>是一只什么</w:t>
      </w:r>
      <w:r w:rsidR="007F1AED">
        <w:rPr>
          <w:rFonts w:asciiTheme="minorEastAsia" w:hAnsiTheme="minorEastAsia" w:hint="eastAsia"/>
          <w:b/>
          <w:sz w:val="24"/>
          <w:szCs w:val="24"/>
        </w:rPr>
        <w:t>类型的</w:t>
      </w:r>
      <w:r w:rsidR="00D77B49" w:rsidRPr="001C32F9">
        <w:rPr>
          <w:rFonts w:asciiTheme="minorEastAsia" w:hAnsiTheme="minorEastAsia" w:hint="eastAsia"/>
          <w:b/>
          <w:sz w:val="24"/>
          <w:szCs w:val="24"/>
        </w:rPr>
        <w:t>基金？</w:t>
      </w:r>
      <w:bookmarkStart w:id="2" w:name="_Toc29539218"/>
      <w:bookmarkEnd w:id="0"/>
      <w:bookmarkEnd w:id="1"/>
    </w:p>
    <w:p w:rsidR="007F3398" w:rsidRDefault="0061728A" w:rsidP="007F3398">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广发睿铭两年持有期混合</w:t>
      </w:r>
      <w:r w:rsidR="005C4D7D" w:rsidRPr="00874B4E">
        <w:rPr>
          <w:rFonts w:ascii="宋体" w:eastAsia="宋体" w:hAnsi="宋体" w:cs="宋体" w:hint="eastAsia"/>
          <w:kern w:val="0"/>
          <w:sz w:val="24"/>
          <w:szCs w:val="24"/>
        </w:rPr>
        <w:t>是一</w:t>
      </w:r>
      <w:r w:rsidR="00D77B49" w:rsidRPr="00874B4E">
        <w:rPr>
          <w:rFonts w:ascii="宋体" w:eastAsia="宋体" w:hAnsi="宋体" w:cs="宋体" w:hint="eastAsia"/>
          <w:kern w:val="0"/>
          <w:sz w:val="24"/>
          <w:szCs w:val="24"/>
        </w:rPr>
        <w:t>只</w:t>
      </w:r>
      <w:r w:rsidR="00874B4E" w:rsidRPr="00874B4E">
        <w:rPr>
          <w:rFonts w:ascii="宋体" w:eastAsia="宋体" w:hAnsi="宋体" w:cs="宋体" w:hint="eastAsia"/>
          <w:kern w:val="0"/>
          <w:sz w:val="24"/>
          <w:szCs w:val="24"/>
        </w:rPr>
        <w:t>混合型</w:t>
      </w:r>
      <w:r w:rsidR="005C4D7D" w:rsidRPr="00874B4E">
        <w:rPr>
          <w:rFonts w:ascii="宋体" w:eastAsia="宋体" w:hAnsi="宋体" w:cs="宋体" w:hint="eastAsia"/>
          <w:kern w:val="0"/>
          <w:sz w:val="24"/>
          <w:szCs w:val="24"/>
        </w:rPr>
        <w:t>产品，</w:t>
      </w:r>
      <w:r w:rsidR="007F3398" w:rsidRPr="007F3398">
        <w:rPr>
          <w:rFonts w:ascii="宋体" w:eastAsia="宋体" w:hAnsi="宋体" w:cs="宋体" w:hint="eastAsia"/>
          <w:kern w:val="0"/>
          <w:sz w:val="24"/>
          <w:szCs w:val="24"/>
        </w:rPr>
        <w:t>基金的投资组合比例为股票资产占基金资产的比例为30%-</w:t>
      </w:r>
      <w:r w:rsidR="007F3398" w:rsidRPr="007F3398">
        <w:rPr>
          <w:rFonts w:ascii="宋体" w:eastAsia="宋体" w:hAnsi="宋体" w:cs="宋体"/>
          <w:kern w:val="0"/>
          <w:sz w:val="24"/>
          <w:szCs w:val="24"/>
        </w:rPr>
        <w:t>75</w:t>
      </w:r>
      <w:r w:rsidR="007F3398" w:rsidRPr="007F3398">
        <w:rPr>
          <w:rFonts w:ascii="宋体" w:eastAsia="宋体" w:hAnsi="宋体" w:cs="宋体" w:hint="eastAsia"/>
          <w:kern w:val="0"/>
          <w:sz w:val="24"/>
          <w:szCs w:val="24"/>
        </w:rPr>
        <w:t>%，其中投资于港股通标的股票不超过股票资产的50%</w:t>
      </w:r>
      <w:r w:rsidR="00874B4E" w:rsidRPr="00874B4E">
        <w:rPr>
          <w:rFonts w:ascii="宋体" w:eastAsia="宋体" w:hAnsi="宋体" w:cs="宋体" w:hint="eastAsia"/>
          <w:kern w:val="0"/>
          <w:sz w:val="24"/>
          <w:szCs w:val="24"/>
        </w:rPr>
        <w:t>，</w:t>
      </w:r>
      <w:r w:rsidR="005C4D7D" w:rsidRPr="00874B4E">
        <w:rPr>
          <w:rFonts w:ascii="宋体" w:eastAsia="宋体" w:hAnsi="宋体" w:cs="宋体" w:hint="eastAsia"/>
          <w:kern w:val="0"/>
          <w:sz w:val="24"/>
          <w:szCs w:val="24"/>
        </w:rPr>
        <w:t>业绩</w:t>
      </w:r>
      <w:r w:rsidR="00120B6D">
        <w:rPr>
          <w:rFonts w:ascii="宋体" w:eastAsia="宋体" w:hAnsi="宋体" w:cs="宋体" w:hint="eastAsia"/>
          <w:kern w:val="0"/>
          <w:sz w:val="24"/>
          <w:szCs w:val="24"/>
        </w:rPr>
        <w:t>比较</w:t>
      </w:r>
      <w:r w:rsidR="005C4D7D" w:rsidRPr="00874B4E">
        <w:rPr>
          <w:rFonts w:ascii="宋体" w:eastAsia="宋体" w:hAnsi="宋体" w:cs="宋体" w:hint="eastAsia"/>
          <w:kern w:val="0"/>
          <w:sz w:val="24"/>
          <w:szCs w:val="24"/>
        </w:rPr>
        <w:t>基准为：</w:t>
      </w:r>
      <w:r w:rsidR="007F3398" w:rsidRPr="007F3398">
        <w:rPr>
          <w:rFonts w:ascii="宋体" w:eastAsia="宋体" w:hAnsi="宋体" w:cs="宋体" w:hint="eastAsia"/>
          <w:kern w:val="0"/>
          <w:sz w:val="24"/>
          <w:szCs w:val="24"/>
        </w:rPr>
        <w:t>沪深300指数收益率×40%+人民币计价的恒生指数收益率×20%+中证全债指数收益率×40%</w:t>
      </w:r>
      <w:r w:rsidR="00D77B49" w:rsidRPr="00874B4E">
        <w:rPr>
          <w:rFonts w:ascii="宋体" w:eastAsia="宋体" w:hAnsi="宋体" w:cs="宋体"/>
          <w:kern w:val="0"/>
          <w:sz w:val="24"/>
          <w:szCs w:val="24"/>
        </w:rPr>
        <w:t>。</w:t>
      </w:r>
    </w:p>
    <w:p w:rsidR="007F3398" w:rsidRDefault="007F3398" w:rsidP="006E4F7B">
      <w:pPr>
        <w:spacing w:line="360" w:lineRule="auto"/>
        <w:ind w:firstLineChars="200" w:firstLine="480"/>
        <w:rPr>
          <w:rFonts w:ascii="宋体" w:eastAsia="宋体" w:hAnsi="宋体" w:cs="宋体"/>
          <w:kern w:val="0"/>
          <w:sz w:val="24"/>
          <w:szCs w:val="24"/>
        </w:rPr>
      </w:pPr>
      <w:r w:rsidRPr="007F3398">
        <w:rPr>
          <w:rFonts w:ascii="宋体" w:eastAsia="宋体" w:hAnsi="宋体" w:cs="宋体" w:hint="eastAsia"/>
          <w:kern w:val="0"/>
          <w:sz w:val="24"/>
          <w:szCs w:val="24"/>
        </w:rPr>
        <w:t>本基金运作方式：单笔锁定两年。本基金每个开放日开放申购，但投资人每笔认购/申购的基金份额需至少持有满两年，在两年持有期内不能提出赎回申请。对于每份基金份额，两年持有期指基金合同生效日或基金份额申购确认日起至两年后对应日（不含）的期间，如该对应日为非工作日或无该对应日，则顺延至下一个工作日。</w:t>
      </w:r>
    </w:p>
    <w:p w:rsidR="00F37E65" w:rsidRDefault="00F37E65" w:rsidP="00F37E65">
      <w:pPr>
        <w:spacing w:line="360" w:lineRule="auto"/>
        <w:ind w:firstLineChars="200" w:firstLine="480"/>
        <w:rPr>
          <w:rFonts w:ascii="Calibri" w:hAnsi="Calibri"/>
          <w:bCs/>
          <w:sz w:val="24"/>
        </w:rPr>
      </w:pPr>
      <w:r w:rsidRPr="005958AC">
        <w:rPr>
          <w:rFonts w:ascii="Calibri" w:hAnsi="Calibri" w:hint="eastAsia"/>
          <w:bCs/>
          <w:sz w:val="24"/>
        </w:rPr>
        <w:t>本基金在有效控制组合风险并保持良好流动性的前提下，通过对公司及行业所处的基本面进行深入分析和把握，精选优势个股，力争实现基金资产的长期稳健增值。</w:t>
      </w:r>
    </w:p>
    <w:p w:rsidR="005C4D7D" w:rsidRPr="00F37E65" w:rsidRDefault="005C4D7D" w:rsidP="00D77B49">
      <w:pPr>
        <w:spacing w:line="360" w:lineRule="auto"/>
        <w:ind w:firstLineChars="200" w:firstLine="480"/>
        <w:rPr>
          <w:rFonts w:ascii="宋体" w:eastAsia="宋体" w:hAnsi="宋体" w:cs="Arial"/>
          <w:kern w:val="0"/>
          <w:sz w:val="24"/>
          <w:szCs w:val="24"/>
          <w:lang w:eastAsia="x-none"/>
        </w:rPr>
      </w:pPr>
    </w:p>
    <w:p w:rsidR="00D438CD" w:rsidRPr="002F1164" w:rsidRDefault="0061728A" w:rsidP="003703FD">
      <w:pPr>
        <w:pStyle w:val="a5"/>
        <w:numPr>
          <w:ilvl w:val="0"/>
          <w:numId w:val="1"/>
        </w:numPr>
        <w:spacing w:line="360" w:lineRule="auto"/>
        <w:ind w:firstLineChars="0"/>
        <w:outlineLvl w:val="0"/>
        <w:rPr>
          <w:rFonts w:asciiTheme="minorEastAsia" w:hAnsiTheme="minorEastAsia"/>
          <w:b/>
          <w:sz w:val="24"/>
          <w:szCs w:val="24"/>
        </w:rPr>
      </w:pPr>
      <w:bookmarkStart w:id="3" w:name="_Toc66712993"/>
      <w:r>
        <w:rPr>
          <w:rFonts w:asciiTheme="minorEastAsia" w:hAnsiTheme="minorEastAsia" w:hint="eastAsia"/>
          <w:b/>
          <w:sz w:val="24"/>
          <w:szCs w:val="24"/>
        </w:rPr>
        <w:t>广发睿铭两年持有期混合</w:t>
      </w:r>
      <w:r w:rsidR="00222154" w:rsidRPr="00222154">
        <w:rPr>
          <w:rFonts w:asciiTheme="minorEastAsia" w:hAnsiTheme="minorEastAsia" w:hint="eastAsia"/>
          <w:b/>
          <w:sz w:val="24"/>
          <w:szCs w:val="24"/>
        </w:rPr>
        <w:t>的</w:t>
      </w:r>
      <w:r w:rsidR="003F6BE8">
        <w:rPr>
          <w:rFonts w:asciiTheme="minorEastAsia" w:hAnsiTheme="minorEastAsia" w:hint="eastAsia"/>
          <w:b/>
          <w:sz w:val="24"/>
          <w:szCs w:val="24"/>
        </w:rPr>
        <w:t>建仓策略是什么</w:t>
      </w:r>
      <w:r w:rsidR="002F1164" w:rsidRPr="002F1164">
        <w:rPr>
          <w:rFonts w:asciiTheme="minorEastAsia" w:hAnsiTheme="minorEastAsia"/>
          <w:b/>
          <w:sz w:val="24"/>
          <w:szCs w:val="24"/>
        </w:rPr>
        <w:t>？</w:t>
      </w:r>
      <w:bookmarkEnd w:id="2"/>
      <w:r w:rsidR="004E7EB8">
        <w:rPr>
          <w:rFonts w:asciiTheme="minorEastAsia" w:hAnsiTheme="minorEastAsia" w:hint="eastAsia"/>
          <w:b/>
          <w:sz w:val="24"/>
          <w:szCs w:val="24"/>
        </w:rPr>
        <w:t>产品风险等级是什么？</w:t>
      </w:r>
      <w:bookmarkEnd w:id="3"/>
    </w:p>
    <w:p w:rsidR="00980000" w:rsidRPr="00980000" w:rsidRDefault="0061728A" w:rsidP="005352E9">
      <w:pPr>
        <w:spacing w:line="360" w:lineRule="auto"/>
        <w:ind w:firstLineChars="200" w:firstLine="480"/>
        <w:rPr>
          <w:rFonts w:ascii="宋体" w:hAnsi="宋体"/>
          <w:sz w:val="24"/>
          <w:szCs w:val="21"/>
        </w:rPr>
      </w:pPr>
      <w:r>
        <w:rPr>
          <w:rFonts w:asciiTheme="minorEastAsia" w:hAnsiTheme="minorEastAsia" w:hint="eastAsia"/>
          <w:bCs/>
          <w:color w:val="000000"/>
          <w:sz w:val="24"/>
          <w:szCs w:val="24"/>
        </w:rPr>
        <w:t>广发睿铭两年持有期混合</w:t>
      </w:r>
      <w:r w:rsidR="003F6BE8" w:rsidRPr="00980000">
        <w:rPr>
          <w:rFonts w:ascii="宋体" w:eastAsia="宋体" w:hAnsi="宋体" w:cs="Arial" w:hint="eastAsia"/>
          <w:kern w:val="0"/>
          <w:sz w:val="24"/>
          <w:szCs w:val="24"/>
          <w:lang w:val="x-none" w:eastAsia="x-none"/>
        </w:rPr>
        <w:t>基金募集成立后，</w:t>
      </w:r>
      <w:r w:rsidR="00980000" w:rsidRPr="00980000">
        <w:rPr>
          <w:rFonts w:ascii="宋体" w:hAnsi="宋体" w:hint="eastAsia"/>
          <w:sz w:val="24"/>
          <w:szCs w:val="21"/>
        </w:rPr>
        <w:t>建仓期严格控制仓位，把握建仓节奏，重视持有人体验。</w:t>
      </w:r>
    </w:p>
    <w:p w:rsidR="004E7EB8" w:rsidRDefault="004E7EB8" w:rsidP="004E7EB8">
      <w:pPr>
        <w:spacing w:line="360" w:lineRule="auto"/>
        <w:ind w:firstLineChars="200" w:firstLine="480"/>
        <w:rPr>
          <w:rFonts w:asciiTheme="minorEastAsia" w:hAnsiTheme="minorEastAsia"/>
          <w:bCs/>
          <w:color w:val="000000"/>
          <w:sz w:val="24"/>
          <w:szCs w:val="24"/>
        </w:rPr>
      </w:pPr>
      <w:r>
        <w:rPr>
          <w:rFonts w:asciiTheme="minorEastAsia" w:hAnsiTheme="minorEastAsia" w:hint="eastAsia"/>
          <w:bCs/>
          <w:color w:val="000000"/>
          <w:sz w:val="24"/>
          <w:szCs w:val="24"/>
        </w:rPr>
        <w:t>根据广发</w:t>
      </w:r>
      <w:r w:rsidRPr="00120B6D">
        <w:rPr>
          <w:rFonts w:asciiTheme="minorEastAsia" w:hAnsiTheme="minorEastAsia" w:hint="eastAsia"/>
          <w:bCs/>
          <w:color w:val="000000"/>
          <w:sz w:val="24"/>
          <w:szCs w:val="24"/>
        </w:rPr>
        <w:t>基金官网显示，广发睿铭两年持有期混合型证券投资基金</w:t>
      </w:r>
      <w:r>
        <w:rPr>
          <w:rFonts w:asciiTheme="minorEastAsia" w:hAnsiTheme="minorEastAsia" w:hint="eastAsia"/>
          <w:bCs/>
          <w:color w:val="000000"/>
          <w:sz w:val="24"/>
          <w:szCs w:val="24"/>
        </w:rPr>
        <w:t>的产品风险等级为</w:t>
      </w:r>
      <w:r w:rsidRPr="00120B6D">
        <w:rPr>
          <w:rFonts w:asciiTheme="minorEastAsia" w:hAnsiTheme="minorEastAsia"/>
          <w:bCs/>
          <w:color w:val="000000"/>
          <w:sz w:val="24"/>
          <w:szCs w:val="24"/>
        </w:rPr>
        <w:t>中风险（R3），适合风险等级R3及以上的客户购买。</w:t>
      </w:r>
      <w:r w:rsidRPr="00120B6D">
        <w:rPr>
          <w:rFonts w:asciiTheme="minorEastAsia" w:hAnsiTheme="minorEastAsia" w:hint="eastAsia"/>
          <w:bCs/>
          <w:color w:val="000000"/>
          <w:sz w:val="24"/>
          <w:szCs w:val="24"/>
        </w:rPr>
        <w:t>（此为管理人评级，具体销售以各代销机构评级为准）。</w:t>
      </w:r>
    </w:p>
    <w:p w:rsidR="00C7144B" w:rsidRPr="004E7EB8" w:rsidRDefault="00C7144B" w:rsidP="00980000">
      <w:pPr>
        <w:spacing w:line="360" w:lineRule="auto"/>
        <w:ind w:firstLineChars="200" w:firstLine="480"/>
        <w:rPr>
          <w:rFonts w:asciiTheme="minorEastAsia" w:hAnsiTheme="minorEastAsia"/>
          <w:bCs/>
          <w:color w:val="000000"/>
          <w:sz w:val="24"/>
          <w:szCs w:val="24"/>
        </w:rPr>
      </w:pPr>
    </w:p>
    <w:p w:rsidR="00EF4F7D" w:rsidRDefault="0061728A" w:rsidP="00EF4F7D">
      <w:pPr>
        <w:pStyle w:val="a5"/>
        <w:numPr>
          <w:ilvl w:val="0"/>
          <w:numId w:val="1"/>
        </w:numPr>
        <w:spacing w:line="360" w:lineRule="auto"/>
        <w:ind w:firstLineChars="0"/>
        <w:outlineLvl w:val="0"/>
        <w:rPr>
          <w:rFonts w:asciiTheme="minorEastAsia" w:hAnsiTheme="minorEastAsia"/>
          <w:b/>
          <w:sz w:val="24"/>
          <w:szCs w:val="24"/>
        </w:rPr>
      </w:pPr>
      <w:bookmarkStart w:id="4" w:name="_Toc66712994"/>
      <w:r>
        <w:rPr>
          <w:rFonts w:asciiTheme="minorEastAsia" w:hAnsiTheme="minorEastAsia" w:hint="eastAsia"/>
          <w:b/>
          <w:sz w:val="24"/>
          <w:szCs w:val="24"/>
        </w:rPr>
        <w:t>广发睿铭两年持有期混合</w:t>
      </w:r>
      <w:r w:rsidR="00EF4F7D">
        <w:rPr>
          <w:rFonts w:asciiTheme="minorEastAsia" w:hAnsiTheme="minorEastAsia" w:hint="eastAsia"/>
          <w:b/>
          <w:sz w:val="24"/>
          <w:szCs w:val="24"/>
        </w:rPr>
        <w:t>发行日期是什么时候</w:t>
      </w:r>
      <w:r w:rsidR="00EF4F7D" w:rsidRPr="002F1164">
        <w:rPr>
          <w:rFonts w:asciiTheme="minorEastAsia" w:hAnsiTheme="minorEastAsia"/>
          <w:b/>
          <w:sz w:val="24"/>
          <w:szCs w:val="24"/>
        </w:rPr>
        <w:t>？</w:t>
      </w:r>
      <w:bookmarkEnd w:id="4"/>
    </w:p>
    <w:p w:rsidR="00FF1BE3" w:rsidRDefault="0061728A" w:rsidP="00FF1BE3">
      <w:pPr>
        <w:spacing w:line="360" w:lineRule="auto"/>
        <w:ind w:firstLineChars="200" w:firstLine="480"/>
        <w:rPr>
          <w:rFonts w:asciiTheme="minorEastAsia" w:hAnsiTheme="minorEastAsia"/>
          <w:bCs/>
          <w:color w:val="000000"/>
          <w:sz w:val="24"/>
          <w:szCs w:val="24"/>
        </w:rPr>
      </w:pPr>
      <w:r>
        <w:rPr>
          <w:rFonts w:asciiTheme="minorEastAsia" w:hAnsiTheme="minorEastAsia" w:hint="eastAsia"/>
          <w:bCs/>
          <w:color w:val="000000"/>
          <w:sz w:val="24"/>
          <w:szCs w:val="24"/>
        </w:rPr>
        <w:t>广发睿铭两年持有期混合</w:t>
      </w:r>
      <w:r w:rsidR="00EF4F7D" w:rsidRPr="00B9574A">
        <w:rPr>
          <w:rFonts w:asciiTheme="minorEastAsia" w:hAnsiTheme="minorEastAsia" w:hint="eastAsia"/>
          <w:bCs/>
          <w:color w:val="000000"/>
          <w:sz w:val="24"/>
          <w:szCs w:val="24"/>
        </w:rPr>
        <w:t>的</w:t>
      </w:r>
      <w:r w:rsidR="00EF4F7D" w:rsidRPr="00EF4F7D">
        <w:rPr>
          <w:rFonts w:asciiTheme="minorEastAsia" w:hAnsiTheme="minorEastAsia"/>
          <w:bCs/>
          <w:color w:val="000000"/>
          <w:sz w:val="24"/>
          <w:szCs w:val="24"/>
        </w:rPr>
        <w:t>发售日期</w:t>
      </w:r>
      <w:r w:rsidR="00EF4F7D" w:rsidRPr="00EF4F7D">
        <w:rPr>
          <w:rFonts w:asciiTheme="minorEastAsia" w:hAnsiTheme="minorEastAsia" w:hint="eastAsia"/>
          <w:bCs/>
          <w:color w:val="000000"/>
          <w:sz w:val="24"/>
          <w:szCs w:val="24"/>
        </w:rPr>
        <w:t>为</w:t>
      </w:r>
      <w:r w:rsidR="00304805">
        <w:rPr>
          <w:rFonts w:asciiTheme="minorEastAsia" w:hAnsiTheme="minorEastAsia"/>
          <w:bCs/>
          <w:color w:val="000000"/>
          <w:sz w:val="24"/>
          <w:szCs w:val="24"/>
        </w:rPr>
        <w:t>2021</w:t>
      </w:r>
      <w:r w:rsidR="00EF4F7D" w:rsidRPr="00EF4F7D">
        <w:rPr>
          <w:rFonts w:asciiTheme="minorEastAsia" w:hAnsiTheme="minorEastAsia"/>
          <w:bCs/>
          <w:color w:val="000000"/>
          <w:sz w:val="24"/>
          <w:szCs w:val="24"/>
        </w:rPr>
        <w:t>年</w:t>
      </w:r>
      <w:r w:rsidR="00CC24E1">
        <w:rPr>
          <w:rFonts w:asciiTheme="minorEastAsia" w:hAnsiTheme="minorEastAsia"/>
          <w:bCs/>
          <w:color w:val="000000"/>
          <w:sz w:val="24"/>
          <w:szCs w:val="24"/>
        </w:rPr>
        <w:t>4</w:t>
      </w:r>
      <w:r w:rsidR="00EF4F7D" w:rsidRPr="00EF4F7D">
        <w:rPr>
          <w:rFonts w:asciiTheme="minorEastAsia" w:hAnsiTheme="minorEastAsia"/>
          <w:bCs/>
          <w:color w:val="000000"/>
          <w:sz w:val="24"/>
          <w:szCs w:val="24"/>
        </w:rPr>
        <w:t>月</w:t>
      </w:r>
      <w:r w:rsidR="00CC24E1">
        <w:rPr>
          <w:rFonts w:asciiTheme="minorEastAsia" w:hAnsiTheme="minorEastAsia"/>
          <w:bCs/>
          <w:color w:val="000000"/>
          <w:sz w:val="24"/>
          <w:szCs w:val="24"/>
        </w:rPr>
        <w:t>7</w:t>
      </w:r>
      <w:r w:rsidR="00EF4F7D" w:rsidRPr="000E5B3B">
        <w:rPr>
          <w:rFonts w:asciiTheme="minorEastAsia" w:hAnsiTheme="minorEastAsia"/>
          <w:bCs/>
          <w:color w:val="000000"/>
          <w:sz w:val="24"/>
          <w:szCs w:val="24"/>
        </w:rPr>
        <w:t>日</w:t>
      </w:r>
      <w:r w:rsidR="00CC24E1" w:rsidRPr="000E5B3B">
        <w:rPr>
          <w:rFonts w:asciiTheme="minorEastAsia" w:hAnsiTheme="minorEastAsia" w:hint="eastAsia"/>
          <w:bCs/>
          <w:color w:val="000000"/>
          <w:sz w:val="24"/>
          <w:szCs w:val="24"/>
        </w:rPr>
        <w:t>-4月16日</w:t>
      </w:r>
      <w:r w:rsidR="00044D57">
        <w:rPr>
          <w:rFonts w:asciiTheme="minorEastAsia" w:hAnsiTheme="minorEastAsia"/>
          <w:bCs/>
          <w:color w:val="000000"/>
          <w:sz w:val="24"/>
          <w:szCs w:val="24"/>
        </w:rPr>
        <w:t>。</w:t>
      </w:r>
    </w:p>
    <w:p w:rsidR="00120B6D" w:rsidRPr="00120B6D" w:rsidRDefault="00120B6D" w:rsidP="004E7EB8">
      <w:pPr>
        <w:spacing w:line="360" w:lineRule="auto"/>
        <w:rPr>
          <w:rFonts w:asciiTheme="minorEastAsia" w:hAnsiTheme="minorEastAsia"/>
          <w:bCs/>
          <w:color w:val="000000"/>
          <w:sz w:val="24"/>
          <w:szCs w:val="24"/>
        </w:rPr>
      </w:pPr>
    </w:p>
    <w:p w:rsidR="009E162F" w:rsidRPr="000938A9" w:rsidRDefault="00A43193" w:rsidP="000938A9">
      <w:pPr>
        <w:pStyle w:val="a5"/>
        <w:numPr>
          <w:ilvl w:val="0"/>
          <w:numId w:val="1"/>
        </w:numPr>
        <w:spacing w:line="360" w:lineRule="auto"/>
        <w:ind w:firstLineChars="0"/>
        <w:outlineLvl w:val="0"/>
        <w:rPr>
          <w:rFonts w:asciiTheme="minorEastAsia" w:hAnsiTheme="minorEastAsia"/>
          <w:b/>
          <w:sz w:val="24"/>
          <w:szCs w:val="24"/>
        </w:rPr>
      </w:pPr>
      <w:bookmarkStart w:id="5" w:name="_Toc66712995"/>
      <w:r>
        <w:rPr>
          <w:rFonts w:asciiTheme="minorEastAsia" w:hAnsiTheme="minorEastAsia" w:hint="eastAsia"/>
          <w:b/>
          <w:sz w:val="24"/>
          <w:szCs w:val="24"/>
        </w:rPr>
        <w:t>广发睿铭两年持有期混合的</w:t>
      </w:r>
      <w:r w:rsidR="009E162F">
        <w:rPr>
          <w:rFonts w:asciiTheme="minorEastAsia" w:hAnsiTheme="minorEastAsia" w:hint="eastAsia"/>
          <w:b/>
          <w:sz w:val="24"/>
          <w:szCs w:val="24"/>
        </w:rPr>
        <w:t>购买门槛、购买渠道是什么？</w:t>
      </w:r>
      <w:bookmarkEnd w:id="5"/>
    </w:p>
    <w:p w:rsidR="00F15B24" w:rsidRDefault="00F15B24" w:rsidP="00D47433">
      <w:pPr>
        <w:spacing w:line="360" w:lineRule="auto"/>
        <w:rPr>
          <w:rFonts w:asciiTheme="minorEastAsia" w:hAnsiTheme="minorEastAsia"/>
          <w:bCs/>
          <w:color w:val="000000"/>
          <w:sz w:val="24"/>
          <w:szCs w:val="24"/>
        </w:rPr>
      </w:pPr>
      <w:r w:rsidRPr="00F15B24">
        <w:rPr>
          <w:rFonts w:asciiTheme="minorEastAsia" w:hAnsiTheme="minorEastAsia" w:hint="eastAsia"/>
          <w:b/>
          <w:bCs/>
          <w:color w:val="000000"/>
          <w:sz w:val="24"/>
          <w:szCs w:val="24"/>
        </w:rPr>
        <w:t>购买门槛：</w:t>
      </w:r>
      <w:r w:rsidR="003106B2" w:rsidRPr="00120B6D">
        <w:rPr>
          <w:rFonts w:asciiTheme="minorEastAsia" w:hAnsiTheme="minorEastAsia" w:hint="eastAsia"/>
          <w:bCs/>
          <w:color w:val="000000"/>
          <w:sz w:val="24"/>
          <w:szCs w:val="24"/>
        </w:rPr>
        <w:t>广发睿铭两年持有期混合型证券投资基金</w:t>
      </w:r>
      <w:r w:rsidRPr="00F15B24">
        <w:rPr>
          <w:rFonts w:asciiTheme="minorEastAsia" w:hAnsiTheme="minorEastAsia" w:hint="eastAsia"/>
          <w:bCs/>
          <w:color w:val="000000"/>
          <w:sz w:val="24"/>
          <w:szCs w:val="24"/>
        </w:rPr>
        <w:t xml:space="preserve">为广大普通投资者提供了便捷投资途径，认购金额最低至 10 元（含认购费） 。（具体以各渠道公告为准） </w:t>
      </w:r>
    </w:p>
    <w:p w:rsidR="00104ADB" w:rsidRDefault="00F15B24" w:rsidP="00D47433">
      <w:pPr>
        <w:spacing w:line="360" w:lineRule="auto"/>
        <w:rPr>
          <w:rFonts w:asciiTheme="minorEastAsia" w:hAnsiTheme="minorEastAsia"/>
          <w:bCs/>
          <w:color w:val="000000"/>
          <w:sz w:val="24"/>
          <w:szCs w:val="24"/>
        </w:rPr>
      </w:pPr>
      <w:r w:rsidRPr="00F15B24">
        <w:rPr>
          <w:rFonts w:asciiTheme="minorEastAsia" w:hAnsiTheme="minorEastAsia" w:hint="eastAsia"/>
          <w:b/>
          <w:bCs/>
          <w:color w:val="000000"/>
          <w:sz w:val="24"/>
          <w:szCs w:val="24"/>
        </w:rPr>
        <w:t>购买渠道：</w:t>
      </w:r>
      <w:r w:rsidRPr="00F15B24">
        <w:rPr>
          <w:rFonts w:asciiTheme="minorEastAsia" w:hAnsiTheme="minorEastAsia" w:hint="eastAsia"/>
          <w:bCs/>
          <w:color w:val="000000"/>
          <w:sz w:val="24"/>
          <w:szCs w:val="24"/>
        </w:rPr>
        <w:t>可通过</w:t>
      </w:r>
      <w:r w:rsidR="00FA2C91">
        <w:rPr>
          <w:rFonts w:asciiTheme="minorEastAsia" w:hAnsiTheme="minorEastAsia" w:hint="eastAsia"/>
          <w:bCs/>
          <w:color w:val="000000"/>
          <w:sz w:val="24"/>
          <w:szCs w:val="24"/>
        </w:rPr>
        <w:t>光大</w:t>
      </w:r>
      <w:r w:rsidRPr="00F15B24">
        <w:rPr>
          <w:rFonts w:asciiTheme="minorEastAsia" w:hAnsiTheme="minorEastAsia" w:hint="eastAsia"/>
          <w:bCs/>
          <w:color w:val="000000"/>
          <w:sz w:val="24"/>
          <w:szCs w:val="24"/>
        </w:rPr>
        <w:t>银行等</w:t>
      </w:r>
      <w:r w:rsidR="00FA2C91">
        <w:rPr>
          <w:rFonts w:asciiTheme="minorEastAsia" w:hAnsiTheme="minorEastAsia" w:hint="eastAsia"/>
          <w:bCs/>
          <w:color w:val="000000"/>
          <w:sz w:val="24"/>
          <w:szCs w:val="24"/>
        </w:rPr>
        <w:t>各大</w:t>
      </w:r>
      <w:r w:rsidRPr="00F15B24">
        <w:rPr>
          <w:rFonts w:asciiTheme="minorEastAsia" w:hAnsiTheme="minorEastAsia" w:hint="eastAsia"/>
          <w:bCs/>
          <w:color w:val="000000"/>
          <w:sz w:val="24"/>
          <w:szCs w:val="24"/>
        </w:rPr>
        <w:t>销售渠道进行认购。</w:t>
      </w:r>
    </w:p>
    <w:p w:rsidR="00F15B24" w:rsidRPr="00F15B24" w:rsidRDefault="00F15B24" w:rsidP="00D47433">
      <w:pPr>
        <w:spacing w:line="360" w:lineRule="auto"/>
        <w:rPr>
          <w:rFonts w:asciiTheme="minorEastAsia" w:hAnsiTheme="minorEastAsia"/>
          <w:bCs/>
          <w:color w:val="000000"/>
          <w:sz w:val="24"/>
          <w:szCs w:val="24"/>
        </w:rPr>
      </w:pPr>
    </w:p>
    <w:p w:rsidR="00216387" w:rsidRDefault="00190C35" w:rsidP="00216387">
      <w:pPr>
        <w:pStyle w:val="a5"/>
        <w:numPr>
          <w:ilvl w:val="0"/>
          <w:numId w:val="1"/>
        </w:numPr>
        <w:spacing w:line="360" w:lineRule="auto"/>
        <w:ind w:firstLineChars="0"/>
        <w:outlineLvl w:val="0"/>
        <w:rPr>
          <w:rFonts w:asciiTheme="minorEastAsia" w:hAnsiTheme="minorEastAsia"/>
          <w:b/>
          <w:sz w:val="24"/>
          <w:szCs w:val="24"/>
        </w:rPr>
      </w:pPr>
      <w:bookmarkStart w:id="6" w:name="_Toc29539222"/>
      <w:bookmarkStart w:id="7" w:name="_Toc57627831"/>
      <w:bookmarkStart w:id="8" w:name="_Toc66712996"/>
      <w:r w:rsidRPr="0001671F">
        <w:rPr>
          <w:rFonts w:asciiTheme="minorEastAsia" w:hAnsiTheme="minorEastAsia"/>
          <w:noProof/>
          <w:sz w:val="24"/>
        </w:rPr>
        <w:lastRenderedPageBreak/>
        <w:drawing>
          <wp:anchor distT="0" distB="0" distL="114300" distR="114300" simplePos="0" relativeHeight="251659264" behindDoc="0" locked="0" layoutInCell="1" allowOverlap="1" wp14:anchorId="0F44BF25" wp14:editId="5B65A0B8">
            <wp:simplePos x="0" y="0"/>
            <wp:positionH relativeFrom="column">
              <wp:posOffset>-352425</wp:posOffset>
            </wp:positionH>
            <wp:positionV relativeFrom="paragraph">
              <wp:posOffset>306070</wp:posOffset>
            </wp:positionV>
            <wp:extent cx="1784350" cy="2676525"/>
            <wp:effectExtent l="0" t="0" r="6350" b="9525"/>
            <wp:wrapSquare wrapText="bothSides"/>
            <wp:docPr id="1" name="图片 1" descr="\\10.88.101.249\共享网盘-外网\营销管理部\基金经理形象照（新版-天真蓝）\价值投资部王明旭（半身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88.101.249\共享网盘-外网\营销管理部\基金经理形象照（新版-天真蓝）\价值投资部王明旭（半身照）.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350" cy="2676525"/>
                    </a:xfrm>
                    <a:prstGeom prst="rect">
                      <a:avLst/>
                    </a:prstGeom>
                    <a:noFill/>
                    <a:ln>
                      <a:noFill/>
                    </a:ln>
                  </pic:spPr>
                </pic:pic>
              </a:graphicData>
            </a:graphic>
          </wp:anchor>
        </w:drawing>
      </w:r>
      <w:r w:rsidR="002461C9">
        <w:rPr>
          <w:rFonts w:asciiTheme="minorEastAsia" w:hAnsiTheme="minorEastAsia" w:hint="eastAsia"/>
          <w:b/>
          <w:sz w:val="24"/>
          <w:szCs w:val="24"/>
        </w:rPr>
        <w:t>请介绍一下</w:t>
      </w:r>
      <w:r w:rsidR="0061728A">
        <w:rPr>
          <w:rFonts w:asciiTheme="minorEastAsia" w:hAnsiTheme="minorEastAsia" w:hint="eastAsia"/>
          <w:b/>
          <w:sz w:val="24"/>
          <w:szCs w:val="24"/>
        </w:rPr>
        <w:t>广发睿铭两年持有期混合</w:t>
      </w:r>
      <w:r w:rsidR="002461C9" w:rsidRPr="0023261B">
        <w:rPr>
          <w:rFonts w:asciiTheme="minorEastAsia" w:hAnsiTheme="minorEastAsia" w:hint="eastAsia"/>
          <w:b/>
          <w:sz w:val="24"/>
          <w:szCs w:val="24"/>
        </w:rPr>
        <w:t>的拟任基金经理?</w:t>
      </w:r>
      <w:bookmarkEnd w:id="6"/>
      <w:bookmarkEnd w:id="7"/>
      <w:bookmarkEnd w:id="8"/>
    </w:p>
    <w:p w:rsidR="003359A6" w:rsidRDefault="00190C35" w:rsidP="00023353">
      <w:pPr>
        <w:pStyle w:val="a5"/>
        <w:numPr>
          <w:ilvl w:val="0"/>
          <w:numId w:val="33"/>
        </w:numPr>
        <w:spacing w:line="360" w:lineRule="auto"/>
        <w:ind w:firstLineChars="0"/>
        <w:rPr>
          <w:sz w:val="24"/>
        </w:rPr>
      </w:pPr>
      <w:r w:rsidRPr="0001671F">
        <w:rPr>
          <w:rFonts w:hint="eastAsia"/>
          <w:b/>
          <w:sz w:val="24"/>
        </w:rPr>
        <w:t>横跨三界：</w:t>
      </w:r>
      <w:r>
        <w:rPr>
          <w:rFonts w:asciiTheme="minorEastAsia" w:hAnsiTheme="minorEastAsia" w:hint="eastAsia"/>
          <w:sz w:val="24"/>
        </w:rPr>
        <w:t>拟任基金经理王明旭</w:t>
      </w:r>
      <w:r w:rsidRPr="00190C35">
        <w:rPr>
          <w:sz w:val="24"/>
        </w:rPr>
        <w:t>16</w:t>
      </w:r>
      <w:r w:rsidRPr="00190C35">
        <w:rPr>
          <w:rFonts w:hint="eastAsia"/>
          <w:sz w:val="24"/>
        </w:rPr>
        <w:t>年证券从业经历，超</w:t>
      </w:r>
      <w:r w:rsidRPr="00190C35">
        <w:rPr>
          <w:sz w:val="24"/>
        </w:rPr>
        <w:t>2</w:t>
      </w:r>
      <w:r w:rsidRPr="00190C35">
        <w:rPr>
          <w:rFonts w:hint="eastAsia"/>
          <w:sz w:val="24"/>
        </w:rPr>
        <w:t>年公募基金管理经验，投资经历横跨公募基金、保险资管、券商研究“三界”</w:t>
      </w:r>
      <w:r w:rsidRPr="00190C35">
        <w:rPr>
          <w:sz w:val="24"/>
        </w:rPr>
        <w:t>。</w:t>
      </w:r>
    </w:p>
    <w:p w:rsidR="00023353" w:rsidRPr="00023353" w:rsidRDefault="00190C35" w:rsidP="00023353">
      <w:pPr>
        <w:pStyle w:val="a5"/>
        <w:numPr>
          <w:ilvl w:val="0"/>
          <w:numId w:val="33"/>
        </w:numPr>
        <w:spacing w:line="360" w:lineRule="auto"/>
        <w:ind w:firstLineChars="0"/>
        <w:rPr>
          <w:sz w:val="24"/>
        </w:rPr>
      </w:pPr>
      <w:r w:rsidRPr="00023353">
        <w:rPr>
          <w:rFonts w:hint="eastAsia"/>
          <w:sz w:val="24"/>
        </w:rPr>
        <w:t>曾任</w:t>
      </w:r>
      <w:r w:rsidRPr="00023353">
        <w:rPr>
          <w:rFonts w:asciiTheme="minorEastAsia" w:hAnsiTheme="minorEastAsia" w:hint="eastAsia"/>
          <w:bCs/>
          <w:sz w:val="24"/>
          <w:szCs w:val="24"/>
        </w:rPr>
        <w:t>东方证券首席策略师，</w:t>
      </w:r>
      <w:r w:rsidR="00023353" w:rsidRPr="00023353">
        <w:rPr>
          <w:rFonts w:asciiTheme="minorEastAsia" w:hAnsiTheme="minorEastAsia" w:cs="Arial" w:hint="eastAsia"/>
          <w:color w:val="000000"/>
          <w:kern w:val="0"/>
          <w:sz w:val="24"/>
        </w:rPr>
        <w:t>生命人寿资管中心组合投资经理，恒泰证券资产管理部资深投资经理，东方证券研究所首席策略师，兴全基金管理有限公司专户投资部投资经理</w:t>
      </w:r>
      <w:r w:rsidR="00023353">
        <w:rPr>
          <w:rFonts w:asciiTheme="minorEastAsia" w:hAnsiTheme="minorEastAsia" w:cs="Arial" w:hint="eastAsia"/>
          <w:color w:val="000000"/>
          <w:kern w:val="0"/>
          <w:sz w:val="24"/>
        </w:rPr>
        <w:t>，</w:t>
      </w:r>
      <w:r w:rsidR="00023353" w:rsidRPr="00023353">
        <w:rPr>
          <w:rFonts w:asciiTheme="minorEastAsia" w:hAnsiTheme="minorEastAsia" w:cs="Arial"/>
          <w:color w:val="000000"/>
          <w:kern w:val="0"/>
          <w:sz w:val="24"/>
        </w:rPr>
        <w:t>现任广发基金价值投资部基金经理。</w:t>
      </w:r>
    </w:p>
    <w:p w:rsidR="001B6CE9" w:rsidRPr="00EA433B" w:rsidRDefault="00023353" w:rsidP="00575AAC">
      <w:pPr>
        <w:pStyle w:val="a5"/>
        <w:numPr>
          <w:ilvl w:val="0"/>
          <w:numId w:val="33"/>
        </w:numPr>
        <w:spacing w:line="360" w:lineRule="auto"/>
        <w:ind w:firstLineChars="0"/>
        <w:rPr>
          <w:sz w:val="24"/>
        </w:rPr>
      </w:pPr>
      <w:r w:rsidRPr="00023353">
        <w:rPr>
          <w:rFonts w:hint="eastAsia"/>
          <w:b/>
          <w:sz w:val="24"/>
        </w:rPr>
        <w:t>宏观视野：</w:t>
      </w:r>
      <w:r w:rsidRPr="00023353">
        <w:rPr>
          <w:rFonts w:asciiTheme="minorEastAsia" w:hAnsiTheme="minorEastAsia" w:hint="eastAsia"/>
          <w:bCs/>
          <w:sz w:val="24"/>
          <w:szCs w:val="24"/>
        </w:rPr>
        <w:t>多年的宏观策略研究背景使其成为业内少有的能自上而下进行选股且跟踪捕捉周期性机会的基金经理。</w:t>
      </w:r>
    </w:p>
    <w:p w:rsidR="00023353" w:rsidRDefault="00023353" w:rsidP="00023353">
      <w:pPr>
        <w:pStyle w:val="a5"/>
        <w:ind w:left="420" w:firstLineChars="0" w:firstLine="0"/>
        <w:rPr>
          <w:rFonts w:asciiTheme="minorEastAsia" w:hAnsiTheme="minorEastAsia" w:cs="Arial"/>
          <w:color w:val="000000"/>
          <w:sz w:val="24"/>
          <w:szCs w:val="24"/>
        </w:rPr>
      </w:pPr>
    </w:p>
    <w:p w:rsidR="00023353" w:rsidRPr="0023261B" w:rsidRDefault="00023353" w:rsidP="00023353">
      <w:pPr>
        <w:pStyle w:val="a5"/>
        <w:numPr>
          <w:ilvl w:val="0"/>
          <w:numId w:val="1"/>
        </w:numPr>
        <w:spacing w:line="360" w:lineRule="auto"/>
        <w:ind w:firstLineChars="0"/>
        <w:outlineLvl w:val="0"/>
        <w:rPr>
          <w:rFonts w:asciiTheme="minorEastAsia" w:hAnsiTheme="minorEastAsia"/>
          <w:b/>
          <w:sz w:val="24"/>
          <w:szCs w:val="24"/>
        </w:rPr>
      </w:pPr>
      <w:bookmarkStart w:id="9" w:name="_Toc29539223"/>
      <w:bookmarkStart w:id="10" w:name="_Toc57627833"/>
      <w:bookmarkStart w:id="11" w:name="_Toc66712997"/>
      <w:r>
        <w:rPr>
          <w:rFonts w:asciiTheme="minorEastAsia" w:hAnsiTheme="minorEastAsia" w:hint="eastAsia"/>
          <w:b/>
          <w:sz w:val="24"/>
          <w:szCs w:val="24"/>
        </w:rPr>
        <w:t>拟任基金经理的投资</w:t>
      </w:r>
      <w:r w:rsidR="00575AAC">
        <w:rPr>
          <w:rFonts w:asciiTheme="minorEastAsia" w:hAnsiTheme="minorEastAsia" w:hint="eastAsia"/>
          <w:b/>
          <w:sz w:val="24"/>
          <w:szCs w:val="24"/>
        </w:rPr>
        <w:t>风格</w:t>
      </w:r>
      <w:r>
        <w:rPr>
          <w:rFonts w:asciiTheme="minorEastAsia" w:hAnsiTheme="minorEastAsia" w:hint="eastAsia"/>
          <w:b/>
          <w:sz w:val="24"/>
          <w:szCs w:val="24"/>
        </w:rPr>
        <w:t>是什么</w:t>
      </w:r>
      <w:r w:rsidRPr="0023261B">
        <w:rPr>
          <w:rFonts w:asciiTheme="minorEastAsia" w:hAnsiTheme="minorEastAsia" w:hint="eastAsia"/>
          <w:b/>
          <w:sz w:val="24"/>
          <w:szCs w:val="24"/>
        </w:rPr>
        <w:t>？</w:t>
      </w:r>
      <w:bookmarkEnd w:id="9"/>
      <w:bookmarkEnd w:id="10"/>
      <w:bookmarkEnd w:id="11"/>
    </w:p>
    <w:p w:rsidR="00575AAC" w:rsidRPr="00575AAC" w:rsidRDefault="00575AAC" w:rsidP="00575AAC">
      <w:pPr>
        <w:spacing w:line="360" w:lineRule="auto"/>
        <w:ind w:firstLineChars="200" w:firstLine="480"/>
        <w:rPr>
          <w:rFonts w:asciiTheme="minorEastAsia" w:hAnsiTheme="minorEastAsia"/>
          <w:bCs/>
          <w:sz w:val="24"/>
          <w:szCs w:val="24"/>
        </w:rPr>
      </w:pPr>
      <w:r w:rsidRPr="00575AAC">
        <w:rPr>
          <w:rFonts w:asciiTheme="minorEastAsia" w:hAnsiTheme="minorEastAsia" w:hint="eastAsia"/>
          <w:bCs/>
          <w:sz w:val="24"/>
          <w:szCs w:val="24"/>
        </w:rPr>
        <w:t>拟任基金经理王明旭，均衡价值型选手，</w:t>
      </w:r>
      <w:r w:rsidRPr="00575AAC">
        <w:rPr>
          <w:rFonts w:asciiTheme="minorEastAsia" w:hAnsiTheme="minorEastAsia"/>
          <w:bCs/>
          <w:sz w:val="24"/>
          <w:szCs w:val="24"/>
        </w:rPr>
        <w:t>专注大消费+大金融，</w:t>
      </w:r>
      <w:r w:rsidRPr="00575AAC">
        <w:rPr>
          <w:rFonts w:asciiTheme="minorEastAsia" w:hAnsiTheme="minorEastAsia" w:hint="eastAsia"/>
          <w:bCs/>
          <w:sz w:val="24"/>
          <w:szCs w:val="24"/>
        </w:rPr>
        <w:t>寻找景气向上的行业，偏好价值白马龙头股</w:t>
      </w:r>
      <w:r w:rsidRPr="00575AAC">
        <w:rPr>
          <w:rFonts w:hint="eastAsia"/>
          <w:sz w:val="24"/>
        </w:rPr>
        <w:t>。</w:t>
      </w:r>
    </w:p>
    <w:p w:rsidR="00023353" w:rsidRPr="000A66C9" w:rsidRDefault="00023353" w:rsidP="001D5928">
      <w:pPr>
        <w:spacing w:line="360" w:lineRule="auto"/>
        <w:ind w:firstLineChars="200" w:firstLine="482"/>
        <w:rPr>
          <w:b/>
          <w:sz w:val="24"/>
        </w:rPr>
      </w:pPr>
      <w:bookmarkStart w:id="12" w:name="_GoBack"/>
      <w:bookmarkEnd w:id="12"/>
      <w:r>
        <w:rPr>
          <w:rFonts w:hint="eastAsia"/>
          <w:b/>
          <w:sz w:val="24"/>
        </w:rPr>
        <w:t>三大原则：淡化择时</w:t>
      </w:r>
      <w:r w:rsidRPr="000A66C9">
        <w:rPr>
          <w:rFonts w:hint="eastAsia"/>
          <w:b/>
          <w:sz w:val="24"/>
        </w:rPr>
        <w:t>、均衡配置、适度偏离</w:t>
      </w:r>
    </w:p>
    <w:p w:rsidR="00023353" w:rsidRPr="000A66C9" w:rsidRDefault="00023353" w:rsidP="00023353">
      <w:pPr>
        <w:pStyle w:val="a5"/>
        <w:numPr>
          <w:ilvl w:val="0"/>
          <w:numId w:val="29"/>
        </w:numPr>
        <w:spacing w:line="360" w:lineRule="auto"/>
        <w:ind w:firstLineChars="0"/>
        <w:rPr>
          <w:rFonts w:ascii="宋体" w:hAnsi="宋体"/>
          <w:b/>
          <w:sz w:val="24"/>
          <w:szCs w:val="24"/>
        </w:rPr>
      </w:pPr>
      <w:r>
        <w:rPr>
          <w:rFonts w:ascii="宋体" w:hAnsi="宋体" w:hint="eastAsia"/>
          <w:sz w:val="24"/>
          <w:szCs w:val="24"/>
        </w:rPr>
        <w:t>淡化择时</w:t>
      </w:r>
      <w:r w:rsidRPr="000A66C9">
        <w:rPr>
          <w:rFonts w:ascii="宋体" w:hAnsi="宋体" w:hint="eastAsia"/>
          <w:sz w:val="24"/>
          <w:szCs w:val="24"/>
        </w:rPr>
        <w:t>：投资目标是获取长期较好的回报，不依靠交易获取超额收益</w:t>
      </w:r>
    </w:p>
    <w:p w:rsidR="00023353" w:rsidRPr="000A66C9" w:rsidRDefault="00023353" w:rsidP="00023353">
      <w:pPr>
        <w:pStyle w:val="a5"/>
        <w:numPr>
          <w:ilvl w:val="0"/>
          <w:numId w:val="29"/>
        </w:numPr>
        <w:spacing w:line="360" w:lineRule="auto"/>
        <w:ind w:firstLineChars="0"/>
        <w:rPr>
          <w:rFonts w:ascii="宋体" w:hAnsi="宋体"/>
          <w:sz w:val="24"/>
          <w:szCs w:val="24"/>
        </w:rPr>
      </w:pPr>
      <w:r w:rsidRPr="000A66C9">
        <w:rPr>
          <w:rFonts w:ascii="宋体" w:hAnsi="宋体" w:hint="eastAsia"/>
          <w:sz w:val="24"/>
          <w:szCs w:val="24"/>
        </w:rPr>
        <w:t>均衡配置：组合配置均衡，才能每年战胜指数</w:t>
      </w:r>
    </w:p>
    <w:p w:rsidR="00023353" w:rsidRPr="000A66C9" w:rsidRDefault="00023353" w:rsidP="00023353">
      <w:pPr>
        <w:pStyle w:val="a5"/>
        <w:numPr>
          <w:ilvl w:val="0"/>
          <w:numId w:val="29"/>
        </w:numPr>
        <w:spacing w:line="360" w:lineRule="auto"/>
        <w:ind w:firstLineChars="0"/>
        <w:rPr>
          <w:rFonts w:ascii="宋体" w:hAnsi="宋体"/>
          <w:b/>
          <w:sz w:val="24"/>
          <w:szCs w:val="24"/>
        </w:rPr>
      </w:pPr>
      <w:r w:rsidRPr="000A66C9">
        <w:rPr>
          <w:rFonts w:ascii="宋体" w:hAnsi="宋体" w:hint="eastAsia"/>
          <w:sz w:val="24"/>
          <w:szCs w:val="24"/>
        </w:rPr>
        <w:t>适度偏离：在有把握的时候适度做好行业偏离，获取超额收益</w:t>
      </w:r>
    </w:p>
    <w:p w:rsidR="00190C35" w:rsidRPr="001D5928" w:rsidRDefault="00190C35" w:rsidP="00002698">
      <w:pPr>
        <w:pStyle w:val="a5"/>
        <w:ind w:left="420" w:firstLineChars="0" w:firstLine="0"/>
        <w:rPr>
          <w:rFonts w:asciiTheme="minorEastAsia" w:hAnsiTheme="minorEastAsia" w:cs="Arial"/>
          <w:color w:val="000000"/>
          <w:sz w:val="24"/>
          <w:szCs w:val="24"/>
        </w:rPr>
      </w:pPr>
    </w:p>
    <w:p w:rsidR="002461C9" w:rsidRPr="0023261B" w:rsidRDefault="002461C9" w:rsidP="002461C9">
      <w:pPr>
        <w:pStyle w:val="a5"/>
        <w:numPr>
          <w:ilvl w:val="0"/>
          <w:numId w:val="1"/>
        </w:numPr>
        <w:spacing w:line="360" w:lineRule="auto"/>
        <w:ind w:firstLineChars="0"/>
        <w:outlineLvl w:val="0"/>
        <w:rPr>
          <w:rFonts w:asciiTheme="minorEastAsia" w:hAnsiTheme="minorEastAsia"/>
          <w:b/>
          <w:sz w:val="24"/>
          <w:szCs w:val="24"/>
        </w:rPr>
      </w:pPr>
      <w:bookmarkStart w:id="13" w:name="_Toc57627832"/>
      <w:bookmarkStart w:id="14" w:name="_Toc66712998"/>
      <w:r w:rsidRPr="0023261B">
        <w:rPr>
          <w:rFonts w:asciiTheme="minorEastAsia" w:hAnsiTheme="minorEastAsia" w:hint="eastAsia"/>
          <w:b/>
          <w:sz w:val="24"/>
          <w:szCs w:val="24"/>
        </w:rPr>
        <w:t>请介绍一下</w:t>
      </w:r>
      <w:r w:rsidR="0061728A">
        <w:rPr>
          <w:rFonts w:asciiTheme="minorEastAsia" w:hAnsiTheme="minorEastAsia" w:hint="eastAsia"/>
          <w:b/>
          <w:sz w:val="24"/>
          <w:szCs w:val="24"/>
        </w:rPr>
        <w:t>广发睿铭两年持有期混合</w:t>
      </w:r>
      <w:r w:rsidR="00DC2513">
        <w:rPr>
          <w:rFonts w:asciiTheme="minorEastAsia" w:hAnsiTheme="minorEastAsia" w:hint="eastAsia"/>
          <w:b/>
          <w:sz w:val="24"/>
          <w:szCs w:val="24"/>
        </w:rPr>
        <w:t>拟任基金经理</w:t>
      </w:r>
      <w:r w:rsidRPr="0023261B">
        <w:rPr>
          <w:rFonts w:asciiTheme="minorEastAsia" w:hAnsiTheme="minorEastAsia" w:hint="eastAsia"/>
          <w:b/>
          <w:sz w:val="24"/>
          <w:szCs w:val="24"/>
        </w:rPr>
        <w:t>过往投资业绩？</w:t>
      </w:r>
      <w:bookmarkEnd w:id="13"/>
      <w:bookmarkEnd w:id="14"/>
    </w:p>
    <w:p w:rsidR="00D35431" w:rsidRDefault="00D35431" w:rsidP="00062D5A">
      <w:pPr>
        <w:pStyle w:val="a5"/>
        <w:spacing w:beforeLines="50" w:before="156"/>
        <w:ind w:left="420" w:firstLineChars="0" w:firstLine="0"/>
        <w:jc w:val="center"/>
        <w:rPr>
          <w:rFonts w:ascii="宋体" w:hAnsi="宋体"/>
          <w:b/>
          <w:bCs/>
          <w:sz w:val="18"/>
          <w:szCs w:val="18"/>
        </w:rPr>
      </w:pPr>
      <w:r>
        <w:rPr>
          <w:noProof/>
        </w:rPr>
        <w:drawing>
          <wp:inline distT="0" distB="0" distL="0" distR="0">
            <wp:extent cx="4352925" cy="2083753"/>
            <wp:effectExtent l="0" t="0" r="0" b="0"/>
            <wp:docPr id="3" name="图片 3" descr="C:\Users\lzs\AppData\Local\Temp\企业微信截图_16157915673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zs\AppData\Local\Temp\企业微信截图_161579156738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3927" cy="2089020"/>
                    </a:xfrm>
                    <a:prstGeom prst="rect">
                      <a:avLst/>
                    </a:prstGeom>
                    <a:noFill/>
                    <a:ln>
                      <a:noFill/>
                    </a:ln>
                  </pic:spPr>
                </pic:pic>
              </a:graphicData>
            </a:graphic>
          </wp:inline>
        </w:drawing>
      </w:r>
    </w:p>
    <w:p w:rsidR="00D35431" w:rsidRDefault="00D35431" w:rsidP="00062D5A">
      <w:pPr>
        <w:pStyle w:val="a5"/>
        <w:spacing w:beforeLines="50" w:before="156"/>
        <w:ind w:left="420" w:firstLineChars="0" w:firstLine="0"/>
        <w:jc w:val="center"/>
        <w:rPr>
          <w:rFonts w:ascii="宋体" w:hAnsi="宋体"/>
          <w:b/>
          <w:bCs/>
          <w:sz w:val="18"/>
          <w:szCs w:val="18"/>
        </w:rPr>
      </w:pPr>
      <w:r>
        <w:rPr>
          <w:noProof/>
        </w:rPr>
        <w:lastRenderedPageBreak/>
        <w:drawing>
          <wp:inline distT="0" distB="0" distL="0" distR="0">
            <wp:extent cx="4621175" cy="1743075"/>
            <wp:effectExtent l="0" t="0" r="8255" b="0"/>
            <wp:docPr id="4" name="图片 4" descr="C:\Users\lzs\AppData\Local\Temp\企业微信截图_16157915976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zs\AppData\Local\Temp\企业微信截图_16157915976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6258" cy="1744992"/>
                    </a:xfrm>
                    <a:prstGeom prst="rect">
                      <a:avLst/>
                    </a:prstGeom>
                    <a:noFill/>
                    <a:ln>
                      <a:noFill/>
                    </a:ln>
                  </pic:spPr>
                </pic:pic>
              </a:graphicData>
            </a:graphic>
          </wp:inline>
        </w:drawing>
      </w:r>
    </w:p>
    <w:p w:rsidR="00062D5A" w:rsidRPr="0001671F" w:rsidRDefault="00062D5A" w:rsidP="00062D5A">
      <w:pPr>
        <w:pStyle w:val="a5"/>
        <w:spacing w:beforeLines="50" w:before="156"/>
        <w:ind w:left="420" w:firstLineChars="0" w:firstLine="0"/>
        <w:jc w:val="center"/>
        <w:rPr>
          <w:rFonts w:ascii="宋体" w:hAnsi="宋体"/>
          <w:b/>
          <w:bCs/>
          <w:sz w:val="18"/>
          <w:szCs w:val="18"/>
        </w:rPr>
      </w:pPr>
      <w:r w:rsidRPr="0001671F">
        <w:rPr>
          <w:rFonts w:ascii="宋体" w:hAnsi="宋体" w:hint="eastAsia"/>
          <w:b/>
          <w:bCs/>
          <w:sz w:val="18"/>
          <w:szCs w:val="18"/>
        </w:rPr>
        <w:t>表：王明旭目前管理基金业绩情况</w:t>
      </w:r>
    </w:p>
    <w:tbl>
      <w:tblPr>
        <w:tblStyle w:val="4-21"/>
        <w:tblW w:w="5000" w:type="pct"/>
        <w:tblLook w:val="04A0" w:firstRow="1" w:lastRow="0" w:firstColumn="1" w:lastColumn="0" w:noHBand="0" w:noVBand="1"/>
      </w:tblPr>
      <w:tblGrid>
        <w:gridCol w:w="1557"/>
        <w:gridCol w:w="1560"/>
        <w:gridCol w:w="1415"/>
        <w:gridCol w:w="1224"/>
        <w:gridCol w:w="1312"/>
        <w:gridCol w:w="1228"/>
      </w:tblGrid>
      <w:tr w:rsidR="00062D5A" w:rsidRPr="0001671F" w:rsidTr="004A4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pct"/>
            <w:vAlign w:val="center"/>
            <w:hideMark/>
          </w:tcPr>
          <w:p w:rsidR="00062D5A" w:rsidRPr="0001671F" w:rsidRDefault="00062D5A" w:rsidP="004A4F19">
            <w:pPr>
              <w:widowControl/>
              <w:jc w:val="center"/>
              <w:rPr>
                <w:rFonts w:asciiTheme="minorEastAsia" w:hAnsiTheme="minorEastAsia" w:cs="Arial"/>
                <w:sz w:val="21"/>
                <w:szCs w:val="21"/>
              </w:rPr>
            </w:pPr>
            <w:bookmarkStart w:id="15" w:name="_Hlk45230999"/>
            <w:r w:rsidRPr="0001671F">
              <w:rPr>
                <w:rFonts w:asciiTheme="minorEastAsia" w:hAnsiTheme="minorEastAsia" w:cs="Arial"/>
                <w:sz w:val="21"/>
                <w:szCs w:val="21"/>
              </w:rPr>
              <w:t>产品名称</w:t>
            </w:r>
          </w:p>
        </w:tc>
        <w:tc>
          <w:tcPr>
            <w:tcW w:w="940" w:type="pct"/>
            <w:vAlign w:val="center"/>
            <w:hideMark/>
          </w:tcPr>
          <w:p w:rsidR="00062D5A" w:rsidRPr="0001671F" w:rsidRDefault="00062D5A" w:rsidP="004A4F19">
            <w:pPr>
              <w:widowControl/>
              <w:wordWrap w:val="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sz w:val="21"/>
                <w:szCs w:val="21"/>
              </w:rPr>
            </w:pPr>
            <w:r w:rsidRPr="0001671F">
              <w:rPr>
                <w:rFonts w:asciiTheme="minorEastAsia" w:hAnsiTheme="minorEastAsia" w:cs="Arial"/>
                <w:sz w:val="21"/>
                <w:szCs w:val="21"/>
              </w:rPr>
              <w:t>任职日期</w:t>
            </w:r>
          </w:p>
        </w:tc>
        <w:tc>
          <w:tcPr>
            <w:tcW w:w="853" w:type="pct"/>
            <w:vAlign w:val="center"/>
            <w:hideMark/>
          </w:tcPr>
          <w:p w:rsidR="00062D5A" w:rsidRPr="0001671F" w:rsidRDefault="00062D5A" w:rsidP="004A4F19">
            <w:pPr>
              <w:widowControl/>
              <w:wordWrap w:val="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sz w:val="21"/>
                <w:szCs w:val="21"/>
              </w:rPr>
            </w:pPr>
            <w:r w:rsidRPr="0001671F">
              <w:rPr>
                <w:rFonts w:asciiTheme="minorEastAsia" w:hAnsiTheme="minorEastAsia" w:cs="Arial"/>
                <w:sz w:val="21"/>
                <w:szCs w:val="21"/>
              </w:rPr>
              <w:t>任职回报</w:t>
            </w:r>
          </w:p>
        </w:tc>
        <w:tc>
          <w:tcPr>
            <w:tcW w:w="738" w:type="pct"/>
            <w:vAlign w:val="center"/>
          </w:tcPr>
          <w:p w:rsidR="00062D5A" w:rsidRPr="0001671F" w:rsidRDefault="00062D5A" w:rsidP="004A4F19">
            <w:pPr>
              <w:widowControl/>
              <w:wordWrap w:val="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sz w:val="21"/>
                <w:szCs w:val="21"/>
              </w:rPr>
            </w:pPr>
            <w:r w:rsidRPr="0001671F">
              <w:rPr>
                <w:rFonts w:asciiTheme="minorEastAsia" w:hAnsiTheme="minorEastAsia" w:cs="Arial" w:hint="eastAsia"/>
                <w:sz w:val="21"/>
                <w:szCs w:val="21"/>
              </w:rPr>
              <w:t>同期业绩比较基准</w:t>
            </w:r>
          </w:p>
        </w:tc>
        <w:tc>
          <w:tcPr>
            <w:tcW w:w="791" w:type="pct"/>
            <w:vAlign w:val="center"/>
          </w:tcPr>
          <w:p w:rsidR="00062D5A" w:rsidRPr="0001671F" w:rsidRDefault="00062D5A" w:rsidP="004A4F19">
            <w:pPr>
              <w:widowControl/>
              <w:wordWrap w:val="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sz w:val="21"/>
                <w:szCs w:val="21"/>
              </w:rPr>
            </w:pPr>
            <w:r w:rsidRPr="0001671F">
              <w:rPr>
                <w:rFonts w:asciiTheme="minorEastAsia" w:hAnsiTheme="minorEastAsia" w:cs="Arial" w:hint="eastAsia"/>
                <w:sz w:val="21"/>
                <w:szCs w:val="21"/>
              </w:rPr>
              <w:t>超越业绩比较基准收益</w:t>
            </w:r>
          </w:p>
        </w:tc>
        <w:tc>
          <w:tcPr>
            <w:tcW w:w="740" w:type="pct"/>
            <w:vAlign w:val="center"/>
          </w:tcPr>
          <w:p w:rsidR="00062D5A" w:rsidRPr="0001671F" w:rsidRDefault="00062D5A" w:rsidP="004A4F19">
            <w:pPr>
              <w:widowControl/>
              <w:wordWrap w:val="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sz w:val="21"/>
                <w:szCs w:val="21"/>
              </w:rPr>
            </w:pPr>
            <w:r w:rsidRPr="0001671F">
              <w:rPr>
                <w:rFonts w:asciiTheme="minorEastAsia" w:hAnsiTheme="minorEastAsia" w:cs="Arial" w:hint="eastAsia"/>
                <w:sz w:val="21"/>
                <w:szCs w:val="21"/>
              </w:rPr>
              <w:t>任职年化回报</w:t>
            </w:r>
          </w:p>
        </w:tc>
      </w:tr>
      <w:tr w:rsidR="00062D5A" w:rsidRPr="0001671F" w:rsidTr="004A4F19">
        <w:tc>
          <w:tcPr>
            <w:cnfStyle w:val="001000000000" w:firstRow="0" w:lastRow="0" w:firstColumn="1" w:lastColumn="0" w:oddVBand="0" w:evenVBand="0" w:oddHBand="0" w:evenHBand="0" w:firstRowFirstColumn="0" w:firstRowLastColumn="0" w:lastRowFirstColumn="0" w:lastRowLastColumn="0"/>
            <w:tcW w:w="938" w:type="pct"/>
            <w:vAlign w:val="center"/>
            <w:hideMark/>
          </w:tcPr>
          <w:p w:rsidR="00062D5A" w:rsidRPr="0001671F" w:rsidRDefault="003F2E91" w:rsidP="004A4F19">
            <w:pPr>
              <w:widowControl/>
              <w:spacing w:line="360" w:lineRule="auto"/>
              <w:jc w:val="center"/>
              <w:rPr>
                <w:rFonts w:asciiTheme="minorEastAsia" w:hAnsiTheme="minorEastAsia" w:cs="Arial"/>
                <w:color w:val="000000"/>
                <w:sz w:val="21"/>
                <w:szCs w:val="21"/>
              </w:rPr>
            </w:pPr>
            <w:hyperlink r:id="rId11" w:history="1">
              <w:r w:rsidR="00062D5A" w:rsidRPr="0001671F">
                <w:rPr>
                  <w:rFonts w:asciiTheme="minorEastAsia" w:hAnsiTheme="minorEastAsia" w:cs="Arial"/>
                  <w:color w:val="333333"/>
                  <w:sz w:val="21"/>
                  <w:szCs w:val="21"/>
                </w:rPr>
                <w:t>广发内需增长</w:t>
              </w:r>
            </w:hyperlink>
          </w:p>
        </w:tc>
        <w:tc>
          <w:tcPr>
            <w:tcW w:w="940" w:type="pct"/>
            <w:vAlign w:val="center"/>
            <w:hideMark/>
          </w:tcPr>
          <w:p w:rsidR="00062D5A" w:rsidRPr="0001671F" w:rsidRDefault="00062D5A" w:rsidP="004A4F19">
            <w:pPr>
              <w:widowControl/>
              <w:wordWrap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1"/>
                <w:szCs w:val="21"/>
              </w:rPr>
            </w:pPr>
            <w:r w:rsidRPr="0001671F">
              <w:rPr>
                <w:rFonts w:asciiTheme="minorEastAsia" w:hAnsiTheme="minorEastAsia" w:cs="Arial"/>
                <w:color w:val="000000"/>
                <w:sz w:val="21"/>
                <w:szCs w:val="21"/>
              </w:rPr>
              <w:t>2018-10-17</w:t>
            </w:r>
          </w:p>
        </w:tc>
        <w:tc>
          <w:tcPr>
            <w:tcW w:w="853" w:type="pct"/>
            <w:vAlign w:val="center"/>
            <w:hideMark/>
          </w:tcPr>
          <w:p w:rsidR="00062D5A" w:rsidRPr="0001671F" w:rsidRDefault="00062D5A" w:rsidP="004A4F19">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21"/>
                <w:szCs w:val="21"/>
              </w:rPr>
            </w:pPr>
            <w:r w:rsidRPr="0001671F">
              <w:rPr>
                <w:rFonts w:asciiTheme="minorEastAsia" w:hAnsiTheme="minorEastAsia" w:hint="eastAsia"/>
                <w:color w:val="000000"/>
                <w:sz w:val="21"/>
                <w:szCs w:val="21"/>
              </w:rPr>
              <w:t>164.22%</w:t>
            </w:r>
          </w:p>
        </w:tc>
        <w:tc>
          <w:tcPr>
            <w:tcW w:w="738" w:type="pct"/>
            <w:vAlign w:val="center"/>
          </w:tcPr>
          <w:p w:rsidR="00062D5A" w:rsidRPr="0001671F" w:rsidRDefault="00062D5A" w:rsidP="004A4F1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1"/>
                <w:szCs w:val="21"/>
              </w:rPr>
            </w:pPr>
            <w:r w:rsidRPr="0001671F">
              <w:rPr>
                <w:rFonts w:asciiTheme="minorEastAsia" w:hAnsiTheme="minorEastAsia" w:hint="eastAsia"/>
                <w:color w:val="000000"/>
                <w:sz w:val="21"/>
                <w:szCs w:val="21"/>
              </w:rPr>
              <w:t>41.12%</w:t>
            </w:r>
          </w:p>
        </w:tc>
        <w:tc>
          <w:tcPr>
            <w:tcW w:w="791" w:type="pct"/>
            <w:vAlign w:val="center"/>
          </w:tcPr>
          <w:p w:rsidR="00062D5A" w:rsidRPr="0001671F" w:rsidRDefault="00062D5A" w:rsidP="004A4F19">
            <w:pPr>
              <w:widowControl/>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21"/>
                <w:szCs w:val="21"/>
              </w:rPr>
            </w:pPr>
            <w:r w:rsidRPr="0001671F">
              <w:rPr>
                <w:rFonts w:asciiTheme="minorEastAsia" w:hAnsiTheme="minorEastAsia" w:hint="eastAsia"/>
                <w:color w:val="000000"/>
                <w:sz w:val="21"/>
                <w:szCs w:val="21"/>
              </w:rPr>
              <w:t>123.10%</w:t>
            </w:r>
          </w:p>
        </w:tc>
        <w:tc>
          <w:tcPr>
            <w:tcW w:w="740" w:type="pct"/>
            <w:vAlign w:val="center"/>
          </w:tcPr>
          <w:p w:rsidR="00062D5A" w:rsidRPr="0001671F" w:rsidDel="00E33A55" w:rsidRDefault="00062D5A" w:rsidP="004A4F19">
            <w:pPr>
              <w:widowControl/>
              <w:wordWrap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1"/>
                <w:szCs w:val="21"/>
              </w:rPr>
            </w:pPr>
            <w:r w:rsidRPr="0001671F">
              <w:rPr>
                <w:rFonts w:asciiTheme="minorEastAsia" w:hAnsiTheme="minorEastAsia" w:cs="Arial"/>
                <w:color w:val="000000"/>
                <w:sz w:val="21"/>
                <w:szCs w:val="21"/>
              </w:rPr>
              <w:t>55.19%</w:t>
            </w:r>
          </w:p>
        </w:tc>
      </w:tr>
      <w:tr w:rsidR="00062D5A" w:rsidRPr="0001671F" w:rsidTr="004A4F19">
        <w:tc>
          <w:tcPr>
            <w:cnfStyle w:val="001000000000" w:firstRow="0" w:lastRow="0" w:firstColumn="1" w:lastColumn="0" w:oddVBand="0" w:evenVBand="0" w:oddHBand="0" w:evenHBand="0" w:firstRowFirstColumn="0" w:firstRowLastColumn="0" w:lastRowFirstColumn="0" w:lastRowLastColumn="0"/>
            <w:tcW w:w="938" w:type="pct"/>
            <w:vAlign w:val="center"/>
          </w:tcPr>
          <w:p w:rsidR="00062D5A" w:rsidRPr="0001671F" w:rsidRDefault="00062D5A" w:rsidP="004A4F19">
            <w:pPr>
              <w:widowControl/>
              <w:wordWrap w:val="0"/>
              <w:spacing w:line="360" w:lineRule="auto"/>
              <w:jc w:val="center"/>
              <w:rPr>
                <w:rFonts w:asciiTheme="minorEastAsia" w:hAnsiTheme="minorEastAsia" w:cs="Arial"/>
                <w:color w:val="333333"/>
                <w:sz w:val="21"/>
                <w:szCs w:val="21"/>
              </w:rPr>
            </w:pPr>
            <w:r w:rsidRPr="0001671F">
              <w:rPr>
                <w:rFonts w:asciiTheme="minorEastAsia" w:hAnsiTheme="minorEastAsia" w:cs="Arial" w:hint="eastAsia"/>
                <w:color w:val="333333"/>
                <w:sz w:val="21"/>
                <w:szCs w:val="21"/>
              </w:rPr>
              <w:t>广发价值优势</w:t>
            </w:r>
          </w:p>
        </w:tc>
        <w:tc>
          <w:tcPr>
            <w:tcW w:w="940" w:type="pct"/>
            <w:vAlign w:val="center"/>
          </w:tcPr>
          <w:p w:rsidR="00062D5A" w:rsidRPr="0001671F" w:rsidRDefault="00062D5A" w:rsidP="004A4F19">
            <w:pPr>
              <w:widowControl/>
              <w:wordWrap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1"/>
                <w:szCs w:val="21"/>
              </w:rPr>
            </w:pPr>
            <w:r w:rsidRPr="0001671F">
              <w:rPr>
                <w:rFonts w:asciiTheme="minorEastAsia" w:hAnsiTheme="minorEastAsia" w:cs="Arial"/>
                <w:color w:val="000000"/>
                <w:sz w:val="21"/>
                <w:szCs w:val="21"/>
              </w:rPr>
              <w:t>2020-03-02</w:t>
            </w:r>
          </w:p>
        </w:tc>
        <w:tc>
          <w:tcPr>
            <w:tcW w:w="853" w:type="pct"/>
            <w:vAlign w:val="center"/>
          </w:tcPr>
          <w:p w:rsidR="00062D5A" w:rsidRPr="0001671F" w:rsidRDefault="00062D5A" w:rsidP="004A4F1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1"/>
                <w:szCs w:val="21"/>
              </w:rPr>
            </w:pPr>
            <w:r w:rsidRPr="0001671F">
              <w:rPr>
                <w:rFonts w:asciiTheme="minorEastAsia" w:hAnsiTheme="minorEastAsia" w:hint="eastAsia"/>
                <w:color w:val="000000"/>
                <w:sz w:val="21"/>
                <w:szCs w:val="21"/>
              </w:rPr>
              <w:t>61.77%</w:t>
            </w:r>
          </w:p>
        </w:tc>
        <w:tc>
          <w:tcPr>
            <w:tcW w:w="738" w:type="pct"/>
            <w:vAlign w:val="center"/>
          </w:tcPr>
          <w:p w:rsidR="00062D5A" w:rsidRPr="0001671F" w:rsidRDefault="00062D5A" w:rsidP="004A4F1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1"/>
                <w:szCs w:val="21"/>
              </w:rPr>
            </w:pPr>
            <w:r w:rsidRPr="0001671F">
              <w:rPr>
                <w:rFonts w:asciiTheme="minorEastAsia" w:hAnsiTheme="minorEastAsia" w:hint="eastAsia"/>
                <w:color w:val="000000"/>
                <w:sz w:val="21"/>
                <w:szCs w:val="21"/>
              </w:rPr>
              <w:t>18.60%</w:t>
            </w:r>
          </w:p>
        </w:tc>
        <w:tc>
          <w:tcPr>
            <w:tcW w:w="791" w:type="pct"/>
            <w:vAlign w:val="center"/>
          </w:tcPr>
          <w:p w:rsidR="00062D5A" w:rsidRPr="0001671F" w:rsidRDefault="00062D5A" w:rsidP="004A4F1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sz w:val="21"/>
                <w:szCs w:val="21"/>
              </w:rPr>
            </w:pPr>
            <w:r w:rsidRPr="0001671F">
              <w:rPr>
                <w:rFonts w:asciiTheme="minorEastAsia" w:hAnsiTheme="minorEastAsia" w:hint="eastAsia"/>
                <w:color w:val="000000"/>
                <w:sz w:val="21"/>
                <w:szCs w:val="21"/>
              </w:rPr>
              <w:t>43.17%</w:t>
            </w:r>
          </w:p>
        </w:tc>
        <w:tc>
          <w:tcPr>
            <w:tcW w:w="740" w:type="pct"/>
            <w:vAlign w:val="center"/>
          </w:tcPr>
          <w:p w:rsidR="00062D5A" w:rsidRPr="0001671F" w:rsidRDefault="00062D5A" w:rsidP="004A4F19">
            <w:pPr>
              <w:widowControl/>
              <w:wordWrap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1"/>
                <w:szCs w:val="21"/>
              </w:rPr>
            </w:pPr>
            <w:r w:rsidRPr="0001671F">
              <w:rPr>
                <w:rFonts w:asciiTheme="minorEastAsia" w:hAnsiTheme="minorEastAsia" w:cs="Arial"/>
                <w:color w:val="000000"/>
                <w:sz w:val="21"/>
                <w:szCs w:val="21"/>
              </w:rPr>
              <w:t>-</w:t>
            </w:r>
          </w:p>
        </w:tc>
      </w:tr>
      <w:bookmarkEnd w:id="15"/>
    </w:tbl>
    <w:p w:rsidR="00062D5A" w:rsidRPr="0001671F" w:rsidRDefault="00062D5A" w:rsidP="00062D5A">
      <w:pPr>
        <w:pStyle w:val="a5"/>
        <w:ind w:left="420" w:firstLineChars="0" w:firstLine="0"/>
        <w:rPr>
          <w:rFonts w:ascii="宋体" w:eastAsia="宋体" w:hAnsi="宋体"/>
          <w:color w:val="000000"/>
          <w:sz w:val="18"/>
          <w:szCs w:val="18"/>
        </w:rPr>
      </w:pPr>
    </w:p>
    <w:p w:rsidR="00062D5A" w:rsidRPr="00AF62AE" w:rsidRDefault="00062D5A" w:rsidP="00062D5A">
      <w:pPr>
        <w:pStyle w:val="a5"/>
        <w:spacing w:beforeLines="50" w:before="156"/>
        <w:ind w:left="420" w:firstLineChars="0" w:firstLine="0"/>
        <w:jc w:val="center"/>
        <w:rPr>
          <w:rFonts w:ascii="宋体" w:hAnsi="宋体"/>
          <w:b/>
          <w:bCs/>
          <w:sz w:val="18"/>
          <w:szCs w:val="18"/>
        </w:rPr>
      </w:pPr>
      <w:r w:rsidRPr="00AF62AE">
        <w:rPr>
          <w:rFonts w:ascii="宋体" w:hAnsi="宋体" w:hint="eastAsia"/>
          <w:b/>
          <w:bCs/>
          <w:sz w:val="18"/>
          <w:szCs w:val="18"/>
        </w:rPr>
        <w:t>表：王明旭目前管理基金过往业绩情况</w:t>
      </w:r>
    </w:p>
    <w:tbl>
      <w:tblPr>
        <w:tblW w:w="5000" w:type="pct"/>
        <w:tblLook w:val="04A0" w:firstRow="1" w:lastRow="0" w:firstColumn="1" w:lastColumn="0" w:noHBand="0" w:noVBand="1"/>
      </w:tblPr>
      <w:tblGrid>
        <w:gridCol w:w="1672"/>
        <w:gridCol w:w="1547"/>
        <w:gridCol w:w="1547"/>
        <w:gridCol w:w="1765"/>
        <w:gridCol w:w="1765"/>
      </w:tblGrid>
      <w:tr w:rsidR="00062D5A" w:rsidRPr="00AF62AE" w:rsidTr="004A4F19">
        <w:trPr>
          <w:trHeight w:val="585"/>
        </w:trPr>
        <w:tc>
          <w:tcPr>
            <w:tcW w:w="1007" w:type="pct"/>
            <w:tcBorders>
              <w:top w:val="single" w:sz="8" w:space="0" w:color="ED7D31"/>
              <w:left w:val="single" w:sz="8" w:space="0" w:color="ED7D31"/>
              <w:bottom w:val="single" w:sz="8" w:space="0" w:color="ED7D31"/>
              <w:right w:val="nil"/>
            </w:tcBorders>
            <w:shd w:val="clear" w:color="000000" w:fill="ED7D31"/>
            <w:vAlign w:val="center"/>
            <w:hideMark/>
          </w:tcPr>
          <w:p w:rsidR="00062D5A" w:rsidRPr="00AF62AE" w:rsidRDefault="00062D5A" w:rsidP="004A4F19">
            <w:pPr>
              <w:widowControl/>
              <w:spacing w:line="276" w:lineRule="auto"/>
              <w:jc w:val="center"/>
              <w:rPr>
                <w:rFonts w:ascii="宋体" w:eastAsia="宋体" w:hAnsi="宋体" w:cs="宋体"/>
                <w:b/>
                <w:bCs/>
                <w:color w:val="FFFFFF"/>
                <w:kern w:val="0"/>
                <w:szCs w:val="21"/>
              </w:rPr>
            </w:pPr>
            <w:r w:rsidRPr="00AF62AE">
              <w:rPr>
                <w:rFonts w:ascii="宋体" w:eastAsia="宋体" w:hAnsi="宋体" w:cs="宋体" w:hint="eastAsia"/>
                <w:b/>
                <w:bCs/>
                <w:color w:val="FFFFFF"/>
                <w:kern w:val="0"/>
                <w:szCs w:val="21"/>
              </w:rPr>
              <w:t>产品名称</w:t>
            </w:r>
          </w:p>
        </w:tc>
        <w:tc>
          <w:tcPr>
            <w:tcW w:w="932" w:type="pct"/>
            <w:tcBorders>
              <w:top w:val="single" w:sz="8" w:space="0" w:color="ED7D31"/>
              <w:left w:val="nil"/>
              <w:bottom w:val="single" w:sz="8" w:space="0" w:color="ED7D31"/>
              <w:right w:val="nil"/>
            </w:tcBorders>
            <w:shd w:val="clear" w:color="000000" w:fill="ED7D31"/>
            <w:vAlign w:val="center"/>
          </w:tcPr>
          <w:p w:rsidR="00062D5A" w:rsidRPr="00AF62AE" w:rsidRDefault="00062D5A" w:rsidP="004A4F19">
            <w:pPr>
              <w:widowControl/>
              <w:spacing w:line="276" w:lineRule="auto"/>
              <w:jc w:val="center"/>
              <w:rPr>
                <w:rFonts w:ascii="宋体" w:eastAsia="宋体" w:hAnsi="宋体" w:cs="宋体"/>
                <w:b/>
                <w:bCs/>
                <w:color w:val="FFFFFF"/>
                <w:kern w:val="0"/>
                <w:szCs w:val="21"/>
              </w:rPr>
            </w:pPr>
            <w:r w:rsidRPr="00AF62AE">
              <w:rPr>
                <w:rFonts w:ascii="宋体" w:eastAsia="宋体" w:hAnsi="宋体" w:cs="宋体" w:hint="eastAsia"/>
                <w:b/>
                <w:bCs/>
                <w:color w:val="FFFFFF"/>
                <w:kern w:val="0"/>
                <w:szCs w:val="21"/>
              </w:rPr>
              <w:t>过去1年净值增长</w:t>
            </w:r>
          </w:p>
        </w:tc>
        <w:tc>
          <w:tcPr>
            <w:tcW w:w="932" w:type="pct"/>
            <w:tcBorders>
              <w:top w:val="single" w:sz="8" w:space="0" w:color="ED7D31"/>
              <w:left w:val="nil"/>
              <w:bottom w:val="single" w:sz="8" w:space="0" w:color="ED7D31"/>
              <w:right w:val="nil"/>
            </w:tcBorders>
            <w:shd w:val="clear" w:color="000000" w:fill="ED7D31"/>
            <w:vAlign w:val="center"/>
            <w:hideMark/>
          </w:tcPr>
          <w:p w:rsidR="00062D5A" w:rsidRPr="00AF62AE" w:rsidRDefault="00062D5A" w:rsidP="004A4F19">
            <w:pPr>
              <w:widowControl/>
              <w:spacing w:line="276" w:lineRule="auto"/>
              <w:jc w:val="center"/>
              <w:rPr>
                <w:rFonts w:ascii="宋体" w:eastAsia="宋体" w:hAnsi="宋体" w:cs="宋体"/>
                <w:b/>
                <w:bCs/>
                <w:color w:val="FFFFFF"/>
                <w:kern w:val="0"/>
                <w:szCs w:val="21"/>
              </w:rPr>
            </w:pPr>
            <w:r w:rsidRPr="00AF62AE">
              <w:rPr>
                <w:rFonts w:ascii="宋体" w:eastAsia="宋体" w:hAnsi="宋体" w:cs="宋体" w:hint="eastAsia"/>
                <w:b/>
                <w:bCs/>
                <w:color w:val="FFFFFF"/>
                <w:kern w:val="0"/>
                <w:szCs w:val="21"/>
              </w:rPr>
              <w:t>过去1年同类排名</w:t>
            </w:r>
          </w:p>
        </w:tc>
        <w:tc>
          <w:tcPr>
            <w:tcW w:w="1064" w:type="pct"/>
            <w:tcBorders>
              <w:top w:val="single" w:sz="8" w:space="0" w:color="ED7D31"/>
              <w:left w:val="nil"/>
              <w:bottom w:val="single" w:sz="8" w:space="0" w:color="ED7D31"/>
              <w:right w:val="nil"/>
            </w:tcBorders>
            <w:shd w:val="clear" w:color="000000" w:fill="ED7D31"/>
            <w:vAlign w:val="center"/>
          </w:tcPr>
          <w:p w:rsidR="00062D5A" w:rsidRPr="00AF62AE" w:rsidRDefault="00062D5A" w:rsidP="004A4F19">
            <w:pPr>
              <w:widowControl/>
              <w:spacing w:line="276" w:lineRule="auto"/>
              <w:jc w:val="center"/>
              <w:rPr>
                <w:rFonts w:ascii="宋体" w:eastAsia="宋体" w:hAnsi="宋体" w:cs="宋体"/>
                <w:b/>
                <w:bCs/>
                <w:color w:val="FFFFFF"/>
                <w:kern w:val="0"/>
                <w:szCs w:val="21"/>
              </w:rPr>
            </w:pPr>
            <w:r w:rsidRPr="00AF62AE">
              <w:rPr>
                <w:rFonts w:ascii="宋体" w:eastAsia="宋体" w:hAnsi="宋体" w:cs="宋体" w:hint="eastAsia"/>
                <w:b/>
                <w:bCs/>
                <w:color w:val="FFFFFF"/>
                <w:kern w:val="0"/>
                <w:szCs w:val="21"/>
              </w:rPr>
              <w:t>过去2年净值增长</w:t>
            </w:r>
          </w:p>
        </w:tc>
        <w:tc>
          <w:tcPr>
            <w:tcW w:w="1064" w:type="pct"/>
            <w:tcBorders>
              <w:top w:val="single" w:sz="8" w:space="0" w:color="ED7D31"/>
              <w:left w:val="nil"/>
              <w:bottom w:val="single" w:sz="8" w:space="0" w:color="ED7D31"/>
              <w:right w:val="nil"/>
            </w:tcBorders>
            <w:shd w:val="clear" w:color="000000" w:fill="ED7D31"/>
            <w:vAlign w:val="center"/>
            <w:hideMark/>
          </w:tcPr>
          <w:p w:rsidR="00062D5A" w:rsidRPr="00AF62AE" w:rsidRDefault="00062D5A" w:rsidP="004A4F19">
            <w:pPr>
              <w:widowControl/>
              <w:spacing w:line="276" w:lineRule="auto"/>
              <w:jc w:val="center"/>
              <w:rPr>
                <w:rFonts w:ascii="宋体" w:eastAsia="宋体" w:hAnsi="宋体" w:cs="宋体"/>
                <w:b/>
                <w:bCs/>
                <w:color w:val="FFFFFF"/>
                <w:kern w:val="0"/>
                <w:szCs w:val="21"/>
              </w:rPr>
            </w:pPr>
            <w:r w:rsidRPr="00AF62AE">
              <w:rPr>
                <w:rFonts w:ascii="宋体" w:eastAsia="宋体" w:hAnsi="宋体" w:cs="宋体" w:hint="eastAsia"/>
                <w:b/>
                <w:bCs/>
                <w:color w:val="FFFFFF"/>
                <w:kern w:val="0"/>
                <w:szCs w:val="21"/>
              </w:rPr>
              <w:t>过去2年同类排名</w:t>
            </w:r>
          </w:p>
        </w:tc>
      </w:tr>
      <w:tr w:rsidR="00062D5A" w:rsidRPr="00AF62AE" w:rsidTr="004A4F19">
        <w:trPr>
          <w:trHeight w:val="300"/>
        </w:trPr>
        <w:tc>
          <w:tcPr>
            <w:tcW w:w="1007" w:type="pct"/>
            <w:tcBorders>
              <w:top w:val="nil"/>
              <w:left w:val="single" w:sz="8" w:space="0" w:color="F4B083"/>
              <w:bottom w:val="single" w:sz="8" w:space="0" w:color="F4B083"/>
              <w:right w:val="single" w:sz="8" w:space="0" w:color="F4B083"/>
            </w:tcBorders>
            <w:shd w:val="clear" w:color="auto" w:fill="auto"/>
            <w:vAlign w:val="center"/>
            <w:hideMark/>
          </w:tcPr>
          <w:p w:rsidR="00062D5A" w:rsidRPr="00AF62AE" w:rsidRDefault="003F2E91" w:rsidP="004A4F19">
            <w:pPr>
              <w:widowControl/>
              <w:spacing w:line="276" w:lineRule="auto"/>
              <w:jc w:val="center"/>
              <w:rPr>
                <w:rFonts w:ascii="宋体" w:eastAsia="宋体" w:hAnsi="宋体" w:cs="宋体"/>
                <w:b/>
                <w:bCs/>
                <w:color w:val="000000"/>
                <w:kern w:val="0"/>
                <w:szCs w:val="21"/>
              </w:rPr>
            </w:pPr>
            <w:hyperlink r:id="rId12" w:history="1">
              <w:r w:rsidR="00062D5A" w:rsidRPr="00AF62AE">
                <w:rPr>
                  <w:rFonts w:asciiTheme="minorEastAsia" w:hAnsiTheme="minorEastAsia" w:cs="Arial"/>
                  <w:color w:val="333333"/>
                  <w:kern w:val="0"/>
                  <w:szCs w:val="21"/>
                </w:rPr>
                <w:t>广发内需增长</w:t>
              </w:r>
            </w:hyperlink>
          </w:p>
        </w:tc>
        <w:tc>
          <w:tcPr>
            <w:tcW w:w="932" w:type="pct"/>
            <w:tcBorders>
              <w:top w:val="nil"/>
              <w:left w:val="nil"/>
              <w:bottom w:val="single" w:sz="8" w:space="0" w:color="F4B083"/>
              <w:right w:val="nil"/>
            </w:tcBorders>
            <w:vAlign w:val="center"/>
          </w:tcPr>
          <w:p w:rsidR="00062D5A" w:rsidRPr="00AF62AE" w:rsidRDefault="00062D5A" w:rsidP="004A4F19">
            <w:pPr>
              <w:widowControl/>
              <w:spacing w:line="276" w:lineRule="auto"/>
              <w:jc w:val="center"/>
              <w:rPr>
                <w:rFonts w:ascii="宋体" w:eastAsia="宋体" w:hAnsi="宋体" w:cs="宋体"/>
                <w:b/>
                <w:bCs/>
                <w:kern w:val="0"/>
                <w:szCs w:val="21"/>
              </w:rPr>
            </w:pPr>
            <w:r w:rsidRPr="00AF62AE">
              <w:rPr>
                <w:rFonts w:ascii="宋体" w:eastAsia="宋体" w:hAnsi="宋体" w:cs="宋体" w:hint="eastAsia"/>
                <w:b/>
                <w:bCs/>
                <w:kern w:val="0"/>
                <w:szCs w:val="21"/>
              </w:rPr>
              <w:t>75.98%</w:t>
            </w:r>
          </w:p>
        </w:tc>
        <w:tc>
          <w:tcPr>
            <w:tcW w:w="932" w:type="pct"/>
            <w:tcBorders>
              <w:top w:val="nil"/>
              <w:left w:val="nil"/>
              <w:bottom w:val="single" w:sz="8" w:space="0" w:color="F4B083"/>
              <w:right w:val="single" w:sz="8" w:space="0" w:color="F4B083"/>
            </w:tcBorders>
            <w:shd w:val="clear" w:color="auto" w:fill="auto"/>
            <w:vAlign w:val="center"/>
            <w:hideMark/>
          </w:tcPr>
          <w:p w:rsidR="00062D5A" w:rsidRPr="00AF62AE" w:rsidRDefault="00062D5A" w:rsidP="004A4F19">
            <w:pPr>
              <w:widowControl/>
              <w:spacing w:line="276" w:lineRule="auto"/>
              <w:jc w:val="center"/>
              <w:rPr>
                <w:rFonts w:ascii="宋体" w:eastAsia="宋体" w:hAnsi="宋体" w:cs="宋体"/>
                <w:b/>
                <w:bCs/>
                <w:kern w:val="0"/>
                <w:szCs w:val="21"/>
              </w:rPr>
            </w:pPr>
            <w:r w:rsidRPr="00AF62AE">
              <w:rPr>
                <w:rFonts w:ascii="宋体" w:eastAsia="宋体" w:hAnsi="宋体" w:cs="宋体" w:hint="eastAsia"/>
                <w:b/>
                <w:bCs/>
                <w:kern w:val="0"/>
                <w:szCs w:val="21"/>
              </w:rPr>
              <w:t>5/63</w:t>
            </w:r>
          </w:p>
        </w:tc>
        <w:tc>
          <w:tcPr>
            <w:tcW w:w="1064" w:type="pct"/>
            <w:tcBorders>
              <w:top w:val="nil"/>
              <w:left w:val="nil"/>
              <w:bottom w:val="single" w:sz="8" w:space="0" w:color="F4B083"/>
              <w:right w:val="nil"/>
            </w:tcBorders>
            <w:vAlign w:val="center"/>
          </w:tcPr>
          <w:p w:rsidR="00062D5A" w:rsidRPr="00AF62AE" w:rsidRDefault="00062D5A" w:rsidP="004A4F19">
            <w:pPr>
              <w:widowControl/>
              <w:spacing w:line="276" w:lineRule="auto"/>
              <w:jc w:val="center"/>
              <w:rPr>
                <w:rFonts w:ascii="宋体" w:eastAsia="宋体" w:hAnsi="宋体" w:cs="宋体"/>
                <w:b/>
                <w:bCs/>
                <w:kern w:val="0"/>
                <w:szCs w:val="21"/>
              </w:rPr>
            </w:pPr>
            <w:r w:rsidRPr="00AF62AE">
              <w:rPr>
                <w:rFonts w:ascii="宋体" w:eastAsia="宋体" w:hAnsi="宋体" w:cs="宋体" w:hint="eastAsia"/>
                <w:b/>
                <w:bCs/>
                <w:kern w:val="0"/>
                <w:szCs w:val="21"/>
              </w:rPr>
              <w:t>192.06%</w:t>
            </w:r>
          </w:p>
        </w:tc>
        <w:tc>
          <w:tcPr>
            <w:tcW w:w="1064" w:type="pct"/>
            <w:tcBorders>
              <w:top w:val="nil"/>
              <w:left w:val="nil"/>
              <w:bottom w:val="single" w:sz="8" w:space="0" w:color="F4B083"/>
              <w:right w:val="single" w:sz="8" w:space="0" w:color="F4B083"/>
            </w:tcBorders>
            <w:shd w:val="clear" w:color="auto" w:fill="auto"/>
            <w:noWrap/>
            <w:vAlign w:val="center"/>
            <w:hideMark/>
          </w:tcPr>
          <w:p w:rsidR="00062D5A" w:rsidRPr="00AF62AE" w:rsidRDefault="00062D5A" w:rsidP="004A4F19">
            <w:pPr>
              <w:widowControl/>
              <w:spacing w:line="276" w:lineRule="auto"/>
              <w:jc w:val="center"/>
              <w:rPr>
                <w:rFonts w:ascii="宋体" w:eastAsia="宋体" w:hAnsi="宋体" w:cs="宋体"/>
                <w:b/>
                <w:bCs/>
                <w:kern w:val="0"/>
                <w:szCs w:val="21"/>
              </w:rPr>
            </w:pPr>
            <w:r w:rsidRPr="00AF62AE">
              <w:rPr>
                <w:rFonts w:ascii="宋体" w:eastAsia="宋体" w:hAnsi="宋体" w:cs="宋体" w:hint="eastAsia"/>
                <w:b/>
                <w:bCs/>
                <w:kern w:val="0"/>
                <w:szCs w:val="21"/>
              </w:rPr>
              <w:t>2/60</w:t>
            </w:r>
          </w:p>
        </w:tc>
      </w:tr>
      <w:tr w:rsidR="00062D5A" w:rsidRPr="00AF62AE" w:rsidTr="004A4F19">
        <w:trPr>
          <w:trHeight w:val="300"/>
        </w:trPr>
        <w:tc>
          <w:tcPr>
            <w:tcW w:w="1007" w:type="pct"/>
            <w:tcBorders>
              <w:top w:val="nil"/>
              <w:left w:val="single" w:sz="8" w:space="0" w:color="F4B083"/>
              <w:bottom w:val="single" w:sz="8" w:space="0" w:color="F4B083"/>
              <w:right w:val="single" w:sz="8" w:space="0" w:color="F4B083"/>
            </w:tcBorders>
            <w:shd w:val="clear" w:color="000000" w:fill="FBE4D5"/>
            <w:vAlign w:val="center"/>
            <w:hideMark/>
          </w:tcPr>
          <w:p w:rsidR="00062D5A" w:rsidRPr="00AF62AE" w:rsidRDefault="00062D5A" w:rsidP="004A4F19">
            <w:pPr>
              <w:widowControl/>
              <w:spacing w:line="276" w:lineRule="auto"/>
              <w:jc w:val="center"/>
              <w:rPr>
                <w:rFonts w:ascii="宋体" w:eastAsia="宋体" w:hAnsi="宋体" w:cs="宋体"/>
                <w:b/>
                <w:bCs/>
                <w:color w:val="000000"/>
                <w:kern w:val="0"/>
                <w:szCs w:val="21"/>
              </w:rPr>
            </w:pPr>
            <w:r w:rsidRPr="00AF62AE">
              <w:rPr>
                <w:rFonts w:asciiTheme="minorEastAsia" w:hAnsiTheme="minorEastAsia" w:cs="Arial" w:hint="eastAsia"/>
                <w:color w:val="333333"/>
                <w:kern w:val="0"/>
                <w:szCs w:val="21"/>
              </w:rPr>
              <w:t>业绩比较基准</w:t>
            </w:r>
          </w:p>
        </w:tc>
        <w:tc>
          <w:tcPr>
            <w:tcW w:w="932" w:type="pct"/>
            <w:tcBorders>
              <w:top w:val="nil"/>
              <w:left w:val="nil"/>
              <w:bottom w:val="single" w:sz="8" w:space="0" w:color="F4B083"/>
              <w:right w:val="nil"/>
            </w:tcBorders>
            <w:shd w:val="clear" w:color="000000" w:fill="FBE4D5"/>
            <w:vAlign w:val="center"/>
          </w:tcPr>
          <w:p w:rsidR="00062D5A" w:rsidRPr="00AF62AE" w:rsidRDefault="00062D5A" w:rsidP="004A4F19">
            <w:pPr>
              <w:widowControl/>
              <w:spacing w:line="276" w:lineRule="auto"/>
              <w:jc w:val="center"/>
              <w:rPr>
                <w:rFonts w:ascii="宋体" w:eastAsia="宋体" w:hAnsi="宋体" w:cs="宋体"/>
                <w:color w:val="000000"/>
                <w:kern w:val="0"/>
                <w:szCs w:val="21"/>
              </w:rPr>
            </w:pPr>
            <w:r w:rsidRPr="00AF62AE">
              <w:rPr>
                <w:rFonts w:ascii="宋体" w:eastAsia="宋体" w:hAnsi="宋体" w:cs="宋体" w:hint="eastAsia"/>
                <w:color w:val="000000"/>
                <w:kern w:val="0"/>
                <w:szCs w:val="21"/>
              </w:rPr>
              <w:t>16.47%</w:t>
            </w:r>
          </w:p>
        </w:tc>
        <w:tc>
          <w:tcPr>
            <w:tcW w:w="932" w:type="pct"/>
            <w:tcBorders>
              <w:top w:val="nil"/>
              <w:left w:val="nil"/>
              <w:bottom w:val="single" w:sz="8" w:space="0" w:color="F4B083"/>
              <w:right w:val="single" w:sz="8" w:space="0" w:color="F4B083"/>
            </w:tcBorders>
            <w:shd w:val="clear" w:color="000000" w:fill="FBE4D5"/>
            <w:vAlign w:val="center"/>
            <w:hideMark/>
          </w:tcPr>
          <w:p w:rsidR="00062D5A" w:rsidRPr="00AF62AE" w:rsidRDefault="00062D5A" w:rsidP="004A4F19">
            <w:pPr>
              <w:widowControl/>
              <w:spacing w:line="276" w:lineRule="auto"/>
              <w:jc w:val="center"/>
              <w:rPr>
                <w:rFonts w:ascii="宋体" w:eastAsia="宋体" w:hAnsi="宋体" w:cs="宋体"/>
                <w:color w:val="000000"/>
                <w:kern w:val="0"/>
                <w:szCs w:val="21"/>
              </w:rPr>
            </w:pPr>
            <w:r w:rsidRPr="00AF62AE">
              <w:rPr>
                <w:rFonts w:ascii="宋体" w:eastAsia="宋体" w:hAnsi="宋体" w:cs="宋体"/>
                <w:color w:val="000000"/>
                <w:kern w:val="0"/>
                <w:szCs w:val="21"/>
              </w:rPr>
              <w:t>-</w:t>
            </w:r>
          </w:p>
        </w:tc>
        <w:tc>
          <w:tcPr>
            <w:tcW w:w="1064" w:type="pct"/>
            <w:tcBorders>
              <w:top w:val="nil"/>
              <w:left w:val="nil"/>
              <w:bottom w:val="single" w:sz="8" w:space="0" w:color="F4B083"/>
              <w:right w:val="nil"/>
            </w:tcBorders>
            <w:shd w:val="clear" w:color="000000" w:fill="FBE4D5"/>
            <w:vAlign w:val="center"/>
          </w:tcPr>
          <w:p w:rsidR="00062D5A" w:rsidRPr="00AF62AE" w:rsidRDefault="00062D5A" w:rsidP="004A4F19">
            <w:pPr>
              <w:widowControl/>
              <w:spacing w:line="276" w:lineRule="auto"/>
              <w:jc w:val="center"/>
              <w:rPr>
                <w:rFonts w:ascii="宋体" w:eastAsia="宋体" w:hAnsi="宋体" w:cs="宋体"/>
                <w:color w:val="000000"/>
                <w:kern w:val="0"/>
                <w:szCs w:val="21"/>
              </w:rPr>
            </w:pPr>
            <w:r w:rsidRPr="00AF62AE">
              <w:rPr>
                <w:rFonts w:ascii="宋体" w:eastAsia="宋体" w:hAnsi="宋体" w:cs="宋体" w:hint="eastAsia"/>
                <w:color w:val="000000"/>
                <w:kern w:val="0"/>
                <w:szCs w:val="21"/>
              </w:rPr>
              <w:t>41.69%</w:t>
            </w:r>
          </w:p>
        </w:tc>
        <w:tc>
          <w:tcPr>
            <w:tcW w:w="1064" w:type="pct"/>
            <w:tcBorders>
              <w:top w:val="nil"/>
              <w:left w:val="nil"/>
              <w:bottom w:val="single" w:sz="8" w:space="0" w:color="F4B083"/>
              <w:right w:val="single" w:sz="8" w:space="0" w:color="F4B083"/>
            </w:tcBorders>
            <w:shd w:val="clear" w:color="000000" w:fill="FBE4D5"/>
            <w:noWrap/>
            <w:vAlign w:val="center"/>
            <w:hideMark/>
          </w:tcPr>
          <w:p w:rsidR="00062D5A" w:rsidRPr="00AF62AE" w:rsidRDefault="00062D5A" w:rsidP="004A4F19">
            <w:pPr>
              <w:widowControl/>
              <w:spacing w:line="276" w:lineRule="auto"/>
              <w:jc w:val="center"/>
              <w:rPr>
                <w:rFonts w:ascii="宋体" w:eastAsia="宋体" w:hAnsi="宋体" w:cs="宋体"/>
                <w:color w:val="000000"/>
                <w:kern w:val="0"/>
                <w:szCs w:val="21"/>
              </w:rPr>
            </w:pPr>
            <w:r w:rsidRPr="00AF62AE">
              <w:rPr>
                <w:rFonts w:ascii="宋体" w:eastAsia="宋体" w:hAnsi="宋体" w:cs="宋体"/>
                <w:color w:val="000000"/>
                <w:kern w:val="0"/>
                <w:szCs w:val="21"/>
              </w:rPr>
              <w:t>-</w:t>
            </w:r>
          </w:p>
        </w:tc>
      </w:tr>
    </w:tbl>
    <w:p w:rsidR="00062D5A" w:rsidRPr="00AF62AE" w:rsidRDefault="00062D5A" w:rsidP="00062D5A">
      <w:pPr>
        <w:pStyle w:val="a5"/>
        <w:ind w:left="420" w:firstLineChars="0" w:firstLine="0"/>
        <w:rPr>
          <w:rFonts w:ascii="宋体" w:eastAsia="宋体" w:hAnsi="宋体"/>
          <w:color w:val="000000"/>
          <w:sz w:val="18"/>
          <w:szCs w:val="18"/>
        </w:rPr>
      </w:pPr>
    </w:p>
    <w:p w:rsidR="00062D5A" w:rsidRPr="00062D5A" w:rsidRDefault="00062D5A" w:rsidP="00062D5A">
      <w:pPr>
        <w:rPr>
          <w:sz w:val="18"/>
          <w:szCs w:val="18"/>
        </w:rPr>
      </w:pPr>
      <w:r w:rsidRPr="00062D5A">
        <w:rPr>
          <w:rFonts w:hint="eastAsia"/>
          <w:sz w:val="18"/>
          <w:szCs w:val="18"/>
        </w:rPr>
        <w:t>备注：任职年化回报计算公式为：</w:t>
      </w:r>
      <w:r w:rsidRPr="00062D5A">
        <w:rPr>
          <w:rFonts w:hint="eastAsia"/>
          <w:sz w:val="18"/>
          <w:szCs w:val="18"/>
        </w:rPr>
        <w:t>(1+</w:t>
      </w:r>
      <w:r w:rsidRPr="00062D5A">
        <w:rPr>
          <w:rFonts w:hint="eastAsia"/>
          <w:sz w:val="18"/>
          <w:szCs w:val="18"/>
        </w:rPr>
        <w:t>任职回报</w:t>
      </w:r>
      <w:r w:rsidRPr="00062D5A">
        <w:rPr>
          <w:rFonts w:hint="eastAsia"/>
          <w:sz w:val="18"/>
          <w:szCs w:val="18"/>
        </w:rPr>
        <w:t>)^(365/</w:t>
      </w:r>
      <w:r w:rsidRPr="00062D5A">
        <w:rPr>
          <w:rFonts w:hint="eastAsia"/>
          <w:sz w:val="18"/>
          <w:szCs w:val="18"/>
        </w:rPr>
        <w:t>任职天数</w:t>
      </w:r>
      <w:r w:rsidRPr="00062D5A">
        <w:rPr>
          <w:rFonts w:hint="eastAsia"/>
          <w:sz w:val="18"/>
          <w:szCs w:val="18"/>
        </w:rPr>
        <w:t>)-1</w:t>
      </w:r>
      <w:r w:rsidRPr="00062D5A">
        <w:rPr>
          <w:rFonts w:hint="eastAsia"/>
          <w:sz w:val="18"/>
          <w:szCs w:val="18"/>
        </w:rPr>
        <w:t>，任职天数为自然日。</w:t>
      </w:r>
    </w:p>
    <w:p w:rsidR="00062D5A" w:rsidRPr="00062D5A" w:rsidRDefault="00062D5A" w:rsidP="00062D5A">
      <w:pPr>
        <w:rPr>
          <w:sz w:val="18"/>
          <w:szCs w:val="18"/>
        </w:rPr>
      </w:pPr>
      <w:r w:rsidRPr="00062D5A">
        <w:rPr>
          <w:rFonts w:hint="eastAsia"/>
          <w:sz w:val="18"/>
          <w:szCs w:val="18"/>
        </w:rPr>
        <w:t>数据来源：业绩数据及业绩比较基准收益率已经托管行复核，数据截至</w:t>
      </w:r>
      <w:r w:rsidRPr="00062D5A">
        <w:rPr>
          <w:rFonts w:hint="eastAsia"/>
          <w:sz w:val="18"/>
          <w:szCs w:val="18"/>
        </w:rPr>
        <w:t>2020</w:t>
      </w:r>
      <w:r w:rsidRPr="00062D5A">
        <w:rPr>
          <w:rFonts w:hint="eastAsia"/>
          <w:sz w:val="18"/>
          <w:szCs w:val="18"/>
        </w:rPr>
        <w:t>年</w:t>
      </w:r>
      <w:r w:rsidRPr="00062D5A">
        <w:rPr>
          <w:sz w:val="18"/>
          <w:szCs w:val="18"/>
        </w:rPr>
        <w:t>12</w:t>
      </w:r>
      <w:r w:rsidRPr="00062D5A">
        <w:rPr>
          <w:rFonts w:hint="eastAsia"/>
          <w:sz w:val="18"/>
          <w:szCs w:val="18"/>
        </w:rPr>
        <w:t>月</w:t>
      </w:r>
      <w:r w:rsidRPr="00062D5A">
        <w:rPr>
          <w:sz w:val="18"/>
          <w:szCs w:val="18"/>
        </w:rPr>
        <w:t>31</w:t>
      </w:r>
      <w:r w:rsidRPr="00062D5A">
        <w:rPr>
          <w:rFonts w:hint="eastAsia"/>
          <w:sz w:val="18"/>
          <w:szCs w:val="18"/>
        </w:rPr>
        <w:t>日。王明旭目前管理</w:t>
      </w:r>
      <w:r w:rsidRPr="00062D5A">
        <w:rPr>
          <w:rFonts w:hint="eastAsia"/>
          <w:sz w:val="18"/>
          <w:szCs w:val="18"/>
        </w:rPr>
        <w:t>4</w:t>
      </w:r>
      <w:r w:rsidRPr="00062D5A">
        <w:rPr>
          <w:rFonts w:hint="eastAsia"/>
          <w:sz w:val="18"/>
          <w:szCs w:val="18"/>
        </w:rPr>
        <w:t>只基金，其中广发均衡优选、广发稳健优选成立未满</w:t>
      </w:r>
      <w:r w:rsidRPr="00062D5A">
        <w:rPr>
          <w:rFonts w:hint="eastAsia"/>
          <w:sz w:val="18"/>
          <w:szCs w:val="18"/>
        </w:rPr>
        <w:t>6</w:t>
      </w:r>
      <w:r w:rsidRPr="00062D5A">
        <w:rPr>
          <w:rFonts w:hint="eastAsia"/>
          <w:sz w:val="18"/>
          <w:szCs w:val="18"/>
        </w:rPr>
        <w:t>个月，暂不列示业绩和排名数据，广发价值优势成立未满</w:t>
      </w:r>
      <w:r w:rsidRPr="00062D5A">
        <w:rPr>
          <w:rFonts w:hint="eastAsia"/>
          <w:sz w:val="18"/>
          <w:szCs w:val="18"/>
        </w:rPr>
        <w:t>1</w:t>
      </w:r>
      <w:r w:rsidRPr="00062D5A">
        <w:rPr>
          <w:rFonts w:hint="eastAsia"/>
          <w:sz w:val="18"/>
          <w:szCs w:val="18"/>
        </w:rPr>
        <w:t>年，暂不列示排名数据。广发内需增长排名数据来自银河证券基金评价中心，为银河证券三级分类</w:t>
      </w:r>
      <w:r w:rsidRPr="00062D5A">
        <w:rPr>
          <w:rFonts w:hint="eastAsia"/>
          <w:sz w:val="18"/>
          <w:szCs w:val="18"/>
        </w:rPr>
        <w:t>-</w:t>
      </w:r>
      <w:r w:rsidRPr="00062D5A">
        <w:rPr>
          <w:rFonts w:hint="eastAsia"/>
          <w:sz w:val="18"/>
          <w:szCs w:val="18"/>
        </w:rPr>
        <w:t>混合基金</w:t>
      </w:r>
      <w:r w:rsidRPr="00062D5A">
        <w:rPr>
          <w:rFonts w:hint="eastAsia"/>
          <w:sz w:val="18"/>
          <w:szCs w:val="18"/>
        </w:rPr>
        <w:t>-</w:t>
      </w:r>
      <w:r w:rsidRPr="00062D5A">
        <w:rPr>
          <w:rFonts w:hint="eastAsia"/>
          <w:sz w:val="18"/>
          <w:szCs w:val="18"/>
        </w:rPr>
        <w:t>灵活配置型基金</w:t>
      </w:r>
      <w:r w:rsidRPr="00062D5A">
        <w:rPr>
          <w:rFonts w:hint="eastAsia"/>
          <w:sz w:val="18"/>
          <w:szCs w:val="18"/>
        </w:rPr>
        <w:t>-</w:t>
      </w:r>
      <w:r w:rsidRPr="00062D5A">
        <w:rPr>
          <w:rFonts w:hint="eastAsia"/>
          <w:sz w:val="18"/>
          <w:szCs w:val="18"/>
        </w:rPr>
        <w:t>灵活配置型基金（股票上下限</w:t>
      </w:r>
      <w:r w:rsidRPr="00062D5A">
        <w:rPr>
          <w:rFonts w:hint="eastAsia"/>
          <w:sz w:val="18"/>
          <w:szCs w:val="18"/>
        </w:rPr>
        <w:t>30%-80%</w:t>
      </w:r>
      <w:r w:rsidRPr="00062D5A">
        <w:rPr>
          <w:rFonts w:hint="eastAsia"/>
          <w:sz w:val="18"/>
          <w:szCs w:val="18"/>
        </w:rPr>
        <w:t>）（</w:t>
      </w:r>
      <w:r w:rsidRPr="00062D5A">
        <w:rPr>
          <w:rFonts w:hint="eastAsia"/>
          <w:sz w:val="18"/>
          <w:szCs w:val="18"/>
        </w:rPr>
        <w:t>A</w:t>
      </w:r>
      <w:r w:rsidRPr="00062D5A">
        <w:rPr>
          <w:rFonts w:hint="eastAsia"/>
          <w:sz w:val="18"/>
          <w:szCs w:val="18"/>
        </w:rPr>
        <w:t>类），数据截至</w:t>
      </w:r>
      <w:r w:rsidRPr="00062D5A">
        <w:rPr>
          <w:rFonts w:hint="eastAsia"/>
          <w:sz w:val="18"/>
          <w:szCs w:val="18"/>
        </w:rPr>
        <w:t>2021</w:t>
      </w:r>
      <w:r w:rsidRPr="00062D5A">
        <w:rPr>
          <w:rFonts w:hint="eastAsia"/>
          <w:sz w:val="18"/>
          <w:szCs w:val="18"/>
        </w:rPr>
        <w:t>年</w:t>
      </w:r>
      <w:r w:rsidRPr="00062D5A">
        <w:rPr>
          <w:sz w:val="18"/>
          <w:szCs w:val="18"/>
        </w:rPr>
        <w:t>1</w:t>
      </w:r>
      <w:r w:rsidRPr="00062D5A">
        <w:rPr>
          <w:rFonts w:hint="eastAsia"/>
          <w:sz w:val="18"/>
          <w:szCs w:val="18"/>
        </w:rPr>
        <w:t>月</w:t>
      </w:r>
      <w:r w:rsidRPr="00062D5A">
        <w:rPr>
          <w:sz w:val="18"/>
          <w:szCs w:val="18"/>
        </w:rPr>
        <w:t>1</w:t>
      </w:r>
      <w:r w:rsidRPr="00062D5A">
        <w:rPr>
          <w:rFonts w:hint="eastAsia"/>
          <w:sz w:val="18"/>
          <w:szCs w:val="18"/>
        </w:rPr>
        <w:t>日。基金过往业绩及业绩比较基准收益率来自基金定期报告，广发内需增长的成立日期为</w:t>
      </w:r>
      <w:r w:rsidRPr="00062D5A">
        <w:rPr>
          <w:rFonts w:hint="eastAsia"/>
          <w:sz w:val="18"/>
          <w:szCs w:val="18"/>
        </w:rPr>
        <w:t>2010</w:t>
      </w:r>
      <w:r w:rsidRPr="00062D5A">
        <w:rPr>
          <w:rFonts w:hint="eastAsia"/>
          <w:sz w:val="18"/>
          <w:szCs w:val="18"/>
        </w:rPr>
        <w:t>年</w:t>
      </w:r>
      <w:r w:rsidRPr="00062D5A">
        <w:rPr>
          <w:rFonts w:hint="eastAsia"/>
          <w:sz w:val="18"/>
          <w:szCs w:val="18"/>
        </w:rPr>
        <w:t>4</w:t>
      </w:r>
      <w:r w:rsidRPr="00062D5A">
        <w:rPr>
          <w:rFonts w:hint="eastAsia"/>
          <w:sz w:val="18"/>
          <w:szCs w:val="18"/>
        </w:rPr>
        <w:t>月</w:t>
      </w:r>
      <w:r w:rsidRPr="00062D5A">
        <w:rPr>
          <w:rFonts w:hint="eastAsia"/>
          <w:sz w:val="18"/>
          <w:szCs w:val="18"/>
        </w:rPr>
        <w:t>19</w:t>
      </w:r>
      <w:r w:rsidRPr="00062D5A">
        <w:rPr>
          <w:rFonts w:hint="eastAsia"/>
          <w:sz w:val="18"/>
          <w:szCs w:val="18"/>
        </w:rPr>
        <w:t>日，业绩比较基准为</w:t>
      </w:r>
      <w:r w:rsidRPr="00062D5A">
        <w:rPr>
          <w:sz w:val="18"/>
          <w:szCs w:val="18"/>
        </w:rPr>
        <w:t>沪深</w:t>
      </w:r>
      <w:r w:rsidRPr="00062D5A">
        <w:rPr>
          <w:sz w:val="18"/>
          <w:szCs w:val="18"/>
        </w:rPr>
        <w:t>300</w:t>
      </w:r>
      <w:r w:rsidRPr="00062D5A">
        <w:rPr>
          <w:sz w:val="18"/>
          <w:szCs w:val="18"/>
        </w:rPr>
        <w:t>指数</w:t>
      </w:r>
      <w:r w:rsidRPr="00062D5A">
        <w:rPr>
          <w:sz w:val="18"/>
          <w:szCs w:val="18"/>
        </w:rPr>
        <w:t>*55%+</w:t>
      </w:r>
      <w:r w:rsidRPr="00062D5A">
        <w:rPr>
          <w:sz w:val="18"/>
          <w:szCs w:val="18"/>
        </w:rPr>
        <w:t>中证全债指数</w:t>
      </w:r>
      <w:r w:rsidRPr="00062D5A">
        <w:rPr>
          <w:sz w:val="18"/>
          <w:szCs w:val="18"/>
        </w:rPr>
        <w:t>*45%</w:t>
      </w:r>
      <w:r w:rsidRPr="00062D5A">
        <w:rPr>
          <w:rFonts w:hint="eastAsia"/>
          <w:sz w:val="18"/>
          <w:szCs w:val="18"/>
        </w:rPr>
        <w:t>，过往业绩</w:t>
      </w:r>
      <w:r w:rsidRPr="00062D5A">
        <w:rPr>
          <w:rFonts w:hint="eastAsia"/>
          <w:sz w:val="18"/>
          <w:szCs w:val="18"/>
        </w:rPr>
        <w:t>(</w:t>
      </w:r>
      <w:r w:rsidRPr="00062D5A">
        <w:rPr>
          <w:rFonts w:hint="eastAsia"/>
          <w:sz w:val="18"/>
          <w:szCs w:val="18"/>
        </w:rPr>
        <w:t>业绩比较基准</w:t>
      </w:r>
      <w:r w:rsidRPr="00062D5A">
        <w:rPr>
          <w:rFonts w:hint="eastAsia"/>
          <w:sz w:val="18"/>
          <w:szCs w:val="18"/>
        </w:rPr>
        <w:t>)</w:t>
      </w:r>
      <w:r w:rsidRPr="00062D5A">
        <w:rPr>
          <w:rFonts w:hint="eastAsia"/>
          <w:sz w:val="18"/>
          <w:szCs w:val="18"/>
        </w:rPr>
        <w:t>：</w:t>
      </w:r>
      <w:r w:rsidRPr="00062D5A">
        <w:rPr>
          <w:sz w:val="18"/>
          <w:szCs w:val="18"/>
        </w:rPr>
        <w:t>2016:-9.75%(-4.97%);2017:12.09%(11.41%);2018:-35.39%(-11.02%);2019:65.96%(21.65%);2020</w:t>
      </w:r>
      <w:r w:rsidRPr="00062D5A">
        <w:rPr>
          <w:rFonts w:hint="eastAsia"/>
          <w:sz w:val="18"/>
          <w:szCs w:val="18"/>
        </w:rPr>
        <w:t>:</w:t>
      </w:r>
      <w:r w:rsidRPr="00062D5A">
        <w:rPr>
          <w:sz w:val="18"/>
          <w:szCs w:val="18"/>
        </w:rPr>
        <w:t>75.98</w:t>
      </w:r>
      <w:r w:rsidRPr="00062D5A">
        <w:rPr>
          <w:rFonts w:hint="eastAsia"/>
          <w:sz w:val="18"/>
          <w:szCs w:val="18"/>
        </w:rPr>
        <w:t>%</w:t>
      </w:r>
      <w:r w:rsidRPr="00062D5A">
        <w:rPr>
          <w:rFonts w:hint="eastAsia"/>
          <w:sz w:val="18"/>
          <w:szCs w:val="18"/>
        </w:rPr>
        <w:t>（</w:t>
      </w:r>
      <w:r w:rsidRPr="00062D5A">
        <w:rPr>
          <w:rFonts w:hint="eastAsia"/>
          <w:sz w:val="18"/>
          <w:szCs w:val="18"/>
        </w:rPr>
        <w:t>1</w:t>
      </w:r>
      <w:r w:rsidRPr="00062D5A">
        <w:rPr>
          <w:sz w:val="18"/>
          <w:szCs w:val="18"/>
        </w:rPr>
        <w:t>6.47</w:t>
      </w:r>
      <w:r w:rsidRPr="00062D5A">
        <w:rPr>
          <w:rFonts w:hint="eastAsia"/>
          <w:sz w:val="18"/>
          <w:szCs w:val="18"/>
        </w:rPr>
        <w:t>%</w:t>
      </w:r>
      <w:r w:rsidRPr="00062D5A">
        <w:rPr>
          <w:rFonts w:hint="eastAsia"/>
          <w:sz w:val="18"/>
          <w:szCs w:val="18"/>
        </w:rPr>
        <w:t>）</w:t>
      </w:r>
      <w:r w:rsidRPr="00062D5A">
        <w:rPr>
          <w:rFonts w:hint="eastAsia"/>
          <w:sz w:val="18"/>
          <w:szCs w:val="18"/>
        </w:rPr>
        <w:t>;</w:t>
      </w:r>
      <w:r w:rsidRPr="00062D5A">
        <w:rPr>
          <w:rFonts w:hint="eastAsia"/>
          <w:sz w:val="18"/>
          <w:szCs w:val="18"/>
        </w:rPr>
        <w:t>广发价值优势的成立日期为</w:t>
      </w:r>
      <w:r w:rsidRPr="00062D5A">
        <w:rPr>
          <w:rFonts w:hint="eastAsia"/>
          <w:sz w:val="18"/>
          <w:szCs w:val="18"/>
        </w:rPr>
        <w:t>2020</w:t>
      </w:r>
      <w:r w:rsidRPr="00062D5A">
        <w:rPr>
          <w:rFonts w:hint="eastAsia"/>
          <w:sz w:val="18"/>
          <w:szCs w:val="18"/>
        </w:rPr>
        <w:t>年</w:t>
      </w:r>
      <w:r w:rsidRPr="00062D5A">
        <w:rPr>
          <w:rFonts w:hint="eastAsia"/>
          <w:sz w:val="18"/>
          <w:szCs w:val="18"/>
        </w:rPr>
        <w:t>3</w:t>
      </w:r>
      <w:r w:rsidRPr="00062D5A">
        <w:rPr>
          <w:rFonts w:hint="eastAsia"/>
          <w:sz w:val="18"/>
          <w:szCs w:val="18"/>
        </w:rPr>
        <w:t>月</w:t>
      </w:r>
      <w:r w:rsidRPr="00062D5A">
        <w:rPr>
          <w:rFonts w:hint="eastAsia"/>
          <w:sz w:val="18"/>
          <w:szCs w:val="18"/>
        </w:rPr>
        <w:t>2</w:t>
      </w:r>
      <w:r w:rsidRPr="00062D5A">
        <w:rPr>
          <w:rFonts w:hint="eastAsia"/>
          <w:sz w:val="18"/>
          <w:szCs w:val="18"/>
        </w:rPr>
        <w:t>日，业绩比较基准为</w:t>
      </w:r>
      <w:r w:rsidRPr="00062D5A">
        <w:rPr>
          <w:sz w:val="18"/>
          <w:szCs w:val="18"/>
        </w:rPr>
        <w:t>中证</w:t>
      </w:r>
      <w:r w:rsidRPr="00062D5A">
        <w:rPr>
          <w:sz w:val="18"/>
          <w:szCs w:val="18"/>
        </w:rPr>
        <w:t>800</w:t>
      </w:r>
      <w:r w:rsidRPr="00062D5A">
        <w:rPr>
          <w:sz w:val="18"/>
          <w:szCs w:val="18"/>
        </w:rPr>
        <w:t>指数收益率</w:t>
      </w:r>
      <w:r w:rsidRPr="00062D5A">
        <w:rPr>
          <w:sz w:val="18"/>
          <w:szCs w:val="18"/>
        </w:rPr>
        <w:t>*65%+</w:t>
      </w:r>
      <w:r w:rsidRPr="00062D5A">
        <w:rPr>
          <w:sz w:val="18"/>
          <w:szCs w:val="18"/>
        </w:rPr>
        <w:t>中证全债指数收益率</w:t>
      </w:r>
      <w:r w:rsidRPr="00062D5A">
        <w:rPr>
          <w:sz w:val="18"/>
          <w:szCs w:val="18"/>
        </w:rPr>
        <w:t>*35%</w:t>
      </w:r>
      <w:r w:rsidRPr="00062D5A">
        <w:rPr>
          <w:rFonts w:hint="eastAsia"/>
          <w:sz w:val="18"/>
          <w:szCs w:val="18"/>
        </w:rPr>
        <w:t>，过往业绩</w:t>
      </w:r>
      <w:r w:rsidRPr="00062D5A">
        <w:rPr>
          <w:rFonts w:hint="eastAsia"/>
          <w:sz w:val="18"/>
          <w:szCs w:val="18"/>
        </w:rPr>
        <w:t>(</w:t>
      </w:r>
      <w:r w:rsidRPr="00062D5A">
        <w:rPr>
          <w:rFonts w:hint="eastAsia"/>
          <w:sz w:val="18"/>
          <w:szCs w:val="18"/>
        </w:rPr>
        <w:t>业绩比较基准</w:t>
      </w:r>
      <w:r w:rsidRPr="00062D5A">
        <w:rPr>
          <w:rFonts w:hint="eastAsia"/>
          <w:sz w:val="18"/>
          <w:szCs w:val="18"/>
        </w:rPr>
        <w:t>)</w:t>
      </w:r>
      <w:r w:rsidRPr="00062D5A">
        <w:rPr>
          <w:rFonts w:hint="eastAsia"/>
          <w:sz w:val="18"/>
          <w:szCs w:val="18"/>
        </w:rPr>
        <w:t>：</w:t>
      </w:r>
      <w:r w:rsidRPr="00062D5A">
        <w:rPr>
          <w:sz w:val="18"/>
          <w:szCs w:val="18"/>
        </w:rPr>
        <w:t>2020/03/02</w:t>
      </w:r>
      <w:r w:rsidRPr="00062D5A">
        <w:rPr>
          <w:rFonts w:hint="eastAsia"/>
          <w:sz w:val="18"/>
          <w:szCs w:val="18"/>
        </w:rPr>
        <w:t>至</w:t>
      </w:r>
      <w:r w:rsidRPr="00062D5A">
        <w:rPr>
          <w:sz w:val="18"/>
          <w:szCs w:val="18"/>
        </w:rPr>
        <w:t>2020/12/31</w:t>
      </w:r>
      <w:r w:rsidRPr="00062D5A">
        <w:rPr>
          <w:rFonts w:hint="eastAsia"/>
          <w:sz w:val="18"/>
          <w:szCs w:val="18"/>
        </w:rPr>
        <w:t>：</w:t>
      </w:r>
      <w:r w:rsidRPr="00062D5A">
        <w:rPr>
          <w:sz w:val="18"/>
          <w:szCs w:val="18"/>
        </w:rPr>
        <w:t>61.77%</w:t>
      </w:r>
      <w:r w:rsidRPr="00062D5A">
        <w:rPr>
          <w:rFonts w:hint="eastAsia"/>
          <w:sz w:val="18"/>
          <w:szCs w:val="18"/>
        </w:rPr>
        <w:t>（</w:t>
      </w:r>
      <w:r w:rsidRPr="00062D5A">
        <w:rPr>
          <w:sz w:val="18"/>
          <w:szCs w:val="18"/>
        </w:rPr>
        <w:t>18.60%</w:t>
      </w:r>
      <w:r w:rsidRPr="00062D5A">
        <w:rPr>
          <w:rFonts w:hint="eastAsia"/>
          <w:sz w:val="18"/>
          <w:szCs w:val="18"/>
        </w:rPr>
        <w:t>）</w:t>
      </w:r>
      <w:r w:rsidRPr="00062D5A">
        <w:rPr>
          <w:sz w:val="18"/>
          <w:szCs w:val="18"/>
        </w:rPr>
        <w:t>。</w:t>
      </w:r>
      <w:r w:rsidRPr="00062D5A">
        <w:rPr>
          <w:rFonts w:hint="eastAsia"/>
          <w:sz w:val="18"/>
          <w:szCs w:val="18"/>
        </w:rPr>
        <w:t>广发内需增长历任基金经理（任职日期）为：陈仕德（</w:t>
      </w:r>
      <w:r w:rsidRPr="00062D5A">
        <w:rPr>
          <w:sz w:val="18"/>
          <w:szCs w:val="18"/>
        </w:rPr>
        <w:t>2010/04/19</w:t>
      </w:r>
      <w:r w:rsidRPr="00062D5A">
        <w:rPr>
          <w:rFonts w:hint="eastAsia"/>
          <w:sz w:val="18"/>
          <w:szCs w:val="18"/>
        </w:rPr>
        <w:t>至</w:t>
      </w:r>
      <w:r w:rsidRPr="00062D5A">
        <w:rPr>
          <w:sz w:val="18"/>
          <w:szCs w:val="18"/>
        </w:rPr>
        <w:t>2015/06/13</w:t>
      </w:r>
      <w:r w:rsidRPr="00062D5A">
        <w:rPr>
          <w:rFonts w:hint="eastAsia"/>
          <w:sz w:val="18"/>
          <w:szCs w:val="18"/>
        </w:rPr>
        <w:t>）、王小松（</w:t>
      </w:r>
      <w:r w:rsidRPr="00062D5A">
        <w:rPr>
          <w:sz w:val="18"/>
          <w:szCs w:val="18"/>
        </w:rPr>
        <w:t>2015/06/13</w:t>
      </w:r>
      <w:r w:rsidRPr="00062D5A">
        <w:rPr>
          <w:rFonts w:hint="eastAsia"/>
          <w:sz w:val="18"/>
          <w:szCs w:val="18"/>
        </w:rPr>
        <w:t>至</w:t>
      </w:r>
      <w:r w:rsidRPr="00062D5A">
        <w:rPr>
          <w:sz w:val="18"/>
          <w:szCs w:val="18"/>
        </w:rPr>
        <w:t>2019/05/20</w:t>
      </w:r>
      <w:r w:rsidRPr="00062D5A">
        <w:rPr>
          <w:rFonts w:hint="eastAsia"/>
          <w:sz w:val="18"/>
          <w:szCs w:val="18"/>
        </w:rPr>
        <w:t>）、现任基金经理为王明旭（</w:t>
      </w:r>
      <w:r w:rsidRPr="00062D5A">
        <w:rPr>
          <w:sz w:val="18"/>
          <w:szCs w:val="18"/>
        </w:rPr>
        <w:t>2018/10/17</w:t>
      </w:r>
      <w:r w:rsidRPr="00062D5A">
        <w:rPr>
          <w:rFonts w:hint="eastAsia"/>
          <w:sz w:val="18"/>
          <w:szCs w:val="18"/>
        </w:rPr>
        <w:t>至今）</w:t>
      </w:r>
      <w:r w:rsidRPr="00062D5A">
        <w:rPr>
          <w:rFonts w:hint="eastAsia"/>
          <w:sz w:val="18"/>
          <w:szCs w:val="18"/>
        </w:rPr>
        <w:t>;</w:t>
      </w:r>
      <w:r w:rsidRPr="00062D5A">
        <w:rPr>
          <w:rFonts w:hint="eastAsia"/>
          <w:sz w:val="18"/>
          <w:szCs w:val="18"/>
        </w:rPr>
        <w:t>广发价值优势历任基金经理（任职日期）为：王明旭（</w:t>
      </w:r>
      <w:r w:rsidRPr="00062D5A">
        <w:rPr>
          <w:rFonts w:hint="eastAsia"/>
          <w:sz w:val="18"/>
          <w:szCs w:val="18"/>
        </w:rPr>
        <w:t>2020/03/02</w:t>
      </w:r>
      <w:r w:rsidRPr="00062D5A">
        <w:rPr>
          <w:rFonts w:hint="eastAsia"/>
          <w:sz w:val="18"/>
          <w:szCs w:val="18"/>
        </w:rPr>
        <w:t>至今）</w:t>
      </w:r>
      <w:r w:rsidRPr="00062D5A">
        <w:rPr>
          <w:rFonts w:hint="eastAsia"/>
          <w:sz w:val="18"/>
          <w:szCs w:val="18"/>
        </w:rPr>
        <w:t xml:space="preserve">; </w:t>
      </w:r>
      <w:r w:rsidRPr="00062D5A">
        <w:rPr>
          <w:rFonts w:hint="eastAsia"/>
          <w:sz w:val="18"/>
          <w:szCs w:val="18"/>
        </w:rPr>
        <w:t>广发稳健优选历任基金经理（任职日期）为：王明旭（</w:t>
      </w:r>
      <w:r w:rsidRPr="00062D5A">
        <w:rPr>
          <w:rFonts w:hint="eastAsia"/>
          <w:sz w:val="18"/>
          <w:szCs w:val="18"/>
        </w:rPr>
        <w:t>2020/08/06</w:t>
      </w:r>
      <w:r w:rsidRPr="00062D5A">
        <w:rPr>
          <w:rFonts w:hint="eastAsia"/>
          <w:sz w:val="18"/>
          <w:szCs w:val="18"/>
        </w:rPr>
        <w:t>至今）；广发均衡优选历任基金经理（任职日期）为：王明旭（</w:t>
      </w:r>
      <w:r w:rsidRPr="00062D5A">
        <w:rPr>
          <w:rFonts w:hint="eastAsia"/>
          <w:sz w:val="18"/>
          <w:szCs w:val="18"/>
        </w:rPr>
        <w:t>2021/01/11</w:t>
      </w:r>
      <w:r w:rsidRPr="00062D5A">
        <w:rPr>
          <w:rFonts w:hint="eastAsia"/>
          <w:sz w:val="18"/>
          <w:szCs w:val="18"/>
        </w:rPr>
        <w:t>至今）。</w:t>
      </w:r>
    </w:p>
    <w:p w:rsidR="00062D5A" w:rsidRPr="00062D5A" w:rsidRDefault="00062D5A" w:rsidP="00062D5A">
      <w:pPr>
        <w:rPr>
          <w:sz w:val="18"/>
        </w:rPr>
      </w:pPr>
    </w:p>
    <w:p w:rsidR="00062D5A" w:rsidRPr="00A02D9E" w:rsidRDefault="00062D5A" w:rsidP="00062D5A">
      <w:r w:rsidRPr="00062D5A">
        <w:rPr>
          <w:rFonts w:hint="eastAsia"/>
          <w:sz w:val="18"/>
        </w:rPr>
        <w:t>风险提示</w:t>
      </w:r>
      <w:r w:rsidRPr="00062D5A">
        <w:rPr>
          <w:rFonts w:hint="eastAsia"/>
          <w:sz w:val="18"/>
        </w:rPr>
        <w:t xml:space="preserve">: </w:t>
      </w:r>
      <w:r w:rsidRPr="00062D5A">
        <w:rPr>
          <w:rFonts w:hint="eastAsia"/>
          <w:sz w:val="18"/>
        </w:rPr>
        <w:t>基金的过往业绩并不预示其未来表现，基金经理管理的其他基金过往业绩不代表新基金的未来表现。</w:t>
      </w:r>
      <w:r w:rsidRPr="00062D5A">
        <w:rPr>
          <w:sz w:val="18"/>
        </w:rPr>
        <w:t>本基金投资于证券市场，投资者在投资本基金前，需充分了解本基金的产品特性、若投资于港股可能带来的特有风险，并承担基金投资中出现的各类风险。</w:t>
      </w:r>
      <w:r w:rsidRPr="00062D5A">
        <w:rPr>
          <w:rFonts w:hint="eastAsia"/>
          <w:sz w:val="18"/>
        </w:rPr>
        <w:t>投资者认购</w:t>
      </w:r>
      <w:r w:rsidRPr="00062D5A">
        <w:rPr>
          <w:rFonts w:hint="eastAsia"/>
          <w:sz w:val="18"/>
        </w:rPr>
        <w:t>/</w:t>
      </w:r>
      <w:r w:rsidRPr="00062D5A">
        <w:rPr>
          <w:rFonts w:hint="eastAsia"/>
          <w:sz w:val="18"/>
        </w:rPr>
        <w:t>申购本基金份额后需至少持有满两年方可赎回，即在两年持有期内基金份额持有人不能提出赎回申请。</w:t>
      </w:r>
      <w:r w:rsidRPr="00062D5A">
        <w:rPr>
          <w:sz w:val="18"/>
        </w:rPr>
        <w:t>本产品由广发基金管理有限公司发行与管理，代销机构不承担产品的投资、兑付和风险管理责任。基金详情及风险收益特征请详细阅读基金合同</w:t>
      </w:r>
      <w:r w:rsidRPr="00062D5A">
        <w:rPr>
          <w:sz w:val="18"/>
        </w:rPr>
        <w:lastRenderedPageBreak/>
        <w:t>和招募说明书等法律文件。基金有风险，投资需谨慎。</w:t>
      </w:r>
    </w:p>
    <w:p w:rsidR="002461C9" w:rsidRPr="001226EF" w:rsidRDefault="002461C9" w:rsidP="001226EF">
      <w:pPr>
        <w:rPr>
          <w:rFonts w:asciiTheme="minorEastAsia" w:hAnsiTheme="minorEastAsia" w:cs="Arial"/>
          <w:color w:val="000000"/>
          <w:sz w:val="24"/>
          <w:szCs w:val="24"/>
        </w:rPr>
      </w:pPr>
    </w:p>
    <w:p w:rsidR="00111B32" w:rsidRPr="002461C9" w:rsidRDefault="00111B32" w:rsidP="00002698">
      <w:pPr>
        <w:pStyle w:val="a5"/>
        <w:ind w:left="420" w:firstLineChars="0" w:firstLine="0"/>
        <w:rPr>
          <w:rFonts w:asciiTheme="minorEastAsia" w:hAnsiTheme="minorEastAsia" w:cs="Arial"/>
          <w:color w:val="000000"/>
          <w:sz w:val="24"/>
          <w:szCs w:val="24"/>
        </w:rPr>
      </w:pPr>
    </w:p>
    <w:p w:rsidR="00E230F1" w:rsidRPr="00E230F1" w:rsidRDefault="002461C9" w:rsidP="00D47433">
      <w:pPr>
        <w:pStyle w:val="a5"/>
        <w:numPr>
          <w:ilvl w:val="0"/>
          <w:numId w:val="1"/>
        </w:numPr>
        <w:spacing w:line="360" w:lineRule="auto"/>
        <w:ind w:firstLineChars="0"/>
        <w:outlineLvl w:val="0"/>
        <w:rPr>
          <w:rFonts w:asciiTheme="minorEastAsia" w:hAnsiTheme="minorEastAsia"/>
          <w:b/>
          <w:sz w:val="24"/>
          <w:szCs w:val="24"/>
        </w:rPr>
      </w:pPr>
      <w:bookmarkStart w:id="16" w:name="_Toc57627834"/>
      <w:bookmarkStart w:id="17" w:name="_Toc66712999"/>
      <w:r w:rsidRPr="00C400CD">
        <w:rPr>
          <w:rFonts w:asciiTheme="minorEastAsia" w:hAnsiTheme="minorEastAsia" w:hint="eastAsia"/>
          <w:b/>
          <w:sz w:val="24"/>
          <w:szCs w:val="24"/>
        </w:rPr>
        <w:t>拟任基金经理</w:t>
      </w:r>
      <w:r>
        <w:rPr>
          <w:rFonts w:asciiTheme="minorEastAsia" w:hAnsiTheme="minorEastAsia" w:hint="eastAsia"/>
          <w:b/>
          <w:sz w:val="24"/>
          <w:szCs w:val="24"/>
        </w:rPr>
        <w:t>王明旭</w:t>
      </w:r>
      <w:r w:rsidRPr="00C400CD">
        <w:rPr>
          <w:rFonts w:asciiTheme="minorEastAsia" w:hAnsiTheme="minorEastAsia" w:hint="eastAsia"/>
          <w:b/>
          <w:sz w:val="24"/>
          <w:szCs w:val="24"/>
        </w:rPr>
        <w:t>对未来的市场走势如何判断</w:t>
      </w:r>
      <w:r w:rsidRPr="00C400CD">
        <w:rPr>
          <w:rFonts w:asciiTheme="minorEastAsia" w:hAnsiTheme="minorEastAsia"/>
          <w:b/>
          <w:sz w:val="24"/>
          <w:szCs w:val="24"/>
        </w:rPr>
        <w:t>？</w:t>
      </w:r>
      <w:bookmarkEnd w:id="16"/>
      <w:bookmarkEnd w:id="17"/>
    </w:p>
    <w:p w:rsidR="00481178" w:rsidRPr="00481178" w:rsidRDefault="00481178" w:rsidP="00481178">
      <w:pPr>
        <w:widowControl/>
        <w:shd w:val="clear" w:color="auto" w:fill="FFFFFF"/>
        <w:spacing w:line="360" w:lineRule="auto"/>
        <w:ind w:firstLineChars="200" w:firstLine="480"/>
        <w:rPr>
          <w:sz w:val="24"/>
          <w:szCs w:val="24"/>
        </w:rPr>
      </w:pPr>
      <w:r w:rsidRPr="00481178">
        <w:rPr>
          <w:sz w:val="24"/>
          <w:szCs w:val="24"/>
        </w:rPr>
        <w:t>今年</w:t>
      </w:r>
      <w:r w:rsidRPr="00481178">
        <w:rPr>
          <w:sz w:val="24"/>
          <w:szCs w:val="24"/>
        </w:rPr>
        <w:t>A</w:t>
      </w:r>
      <w:r w:rsidRPr="00481178">
        <w:rPr>
          <w:sz w:val="24"/>
          <w:szCs w:val="24"/>
        </w:rPr>
        <w:t>股投资的主逻辑是全球经济加速复苏，但另一个影响市场的重要因素是流动性可能收紧的预期，到底是经济复苏给市场带来的正面驱动作用更大，还是市场对于流动性收紧的担忧更多，两者会不断</w:t>
      </w:r>
      <w:r w:rsidRPr="00481178">
        <w:rPr>
          <w:sz w:val="24"/>
          <w:szCs w:val="24"/>
        </w:rPr>
        <w:t>“</w:t>
      </w:r>
      <w:r w:rsidRPr="00481178">
        <w:rPr>
          <w:sz w:val="24"/>
          <w:szCs w:val="24"/>
        </w:rPr>
        <w:t>赛跑</w:t>
      </w:r>
      <w:r w:rsidRPr="00481178">
        <w:rPr>
          <w:sz w:val="24"/>
          <w:szCs w:val="24"/>
        </w:rPr>
        <w:t>”</w:t>
      </w:r>
      <w:r w:rsidRPr="00481178">
        <w:rPr>
          <w:sz w:val="24"/>
          <w:szCs w:val="24"/>
        </w:rPr>
        <w:t>，市场波动可能加大。</w:t>
      </w:r>
    </w:p>
    <w:p w:rsidR="00481178" w:rsidRPr="00481178" w:rsidRDefault="00481178" w:rsidP="00481178">
      <w:pPr>
        <w:widowControl/>
        <w:shd w:val="clear" w:color="auto" w:fill="FFFFFF"/>
        <w:spacing w:line="360" w:lineRule="auto"/>
        <w:ind w:firstLineChars="200" w:firstLine="480"/>
        <w:rPr>
          <w:sz w:val="24"/>
          <w:szCs w:val="24"/>
        </w:rPr>
      </w:pPr>
      <w:r w:rsidRPr="00481178">
        <w:rPr>
          <w:sz w:val="24"/>
          <w:szCs w:val="24"/>
        </w:rPr>
        <w:t>到目前为止，暂时还看不到市场全面下跌的迹象。一方面，经济复苏力度比较大，今年</w:t>
      </w:r>
      <w:r w:rsidRPr="00481178">
        <w:rPr>
          <w:sz w:val="24"/>
          <w:szCs w:val="24"/>
        </w:rPr>
        <w:t>A</w:t>
      </w:r>
      <w:r w:rsidRPr="00481178">
        <w:rPr>
          <w:sz w:val="24"/>
          <w:szCs w:val="24"/>
        </w:rPr>
        <w:t>股上市公司盈利增长还不错，有基本面支撑。</w:t>
      </w:r>
    </w:p>
    <w:p w:rsidR="00481178" w:rsidRPr="00481178" w:rsidRDefault="00481178" w:rsidP="00481178">
      <w:pPr>
        <w:widowControl/>
        <w:shd w:val="clear" w:color="auto" w:fill="FFFFFF"/>
        <w:spacing w:line="360" w:lineRule="auto"/>
        <w:ind w:firstLineChars="200" w:firstLine="480"/>
        <w:rPr>
          <w:sz w:val="24"/>
          <w:szCs w:val="24"/>
        </w:rPr>
      </w:pPr>
      <w:r w:rsidRPr="00481178">
        <w:rPr>
          <w:sz w:val="24"/>
          <w:szCs w:val="24"/>
        </w:rPr>
        <w:t>另一方面，从流动性来看，过去一个多月，美国十年期国债利率、中国十年期国开债利率均快速上扬，这反映的是市场对于未来一段时间流动性收紧的预期。春节后市场出现调整，也是基于这种预期。但就目前来看，远期利率处于短期高点，进一步走高的概率偏小。另外，从经济复苏的情况来看，短端利率并不具备上调的基础。</w:t>
      </w:r>
    </w:p>
    <w:p w:rsidR="0049109E" w:rsidRPr="00C5109F" w:rsidRDefault="0049109E" w:rsidP="00481178">
      <w:pPr>
        <w:pStyle w:val="a5"/>
        <w:numPr>
          <w:ilvl w:val="0"/>
          <w:numId w:val="32"/>
        </w:numPr>
        <w:spacing w:line="360" w:lineRule="auto"/>
        <w:ind w:firstLineChars="0"/>
        <w:rPr>
          <w:rFonts w:asciiTheme="minorEastAsia" w:hAnsiTheme="minorEastAsia"/>
          <w:b/>
          <w:sz w:val="24"/>
          <w:szCs w:val="24"/>
        </w:rPr>
      </w:pPr>
      <w:r w:rsidRPr="00C5109F">
        <w:rPr>
          <w:rFonts w:asciiTheme="minorEastAsia" w:hAnsiTheme="minorEastAsia" w:hint="eastAsia"/>
          <w:b/>
          <w:sz w:val="24"/>
          <w:szCs w:val="24"/>
        </w:rPr>
        <w:t>看好</w:t>
      </w:r>
      <w:r w:rsidR="00C41ED7" w:rsidRPr="00C5109F">
        <w:rPr>
          <w:rFonts w:asciiTheme="minorEastAsia" w:hAnsiTheme="minorEastAsia" w:hint="eastAsia"/>
          <w:b/>
          <w:sz w:val="24"/>
          <w:szCs w:val="24"/>
        </w:rPr>
        <w:t>三大方向</w:t>
      </w:r>
      <w:r w:rsidRPr="00C5109F">
        <w:rPr>
          <w:rFonts w:asciiTheme="minorEastAsia" w:hAnsiTheme="minorEastAsia"/>
          <w:b/>
          <w:sz w:val="24"/>
          <w:szCs w:val="24"/>
        </w:rPr>
        <w:t>：</w:t>
      </w:r>
    </w:p>
    <w:p w:rsidR="00C41ED7" w:rsidRPr="00C5109F" w:rsidRDefault="00C41ED7" w:rsidP="00481178">
      <w:pPr>
        <w:pStyle w:val="a5"/>
        <w:numPr>
          <w:ilvl w:val="0"/>
          <w:numId w:val="37"/>
        </w:numPr>
        <w:spacing w:line="360" w:lineRule="auto"/>
        <w:ind w:firstLineChars="0"/>
        <w:rPr>
          <w:sz w:val="24"/>
          <w:szCs w:val="24"/>
        </w:rPr>
      </w:pPr>
      <w:r w:rsidRPr="00C5109F">
        <w:rPr>
          <w:sz w:val="24"/>
          <w:szCs w:val="24"/>
        </w:rPr>
        <w:t>对经济回升、利率上行比较敏感的银行和保险；</w:t>
      </w:r>
    </w:p>
    <w:p w:rsidR="00C41ED7" w:rsidRPr="00C5109F" w:rsidRDefault="00C41ED7" w:rsidP="00481178">
      <w:pPr>
        <w:pStyle w:val="a5"/>
        <w:numPr>
          <w:ilvl w:val="0"/>
          <w:numId w:val="37"/>
        </w:numPr>
        <w:spacing w:line="360" w:lineRule="auto"/>
        <w:ind w:firstLineChars="0"/>
        <w:rPr>
          <w:rFonts w:ascii="宋体" w:eastAsia="宋体" w:hAnsi="宋体"/>
          <w:sz w:val="24"/>
          <w:szCs w:val="24"/>
        </w:rPr>
      </w:pPr>
      <w:r w:rsidRPr="00C5109F">
        <w:rPr>
          <w:sz w:val="24"/>
          <w:szCs w:val="24"/>
        </w:rPr>
        <w:t>与经济周期高度相关的顺周期行业，包括上游的大宗商品、中游的制造业；</w:t>
      </w:r>
    </w:p>
    <w:p w:rsidR="00253977" w:rsidRPr="00C5109F" w:rsidRDefault="00C41ED7" w:rsidP="00481178">
      <w:pPr>
        <w:pStyle w:val="a5"/>
        <w:numPr>
          <w:ilvl w:val="0"/>
          <w:numId w:val="37"/>
        </w:numPr>
        <w:spacing w:line="360" w:lineRule="auto"/>
        <w:ind w:firstLineChars="0"/>
        <w:rPr>
          <w:rFonts w:ascii="宋体" w:eastAsia="宋体" w:hAnsi="宋体"/>
          <w:sz w:val="24"/>
          <w:szCs w:val="24"/>
        </w:rPr>
      </w:pPr>
      <w:r w:rsidRPr="00C5109F">
        <w:rPr>
          <w:sz w:val="24"/>
          <w:szCs w:val="24"/>
        </w:rPr>
        <w:t>随疫情缓解而受益的行业，如酒店、航空、旅游、院线等。</w:t>
      </w:r>
    </w:p>
    <w:p w:rsidR="00C41ED7" w:rsidRPr="00C41ED7" w:rsidRDefault="00C41ED7" w:rsidP="00C41ED7">
      <w:pPr>
        <w:pStyle w:val="a5"/>
        <w:spacing w:line="360" w:lineRule="auto"/>
        <w:ind w:left="720" w:firstLineChars="0" w:firstLine="0"/>
        <w:rPr>
          <w:rFonts w:ascii="宋体" w:eastAsia="宋体" w:hAnsi="宋体"/>
          <w:b/>
          <w:sz w:val="24"/>
          <w:szCs w:val="24"/>
        </w:rPr>
      </w:pPr>
    </w:p>
    <w:p w:rsidR="00B861AB" w:rsidRPr="00B861AB" w:rsidRDefault="00B861AB" w:rsidP="00B861AB">
      <w:pPr>
        <w:pStyle w:val="a5"/>
        <w:numPr>
          <w:ilvl w:val="0"/>
          <w:numId w:val="1"/>
        </w:numPr>
        <w:spacing w:line="360" w:lineRule="auto"/>
        <w:ind w:firstLineChars="0"/>
        <w:outlineLvl w:val="0"/>
        <w:rPr>
          <w:rFonts w:asciiTheme="minorEastAsia" w:hAnsiTheme="minorEastAsia"/>
          <w:b/>
          <w:sz w:val="24"/>
          <w:szCs w:val="24"/>
        </w:rPr>
      </w:pPr>
      <w:bookmarkStart w:id="18" w:name="_Toc66713000"/>
      <w:r w:rsidRPr="00B861AB">
        <w:rPr>
          <w:rFonts w:asciiTheme="minorEastAsia" w:hAnsiTheme="minorEastAsia" w:hint="eastAsia"/>
          <w:b/>
          <w:sz w:val="24"/>
          <w:szCs w:val="24"/>
        </w:rPr>
        <w:t>广发基金的投资管理能力如何？</w:t>
      </w:r>
      <w:bookmarkEnd w:id="18"/>
    </w:p>
    <w:p w:rsidR="00553D39" w:rsidRPr="00547B57" w:rsidRDefault="00577A17" w:rsidP="00547B57">
      <w:pPr>
        <w:spacing w:line="360" w:lineRule="auto"/>
        <w:jc w:val="left"/>
        <w:rPr>
          <w:rFonts w:ascii="宋体" w:hAnsi="宋体"/>
          <w:sz w:val="24"/>
          <w:szCs w:val="21"/>
        </w:rPr>
      </w:pPr>
      <w:r>
        <w:rPr>
          <w:noProof/>
        </w:rPr>
        <w:drawing>
          <wp:inline distT="0" distB="0" distL="0" distR="0">
            <wp:extent cx="5274310" cy="1786712"/>
            <wp:effectExtent l="0" t="0" r="2540" b="4445"/>
            <wp:docPr id="5" name="图片 5" descr="C:\Users\lzs\AppData\Local\Temp\企业微信截图_16157918837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zs\AppData\Local\Temp\企业微信截图_1615791883709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86712"/>
                    </a:xfrm>
                    <a:prstGeom prst="rect">
                      <a:avLst/>
                    </a:prstGeom>
                    <a:noFill/>
                    <a:ln>
                      <a:noFill/>
                    </a:ln>
                  </pic:spPr>
                </pic:pic>
              </a:graphicData>
            </a:graphic>
          </wp:inline>
        </w:drawing>
      </w:r>
    </w:p>
    <w:p w:rsidR="00577A17" w:rsidRPr="00547B57" w:rsidRDefault="00577A17" w:rsidP="00547B57">
      <w:pPr>
        <w:spacing w:line="360" w:lineRule="auto"/>
        <w:jc w:val="left"/>
        <w:rPr>
          <w:rFonts w:ascii="宋体" w:hAnsi="宋体"/>
          <w:sz w:val="24"/>
          <w:szCs w:val="21"/>
        </w:rPr>
      </w:pPr>
      <w:r>
        <w:rPr>
          <w:noProof/>
        </w:rPr>
        <w:lastRenderedPageBreak/>
        <w:drawing>
          <wp:inline distT="0" distB="0" distL="0" distR="0">
            <wp:extent cx="5274310" cy="2164018"/>
            <wp:effectExtent l="0" t="0" r="2540" b="8255"/>
            <wp:docPr id="6" name="图片 6" descr="C:\Users\lzs\AppData\Local\Temp\企业微信截图_16157918985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zs\AppData\Local\Temp\企业微信截图_161579189855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64018"/>
                    </a:xfrm>
                    <a:prstGeom prst="rect">
                      <a:avLst/>
                    </a:prstGeom>
                    <a:noFill/>
                    <a:ln>
                      <a:noFill/>
                    </a:ln>
                  </pic:spPr>
                </pic:pic>
              </a:graphicData>
            </a:graphic>
          </wp:inline>
        </w:drawing>
      </w:r>
    </w:p>
    <w:p w:rsidR="00553D39" w:rsidRPr="00553D39" w:rsidRDefault="00553D39" w:rsidP="00553D39">
      <w:pPr>
        <w:jc w:val="left"/>
        <w:rPr>
          <w:sz w:val="18"/>
        </w:rPr>
      </w:pPr>
      <w:r w:rsidRPr="00553D39">
        <w:rPr>
          <w:rFonts w:hint="eastAsia"/>
          <w:sz w:val="18"/>
        </w:rPr>
        <w:t>备注：管理规模、服务持有人数、盈利数据、分红数据来自广发基金，数据截至</w:t>
      </w:r>
      <w:r w:rsidRPr="00553D39">
        <w:rPr>
          <w:rFonts w:hint="eastAsia"/>
          <w:sz w:val="18"/>
        </w:rPr>
        <w:t>2020</w:t>
      </w:r>
      <w:r w:rsidRPr="00553D39">
        <w:rPr>
          <w:rFonts w:hint="eastAsia"/>
          <w:sz w:val="18"/>
        </w:rPr>
        <w:t>年</w:t>
      </w:r>
      <w:r w:rsidRPr="00553D39">
        <w:rPr>
          <w:rFonts w:hint="eastAsia"/>
          <w:sz w:val="18"/>
        </w:rPr>
        <w:t>12</w:t>
      </w:r>
      <w:r w:rsidRPr="00553D39">
        <w:rPr>
          <w:rFonts w:hint="eastAsia"/>
          <w:sz w:val="18"/>
        </w:rPr>
        <w:t>月</w:t>
      </w:r>
      <w:r w:rsidRPr="00553D39">
        <w:rPr>
          <w:rFonts w:hint="eastAsia"/>
          <w:sz w:val="18"/>
        </w:rPr>
        <w:t>31</w:t>
      </w:r>
      <w:r w:rsidRPr="00553D39">
        <w:rPr>
          <w:rFonts w:hint="eastAsia"/>
          <w:sz w:val="18"/>
        </w:rPr>
        <w:t>日。</w:t>
      </w:r>
    </w:p>
    <w:p w:rsidR="00553D39" w:rsidRPr="00553D39" w:rsidRDefault="00553D39" w:rsidP="00553D39">
      <w:pPr>
        <w:rPr>
          <w:b/>
          <w:sz w:val="18"/>
        </w:rPr>
      </w:pPr>
      <w:r w:rsidRPr="00553D39">
        <w:rPr>
          <w:rFonts w:hint="eastAsia"/>
          <w:b/>
          <w:sz w:val="18"/>
        </w:rPr>
        <w:t>风险提示：基金管理人过往获奖情况、过往服务持有人数、管理规模、盈利数据、分红数据不预示未来表现，也不预示新基金未来表现。</w:t>
      </w:r>
    </w:p>
    <w:p w:rsidR="00B861AB" w:rsidRPr="00553D39" w:rsidRDefault="00B861AB" w:rsidP="00B0467B">
      <w:pPr>
        <w:spacing w:line="360" w:lineRule="auto"/>
        <w:rPr>
          <w:rFonts w:ascii="宋体" w:eastAsia="宋体" w:hAnsi="宋体"/>
          <w:b/>
          <w:sz w:val="24"/>
          <w:szCs w:val="24"/>
        </w:rPr>
      </w:pPr>
    </w:p>
    <w:p w:rsidR="00F63C9E" w:rsidRPr="000C7CDE" w:rsidRDefault="00F15E02" w:rsidP="000C7CDE">
      <w:pPr>
        <w:pStyle w:val="a5"/>
        <w:numPr>
          <w:ilvl w:val="0"/>
          <w:numId w:val="1"/>
        </w:numPr>
        <w:spacing w:line="360" w:lineRule="auto"/>
        <w:ind w:firstLineChars="0"/>
        <w:outlineLvl w:val="0"/>
        <w:rPr>
          <w:rFonts w:asciiTheme="minorEastAsia" w:hAnsiTheme="minorEastAsia"/>
          <w:b/>
          <w:sz w:val="24"/>
          <w:szCs w:val="24"/>
        </w:rPr>
      </w:pPr>
      <w:bookmarkStart w:id="19" w:name="_Toc66713001"/>
      <w:r>
        <w:rPr>
          <w:rFonts w:asciiTheme="minorEastAsia" w:hAnsiTheme="minorEastAsia" w:hint="eastAsia"/>
          <w:b/>
          <w:sz w:val="24"/>
          <w:szCs w:val="24"/>
        </w:rPr>
        <w:t>广发睿铭两年持有期混合的产品</w:t>
      </w:r>
      <w:r w:rsidR="000938A9" w:rsidRPr="004D7CB5">
        <w:rPr>
          <w:rFonts w:asciiTheme="minorEastAsia" w:hAnsiTheme="minorEastAsia" w:hint="eastAsia"/>
          <w:b/>
          <w:sz w:val="24"/>
          <w:szCs w:val="24"/>
        </w:rPr>
        <w:t>费率如何？</w:t>
      </w:r>
      <w:bookmarkEnd w:id="19"/>
    </w:p>
    <w:tbl>
      <w:tblPr>
        <w:tblStyle w:val="4-21"/>
        <w:tblW w:w="5000" w:type="pct"/>
        <w:tblLook w:val="04A0" w:firstRow="1" w:lastRow="0" w:firstColumn="1" w:lastColumn="0" w:noHBand="0" w:noVBand="1"/>
      </w:tblPr>
      <w:tblGrid>
        <w:gridCol w:w="576"/>
        <w:gridCol w:w="1325"/>
        <w:gridCol w:w="3028"/>
        <w:gridCol w:w="1563"/>
        <w:gridCol w:w="1804"/>
      </w:tblGrid>
      <w:tr w:rsidR="00553D39" w:rsidRPr="007E4799" w:rsidTr="00346CC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9" w:type="pct"/>
            <w:hideMark/>
          </w:tcPr>
          <w:p w:rsidR="00553D39" w:rsidRPr="00553D39" w:rsidRDefault="00553D39" w:rsidP="00553D39">
            <w:pPr>
              <w:pStyle w:val="a5"/>
              <w:widowControl/>
              <w:ind w:left="360" w:firstLineChars="0" w:firstLine="0"/>
              <w:rPr>
                <w:rFonts w:ascii="宋体" w:eastAsia="宋体" w:hAnsi="宋体" w:cs="宋体"/>
                <w:color w:val="000000"/>
                <w:szCs w:val="21"/>
              </w:rPr>
            </w:pPr>
            <w:r w:rsidRPr="00553D39">
              <w:rPr>
                <w:rFonts w:ascii="宋体" w:eastAsia="宋体" w:hAnsi="宋体" w:cs="宋体" w:hint="eastAsia"/>
                <w:color w:val="000000"/>
                <w:szCs w:val="21"/>
              </w:rPr>
              <w:t xml:space="preserve">　</w:t>
            </w:r>
          </w:p>
        </w:tc>
        <w:tc>
          <w:tcPr>
            <w:tcW w:w="2688" w:type="pct"/>
            <w:gridSpan w:val="2"/>
            <w:hideMark/>
          </w:tcPr>
          <w:p w:rsidR="00553D39" w:rsidRPr="007E4799" w:rsidRDefault="00553D39" w:rsidP="004A4F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rPr>
            </w:pPr>
            <w:r w:rsidRPr="007E4799">
              <w:rPr>
                <w:rFonts w:ascii="宋体" w:eastAsia="宋体" w:hAnsi="宋体" w:cs="宋体" w:hint="eastAsia"/>
                <w:color w:val="000000"/>
                <w:sz w:val="24"/>
              </w:rPr>
              <w:t>认</w:t>
            </w:r>
            <w:r w:rsidRPr="007E4799">
              <w:rPr>
                <w:rFonts w:ascii="Calibri" w:eastAsia="宋体" w:hAnsi="Calibri" w:cs="Calibri"/>
                <w:color w:val="000000"/>
                <w:sz w:val="24"/>
              </w:rPr>
              <w:t>/</w:t>
            </w:r>
            <w:r w:rsidRPr="007E4799">
              <w:rPr>
                <w:rFonts w:ascii="宋体" w:eastAsia="宋体" w:hAnsi="宋体" w:cs="宋体" w:hint="eastAsia"/>
                <w:color w:val="000000"/>
                <w:sz w:val="24"/>
              </w:rPr>
              <w:t>申购金额（</w:t>
            </w:r>
            <w:r w:rsidRPr="007E4799">
              <w:rPr>
                <w:rFonts w:ascii="Calibri" w:eastAsia="宋体" w:hAnsi="Calibri" w:cs="Calibri"/>
                <w:color w:val="000000"/>
                <w:sz w:val="24"/>
              </w:rPr>
              <w:t>M</w:t>
            </w:r>
            <w:r w:rsidRPr="007E4799">
              <w:rPr>
                <w:rFonts w:ascii="宋体" w:eastAsia="宋体" w:hAnsi="宋体" w:cs="宋体" w:hint="eastAsia"/>
                <w:color w:val="000000"/>
                <w:sz w:val="24"/>
              </w:rPr>
              <w:t>）</w:t>
            </w:r>
          </w:p>
        </w:tc>
        <w:tc>
          <w:tcPr>
            <w:tcW w:w="2093" w:type="pct"/>
            <w:gridSpan w:val="2"/>
            <w:hideMark/>
          </w:tcPr>
          <w:p w:rsidR="00553D39" w:rsidRPr="007E4799" w:rsidRDefault="00553D39" w:rsidP="004A4F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Cs w:val="21"/>
              </w:rPr>
            </w:pPr>
            <w:r w:rsidRPr="007E4799">
              <w:rPr>
                <w:rFonts w:ascii="宋体" w:eastAsia="宋体" w:hAnsi="宋体" w:cs="宋体" w:hint="eastAsia"/>
                <w:color w:val="000000"/>
                <w:szCs w:val="21"/>
              </w:rPr>
              <w:t>费率</w:t>
            </w:r>
          </w:p>
        </w:tc>
      </w:tr>
      <w:tr w:rsidR="00553D39" w:rsidRPr="007E4799" w:rsidTr="00346CC4">
        <w:trPr>
          <w:trHeight w:val="300"/>
        </w:trPr>
        <w:tc>
          <w:tcPr>
            <w:cnfStyle w:val="001000000000" w:firstRow="0" w:lastRow="0" w:firstColumn="1" w:lastColumn="0" w:oddVBand="0" w:evenVBand="0" w:oddHBand="0" w:evenHBand="0" w:firstRowFirstColumn="0" w:firstRowLastColumn="0" w:lastRowFirstColumn="0" w:lastRowLastColumn="0"/>
            <w:tcW w:w="219" w:type="pct"/>
            <w:vMerge w:val="restart"/>
            <w:hideMark/>
          </w:tcPr>
          <w:p w:rsidR="00553D39" w:rsidRPr="007E4799" w:rsidRDefault="00553D39" w:rsidP="004A4F19">
            <w:pPr>
              <w:widowControl/>
              <w:jc w:val="center"/>
              <w:rPr>
                <w:rFonts w:ascii="宋体" w:eastAsia="宋体" w:hAnsi="宋体" w:cs="宋体"/>
                <w:color w:val="000000"/>
                <w:szCs w:val="21"/>
              </w:rPr>
            </w:pPr>
            <w:r w:rsidRPr="007E4799">
              <w:rPr>
                <w:rFonts w:ascii="宋体" w:eastAsia="宋体" w:hAnsi="宋体" w:cs="宋体" w:hint="eastAsia"/>
                <w:color w:val="000000"/>
                <w:szCs w:val="21"/>
              </w:rPr>
              <w:t>一次性费用</w:t>
            </w:r>
            <w:r w:rsidRPr="007E4799">
              <w:rPr>
                <w:rFonts w:ascii="Times New Roman" w:eastAsia="宋体" w:hAnsi="Times New Roman" w:cs="Times New Roman"/>
                <w:color w:val="000000"/>
                <w:szCs w:val="21"/>
              </w:rPr>
              <w:t xml:space="preserve"> </w:t>
            </w:r>
          </w:p>
        </w:tc>
        <w:tc>
          <w:tcPr>
            <w:tcW w:w="831" w:type="pct"/>
            <w:vMerge w:val="restart"/>
            <w:hideMark/>
          </w:tcPr>
          <w:p w:rsidR="00553D39" w:rsidRPr="007E4799" w:rsidRDefault="00553D39" w:rsidP="004A4F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r w:rsidRPr="007E4799">
              <w:rPr>
                <w:rFonts w:ascii="宋体" w:eastAsia="宋体" w:hAnsi="宋体" w:cs="宋体" w:hint="eastAsia"/>
                <w:color w:val="000000"/>
                <w:szCs w:val="21"/>
              </w:rPr>
              <w:t>A类认购费率</w:t>
            </w:r>
            <w:r w:rsidRPr="007E4799">
              <w:rPr>
                <w:rFonts w:ascii="Times New Roman" w:eastAsia="宋体" w:hAnsi="Times New Roman" w:cs="Times New Roman"/>
                <w:color w:val="000000"/>
                <w:szCs w:val="21"/>
              </w:rPr>
              <w:t xml:space="preserve"> </w:t>
            </w:r>
          </w:p>
        </w:tc>
        <w:tc>
          <w:tcPr>
            <w:tcW w:w="1857" w:type="pct"/>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Calibri" w:eastAsia="等线" w:hAnsi="Calibri" w:cs="Calibri"/>
                <w:color w:val="000000"/>
                <w:szCs w:val="21"/>
              </w:rPr>
            </w:pPr>
            <w:r w:rsidRPr="007E4799">
              <w:rPr>
                <w:rFonts w:ascii="Calibri" w:eastAsia="等线" w:hAnsi="Calibri" w:cs="Calibri"/>
                <w:color w:val="000000"/>
                <w:szCs w:val="21"/>
              </w:rPr>
              <w:t>M</w:t>
            </w:r>
            <w:r w:rsidRPr="007E4799">
              <w:rPr>
                <w:rFonts w:ascii="宋体" w:eastAsia="宋体" w:hAnsi="宋体" w:cs="Calibri" w:hint="eastAsia"/>
                <w:color w:val="000000"/>
                <w:szCs w:val="21"/>
              </w:rPr>
              <w:t>＜</w:t>
            </w:r>
            <w:r w:rsidRPr="007E4799">
              <w:rPr>
                <w:rFonts w:ascii="Calibri" w:eastAsia="等线" w:hAnsi="Calibri" w:cs="Calibri"/>
                <w:color w:val="000000"/>
                <w:szCs w:val="21"/>
              </w:rPr>
              <w:t>100</w:t>
            </w:r>
            <w:r w:rsidRPr="007E4799">
              <w:rPr>
                <w:rFonts w:ascii="宋体" w:eastAsia="宋体" w:hAnsi="宋体" w:cs="Calibri" w:hint="eastAsia"/>
                <w:color w:val="000000"/>
                <w:szCs w:val="21"/>
              </w:rPr>
              <w:t>万元</w:t>
            </w:r>
            <w:r w:rsidRPr="007E4799">
              <w:rPr>
                <w:rFonts w:ascii="Calibri" w:eastAsia="等线" w:hAnsi="Calibri" w:cs="Calibri"/>
                <w:color w:val="000000"/>
                <w:szCs w:val="21"/>
              </w:rPr>
              <w:t xml:space="preserve"> </w:t>
            </w:r>
          </w:p>
        </w:tc>
        <w:tc>
          <w:tcPr>
            <w:tcW w:w="2093" w:type="pct"/>
            <w:gridSpan w:val="2"/>
            <w:hideMark/>
          </w:tcPr>
          <w:p w:rsidR="00553D39" w:rsidRPr="007E4799" w:rsidRDefault="00553D39" w:rsidP="004A4F1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sidRPr="007E4799">
              <w:rPr>
                <w:rFonts w:ascii="Times New Roman" w:eastAsia="等线" w:hAnsi="Times New Roman" w:cs="Times New Roman"/>
                <w:color w:val="000000"/>
                <w:szCs w:val="21"/>
              </w:rPr>
              <w:t>1.20%</w:t>
            </w:r>
          </w:p>
        </w:tc>
      </w:tr>
      <w:tr w:rsidR="00553D39" w:rsidRPr="007E4799" w:rsidTr="00346CC4">
        <w:trPr>
          <w:trHeight w:val="285"/>
        </w:trPr>
        <w:tc>
          <w:tcPr>
            <w:cnfStyle w:val="001000000000" w:firstRow="0" w:lastRow="0" w:firstColumn="1" w:lastColumn="0" w:oddVBand="0" w:evenVBand="0" w:oddHBand="0" w:evenHBand="0" w:firstRowFirstColumn="0" w:firstRowLastColumn="0" w:lastRowFirstColumn="0" w:lastRowLastColumn="0"/>
            <w:tcW w:w="219" w:type="pct"/>
            <w:vMerge/>
            <w:hideMark/>
          </w:tcPr>
          <w:p w:rsidR="00553D39" w:rsidRPr="007E4799" w:rsidRDefault="00553D39" w:rsidP="004A4F19">
            <w:pPr>
              <w:widowControl/>
              <w:jc w:val="left"/>
              <w:rPr>
                <w:rFonts w:ascii="宋体" w:eastAsia="宋体" w:hAnsi="宋体" w:cs="宋体"/>
                <w:color w:val="000000"/>
                <w:szCs w:val="21"/>
              </w:rPr>
            </w:pPr>
          </w:p>
        </w:tc>
        <w:tc>
          <w:tcPr>
            <w:tcW w:w="831" w:type="pct"/>
            <w:vMerge/>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p>
        </w:tc>
        <w:tc>
          <w:tcPr>
            <w:tcW w:w="1857" w:type="pct"/>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Calibri" w:eastAsia="等线" w:hAnsi="Calibri" w:cs="Calibri"/>
                <w:color w:val="000000"/>
                <w:szCs w:val="21"/>
              </w:rPr>
            </w:pPr>
            <w:r w:rsidRPr="007E4799">
              <w:rPr>
                <w:rFonts w:ascii="Calibri" w:eastAsia="等线" w:hAnsi="Calibri" w:cs="Calibri"/>
                <w:color w:val="000000"/>
                <w:szCs w:val="21"/>
              </w:rPr>
              <w:t>100</w:t>
            </w:r>
            <w:r w:rsidRPr="007E4799">
              <w:rPr>
                <w:rFonts w:ascii="宋体" w:eastAsia="宋体" w:hAnsi="宋体" w:cs="Calibri" w:hint="eastAsia"/>
                <w:color w:val="000000"/>
                <w:szCs w:val="21"/>
              </w:rPr>
              <w:t>万元</w:t>
            </w:r>
            <w:r w:rsidRPr="007E4799">
              <w:rPr>
                <w:rFonts w:ascii="Calibri" w:eastAsia="等线" w:hAnsi="Calibri" w:cs="Calibri"/>
                <w:color w:val="000000"/>
                <w:szCs w:val="21"/>
              </w:rPr>
              <w:t>≤M</w:t>
            </w:r>
            <w:r w:rsidRPr="007E4799">
              <w:rPr>
                <w:rFonts w:ascii="宋体" w:eastAsia="宋体" w:hAnsi="宋体" w:cs="Calibri" w:hint="eastAsia"/>
                <w:color w:val="000000"/>
                <w:szCs w:val="21"/>
              </w:rPr>
              <w:t>＜</w:t>
            </w:r>
            <w:r w:rsidRPr="007E4799">
              <w:rPr>
                <w:rFonts w:ascii="Calibri" w:eastAsia="等线" w:hAnsi="Calibri" w:cs="Calibri"/>
                <w:color w:val="000000"/>
                <w:szCs w:val="21"/>
              </w:rPr>
              <w:t>300</w:t>
            </w:r>
            <w:r w:rsidRPr="007E4799">
              <w:rPr>
                <w:rFonts w:ascii="宋体" w:eastAsia="宋体" w:hAnsi="宋体" w:cs="Calibri" w:hint="eastAsia"/>
                <w:color w:val="000000"/>
                <w:szCs w:val="21"/>
              </w:rPr>
              <w:t>万元</w:t>
            </w:r>
            <w:r w:rsidRPr="007E4799">
              <w:rPr>
                <w:rFonts w:ascii="Calibri" w:eastAsia="等线" w:hAnsi="Calibri" w:cs="Calibri"/>
                <w:color w:val="000000"/>
                <w:szCs w:val="21"/>
              </w:rPr>
              <w:t xml:space="preserve"> </w:t>
            </w:r>
          </w:p>
        </w:tc>
        <w:tc>
          <w:tcPr>
            <w:tcW w:w="2093" w:type="pct"/>
            <w:gridSpan w:val="2"/>
            <w:hideMark/>
          </w:tcPr>
          <w:p w:rsidR="00553D39" w:rsidRPr="007E4799" w:rsidRDefault="00553D39" w:rsidP="004A4F1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sidRPr="007E4799">
              <w:rPr>
                <w:rFonts w:ascii="Times New Roman" w:eastAsia="等线" w:hAnsi="Times New Roman" w:cs="Times New Roman"/>
                <w:color w:val="000000"/>
                <w:szCs w:val="21"/>
              </w:rPr>
              <w:t>0.80%</w:t>
            </w:r>
          </w:p>
        </w:tc>
      </w:tr>
      <w:tr w:rsidR="00553D39" w:rsidRPr="007E4799" w:rsidTr="00346CC4">
        <w:trPr>
          <w:trHeight w:val="285"/>
        </w:trPr>
        <w:tc>
          <w:tcPr>
            <w:cnfStyle w:val="001000000000" w:firstRow="0" w:lastRow="0" w:firstColumn="1" w:lastColumn="0" w:oddVBand="0" w:evenVBand="0" w:oddHBand="0" w:evenHBand="0" w:firstRowFirstColumn="0" w:firstRowLastColumn="0" w:lastRowFirstColumn="0" w:lastRowLastColumn="0"/>
            <w:tcW w:w="219" w:type="pct"/>
            <w:vMerge/>
            <w:hideMark/>
          </w:tcPr>
          <w:p w:rsidR="00553D39" w:rsidRPr="007E4799" w:rsidRDefault="00553D39" w:rsidP="004A4F19">
            <w:pPr>
              <w:widowControl/>
              <w:jc w:val="left"/>
              <w:rPr>
                <w:rFonts w:ascii="宋体" w:eastAsia="宋体" w:hAnsi="宋体" w:cs="宋体"/>
                <w:color w:val="000000"/>
                <w:szCs w:val="21"/>
              </w:rPr>
            </w:pPr>
          </w:p>
        </w:tc>
        <w:tc>
          <w:tcPr>
            <w:tcW w:w="831" w:type="pct"/>
            <w:vMerge/>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p>
        </w:tc>
        <w:tc>
          <w:tcPr>
            <w:tcW w:w="1857" w:type="pct"/>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Calibri" w:eastAsia="等线" w:hAnsi="Calibri" w:cs="Calibri"/>
                <w:color w:val="000000"/>
                <w:szCs w:val="21"/>
              </w:rPr>
            </w:pPr>
            <w:r w:rsidRPr="007E4799">
              <w:rPr>
                <w:rFonts w:ascii="Calibri" w:eastAsia="等线" w:hAnsi="Calibri" w:cs="Calibri"/>
                <w:color w:val="000000"/>
                <w:szCs w:val="21"/>
              </w:rPr>
              <w:t>300</w:t>
            </w:r>
            <w:r w:rsidRPr="007E4799">
              <w:rPr>
                <w:rFonts w:ascii="宋体" w:eastAsia="宋体" w:hAnsi="宋体" w:cs="Calibri" w:hint="eastAsia"/>
                <w:color w:val="000000"/>
                <w:szCs w:val="21"/>
              </w:rPr>
              <w:t>万元</w:t>
            </w:r>
            <w:r w:rsidRPr="007E4799">
              <w:rPr>
                <w:rFonts w:ascii="Calibri" w:eastAsia="等线" w:hAnsi="Calibri" w:cs="Calibri"/>
                <w:color w:val="000000"/>
                <w:szCs w:val="21"/>
              </w:rPr>
              <w:t>≤M</w:t>
            </w:r>
            <w:r w:rsidRPr="007E4799">
              <w:rPr>
                <w:rFonts w:ascii="宋体" w:eastAsia="宋体" w:hAnsi="宋体" w:cs="Calibri" w:hint="eastAsia"/>
                <w:color w:val="000000"/>
                <w:szCs w:val="21"/>
              </w:rPr>
              <w:t>＜</w:t>
            </w:r>
            <w:r w:rsidRPr="007E4799">
              <w:rPr>
                <w:rFonts w:ascii="Calibri" w:eastAsia="等线" w:hAnsi="Calibri" w:cs="Calibri"/>
                <w:color w:val="000000"/>
                <w:szCs w:val="21"/>
              </w:rPr>
              <w:t>500</w:t>
            </w:r>
            <w:r w:rsidRPr="007E4799">
              <w:rPr>
                <w:rFonts w:ascii="宋体" w:eastAsia="宋体" w:hAnsi="宋体" w:cs="Calibri" w:hint="eastAsia"/>
                <w:color w:val="000000"/>
                <w:szCs w:val="21"/>
              </w:rPr>
              <w:t>万元</w:t>
            </w:r>
            <w:r w:rsidRPr="007E4799">
              <w:rPr>
                <w:rFonts w:ascii="Calibri" w:eastAsia="等线" w:hAnsi="Calibri" w:cs="Calibri"/>
                <w:color w:val="000000"/>
                <w:szCs w:val="21"/>
              </w:rPr>
              <w:t xml:space="preserve"> </w:t>
            </w:r>
          </w:p>
        </w:tc>
        <w:tc>
          <w:tcPr>
            <w:tcW w:w="2093" w:type="pct"/>
            <w:gridSpan w:val="2"/>
            <w:hideMark/>
          </w:tcPr>
          <w:p w:rsidR="00553D39" w:rsidRPr="007E4799" w:rsidRDefault="00553D39" w:rsidP="004A4F1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sidRPr="007E4799">
              <w:rPr>
                <w:rFonts w:ascii="Times New Roman" w:eastAsia="等线" w:hAnsi="Times New Roman" w:cs="Times New Roman"/>
                <w:color w:val="000000"/>
                <w:szCs w:val="21"/>
              </w:rPr>
              <w:t>0.20%</w:t>
            </w:r>
          </w:p>
        </w:tc>
      </w:tr>
      <w:tr w:rsidR="00553D39" w:rsidRPr="007E4799" w:rsidTr="00346CC4">
        <w:trPr>
          <w:trHeight w:val="285"/>
        </w:trPr>
        <w:tc>
          <w:tcPr>
            <w:cnfStyle w:val="001000000000" w:firstRow="0" w:lastRow="0" w:firstColumn="1" w:lastColumn="0" w:oddVBand="0" w:evenVBand="0" w:oddHBand="0" w:evenHBand="0" w:firstRowFirstColumn="0" w:firstRowLastColumn="0" w:lastRowFirstColumn="0" w:lastRowLastColumn="0"/>
            <w:tcW w:w="219" w:type="pct"/>
            <w:vMerge/>
            <w:hideMark/>
          </w:tcPr>
          <w:p w:rsidR="00553D39" w:rsidRPr="007E4799" w:rsidRDefault="00553D39" w:rsidP="004A4F19">
            <w:pPr>
              <w:widowControl/>
              <w:jc w:val="left"/>
              <w:rPr>
                <w:rFonts w:ascii="宋体" w:eastAsia="宋体" w:hAnsi="宋体" w:cs="宋体"/>
                <w:color w:val="000000"/>
                <w:szCs w:val="21"/>
              </w:rPr>
            </w:pPr>
          </w:p>
        </w:tc>
        <w:tc>
          <w:tcPr>
            <w:tcW w:w="831" w:type="pct"/>
            <w:vMerge/>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p>
        </w:tc>
        <w:tc>
          <w:tcPr>
            <w:tcW w:w="1857" w:type="pct"/>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Calibri" w:eastAsia="等线" w:hAnsi="Calibri" w:cs="Calibri"/>
                <w:color w:val="000000"/>
                <w:szCs w:val="21"/>
              </w:rPr>
            </w:pPr>
            <w:r w:rsidRPr="007E4799">
              <w:rPr>
                <w:rFonts w:ascii="Calibri" w:eastAsia="等线" w:hAnsi="Calibri" w:cs="Calibri"/>
                <w:color w:val="000000"/>
                <w:szCs w:val="21"/>
              </w:rPr>
              <w:t>M≥500</w:t>
            </w:r>
            <w:r w:rsidRPr="007E4799">
              <w:rPr>
                <w:rFonts w:ascii="宋体" w:eastAsia="宋体" w:hAnsi="宋体" w:cs="Calibri" w:hint="eastAsia"/>
                <w:color w:val="000000"/>
                <w:szCs w:val="21"/>
              </w:rPr>
              <w:t>万元</w:t>
            </w:r>
          </w:p>
        </w:tc>
        <w:tc>
          <w:tcPr>
            <w:tcW w:w="2093" w:type="pct"/>
            <w:gridSpan w:val="2"/>
            <w:hideMark/>
          </w:tcPr>
          <w:p w:rsidR="00553D39" w:rsidRPr="007E4799" w:rsidRDefault="00553D39" w:rsidP="004A4F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r w:rsidRPr="007E4799">
              <w:rPr>
                <w:rFonts w:ascii="宋体" w:eastAsia="宋体" w:hAnsi="宋体" w:cs="宋体" w:hint="eastAsia"/>
                <w:color w:val="000000"/>
                <w:szCs w:val="21"/>
              </w:rPr>
              <w:t>每笔</w:t>
            </w:r>
            <w:r w:rsidRPr="007E4799">
              <w:rPr>
                <w:rFonts w:ascii="Times New Roman" w:eastAsia="宋体" w:hAnsi="Times New Roman" w:cs="Times New Roman"/>
                <w:color w:val="000000"/>
                <w:szCs w:val="21"/>
              </w:rPr>
              <w:t>1000</w:t>
            </w:r>
            <w:r w:rsidRPr="007E4799">
              <w:rPr>
                <w:rFonts w:ascii="宋体" w:eastAsia="宋体" w:hAnsi="宋体" w:cs="宋体" w:hint="eastAsia"/>
                <w:color w:val="000000"/>
                <w:szCs w:val="21"/>
              </w:rPr>
              <w:t>元</w:t>
            </w:r>
          </w:p>
        </w:tc>
      </w:tr>
      <w:tr w:rsidR="00553D39" w:rsidRPr="007E4799" w:rsidTr="00346CC4">
        <w:trPr>
          <w:trHeight w:val="285"/>
        </w:trPr>
        <w:tc>
          <w:tcPr>
            <w:cnfStyle w:val="001000000000" w:firstRow="0" w:lastRow="0" w:firstColumn="1" w:lastColumn="0" w:oddVBand="0" w:evenVBand="0" w:oddHBand="0" w:evenHBand="0" w:firstRowFirstColumn="0" w:firstRowLastColumn="0" w:lastRowFirstColumn="0" w:lastRowLastColumn="0"/>
            <w:tcW w:w="219" w:type="pct"/>
            <w:vMerge/>
            <w:hideMark/>
          </w:tcPr>
          <w:p w:rsidR="00553D39" w:rsidRPr="007E4799" w:rsidRDefault="00553D39" w:rsidP="004A4F19">
            <w:pPr>
              <w:widowControl/>
              <w:jc w:val="left"/>
              <w:rPr>
                <w:rFonts w:ascii="宋体" w:eastAsia="宋体" w:hAnsi="宋体" w:cs="宋体"/>
                <w:color w:val="000000"/>
                <w:szCs w:val="21"/>
              </w:rPr>
            </w:pPr>
          </w:p>
        </w:tc>
        <w:tc>
          <w:tcPr>
            <w:tcW w:w="831" w:type="pct"/>
            <w:vMerge w:val="restart"/>
            <w:hideMark/>
          </w:tcPr>
          <w:p w:rsidR="00553D39" w:rsidRPr="007E4799" w:rsidRDefault="00553D39" w:rsidP="004A4F1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sidRPr="007E4799">
              <w:rPr>
                <w:rFonts w:ascii="Times New Roman" w:eastAsia="等线" w:hAnsi="Times New Roman" w:cs="Times New Roman"/>
                <w:color w:val="000000"/>
                <w:szCs w:val="21"/>
              </w:rPr>
              <w:t>A</w:t>
            </w:r>
            <w:r w:rsidRPr="007E4799">
              <w:rPr>
                <w:rFonts w:ascii="宋体" w:eastAsia="宋体" w:hAnsi="宋体" w:cs="Times New Roman" w:hint="eastAsia"/>
                <w:color w:val="000000"/>
                <w:szCs w:val="21"/>
              </w:rPr>
              <w:t>类申购费率</w:t>
            </w:r>
            <w:r w:rsidRPr="007E4799">
              <w:rPr>
                <w:rFonts w:ascii="Times New Roman" w:eastAsia="等线" w:hAnsi="Times New Roman" w:cs="Times New Roman"/>
                <w:color w:val="000000"/>
                <w:szCs w:val="21"/>
              </w:rPr>
              <w:t xml:space="preserve"> </w:t>
            </w:r>
          </w:p>
        </w:tc>
        <w:tc>
          <w:tcPr>
            <w:tcW w:w="1857" w:type="pct"/>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r w:rsidRPr="007E4799">
              <w:rPr>
                <w:rFonts w:ascii="宋体" w:eastAsia="宋体" w:hAnsi="宋体" w:cs="宋体" w:hint="eastAsia"/>
                <w:color w:val="000000"/>
                <w:szCs w:val="21"/>
              </w:rPr>
              <w:t xml:space="preserve">M＜100万元 </w:t>
            </w:r>
          </w:p>
        </w:tc>
        <w:tc>
          <w:tcPr>
            <w:tcW w:w="2093" w:type="pct"/>
            <w:gridSpan w:val="2"/>
            <w:hideMark/>
          </w:tcPr>
          <w:p w:rsidR="00553D39" w:rsidRPr="007E4799" w:rsidRDefault="00553D39" w:rsidP="004A4F1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sidRPr="007E4799">
              <w:rPr>
                <w:rFonts w:ascii="Times New Roman" w:eastAsia="等线" w:hAnsi="Times New Roman" w:cs="Times New Roman"/>
                <w:color w:val="000000"/>
                <w:szCs w:val="21"/>
              </w:rPr>
              <w:t>1.50%</w:t>
            </w:r>
          </w:p>
        </w:tc>
      </w:tr>
      <w:tr w:rsidR="00553D39" w:rsidRPr="007E4799" w:rsidTr="00346CC4">
        <w:trPr>
          <w:trHeight w:val="285"/>
        </w:trPr>
        <w:tc>
          <w:tcPr>
            <w:cnfStyle w:val="001000000000" w:firstRow="0" w:lastRow="0" w:firstColumn="1" w:lastColumn="0" w:oddVBand="0" w:evenVBand="0" w:oddHBand="0" w:evenHBand="0" w:firstRowFirstColumn="0" w:firstRowLastColumn="0" w:lastRowFirstColumn="0" w:lastRowLastColumn="0"/>
            <w:tcW w:w="219" w:type="pct"/>
            <w:vMerge/>
            <w:hideMark/>
          </w:tcPr>
          <w:p w:rsidR="00553D39" w:rsidRPr="007E4799" w:rsidRDefault="00553D39" w:rsidP="004A4F19">
            <w:pPr>
              <w:widowControl/>
              <w:jc w:val="left"/>
              <w:rPr>
                <w:rFonts w:ascii="宋体" w:eastAsia="宋体" w:hAnsi="宋体" w:cs="宋体"/>
                <w:color w:val="000000"/>
                <w:szCs w:val="21"/>
              </w:rPr>
            </w:pPr>
          </w:p>
        </w:tc>
        <w:tc>
          <w:tcPr>
            <w:tcW w:w="831" w:type="pct"/>
            <w:vMerge/>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p>
        </w:tc>
        <w:tc>
          <w:tcPr>
            <w:tcW w:w="1857" w:type="pct"/>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r w:rsidRPr="007E4799">
              <w:rPr>
                <w:rFonts w:ascii="宋体" w:eastAsia="宋体" w:hAnsi="宋体" w:cs="宋体" w:hint="eastAsia"/>
                <w:color w:val="000000"/>
                <w:szCs w:val="21"/>
              </w:rPr>
              <w:t xml:space="preserve">100万元≤M＜300万元 </w:t>
            </w:r>
          </w:p>
        </w:tc>
        <w:tc>
          <w:tcPr>
            <w:tcW w:w="2093" w:type="pct"/>
            <w:gridSpan w:val="2"/>
            <w:hideMark/>
          </w:tcPr>
          <w:p w:rsidR="00553D39" w:rsidRPr="007E4799" w:rsidRDefault="00553D39" w:rsidP="004A4F1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sidRPr="007E4799">
              <w:rPr>
                <w:rFonts w:ascii="Times New Roman" w:eastAsia="等线" w:hAnsi="Times New Roman" w:cs="Times New Roman"/>
                <w:color w:val="000000"/>
                <w:szCs w:val="21"/>
              </w:rPr>
              <w:t>1.00%</w:t>
            </w:r>
          </w:p>
        </w:tc>
      </w:tr>
      <w:tr w:rsidR="00553D39" w:rsidRPr="007E4799" w:rsidTr="00346CC4">
        <w:trPr>
          <w:trHeight w:val="285"/>
        </w:trPr>
        <w:tc>
          <w:tcPr>
            <w:cnfStyle w:val="001000000000" w:firstRow="0" w:lastRow="0" w:firstColumn="1" w:lastColumn="0" w:oddVBand="0" w:evenVBand="0" w:oddHBand="0" w:evenHBand="0" w:firstRowFirstColumn="0" w:firstRowLastColumn="0" w:lastRowFirstColumn="0" w:lastRowLastColumn="0"/>
            <w:tcW w:w="219" w:type="pct"/>
            <w:vMerge/>
            <w:hideMark/>
          </w:tcPr>
          <w:p w:rsidR="00553D39" w:rsidRPr="007E4799" w:rsidRDefault="00553D39" w:rsidP="004A4F19">
            <w:pPr>
              <w:widowControl/>
              <w:jc w:val="left"/>
              <w:rPr>
                <w:rFonts w:ascii="宋体" w:eastAsia="宋体" w:hAnsi="宋体" w:cs="宋体"/>
                <w:color w:val="000000"/>
                <w:szCs w:val="21"/>
              </w:rPr>
            </w:pPr>
          </w:p>
        </w:tc>
        <w:tc>
          <w:tcPr>
            <w:tcW w:w="831" w:type="pct"/>
            <w:vMerge/>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p>
        </w:tc>
        <w:tc>
          <w:tcPr>
            <w:tcW w:w="1857" w:type="pct"/>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r w:rsidRPr="007E4799">
              <w:rPr>
                <w:rFonts w:ascii="宋体" w:eastAsia="宋体" w:hAnsi="宋体" w:cs="宋体" w:hint="eastAsia"/>
                <w:color w:val="000000"/>
                <w:szCs w:val="21"/>
              </w:rPr>
              <w:t xml:space="preserve">300万元≤M＜500万元 </w:t>
            </w:r>
          </w:p>
        </w:tc>
        <w:tc>
          <w:tcPr>
            <w:tcW w:w="2093" w:type="pct"/>
            <w:gridSpan w:val="2"/>
            <w:hideMark/>
          </w:tcPr>
          <w:p w:rsidR="00553D39" w:rsidRPr="007E4799" w:rsidRDefault="00553D39" w:rsidP="004A4F1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sidRPr="007E4799">
              <w:rPr>
                <w:rFonts w:ascii="Times New Roman" w:eastAsia="等线" w:hAnsi="Times New Roman" w:cs="Times New Roman"/>
                <w:color w:val="000000"/>
                <w:szCs w:val="21"/>
              </w:rPr>
              <w:t>0.30%</w:t>
            </w:r>
          </w:p>
        </w:tc>
      </w:tr>
      <w:tr w:rsidR="00553D39" w:rsidRPr="007E4799" w:rsidTr="00346CC4">
        <w:trPr>
          <w:trHeight w:val="285"/>
        </w:trPr>
        <w:tc>
          <w:tcPr>
            <w:cnfStyle w:val="001000000000" w:firstRow="0" w:lastRow="0" w:firstColumn="1" w:lastColumn="0" w:oddVBand="0" w:evenVBand="0" w:oddHBand="0" w:evenHBand="0" w:firstRowFirstColumn="0" w:firstRowLastColumn="0" w:lastRowFirstColumn="0" w:lastRowLastColumn="0"/>
            <w:tcW w:w="219" w:type="pct"/>
            <w:vMerge/>
            <w:hideMark/>
          </w:tcPr>
          <w:p w:rsidR="00553D39" w:rsidRPr="007E4799" w:rsidRDefault="00553D39" w:rsidP="004A4F19">
            <w:pPr>
              <w:widowControl/>
              <w:jc w:val="left"/>
              <w:rPr>
                <w:rFonts w:ascii="宋体" w:eastAsia="宋体" w:hAnsi="宋体" w:cs="宋体"/>
                <w:color w:val="000000"/>
                <w:szCs w:val="21"/>
              </w:rPr>
            </w:pPr>
          </w:p>
        </w:tc>
        <w:tc>
          <w:tcPr>
            <w:tcW w:w="831" w:type="pct"/>
            <w:vMerge/>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p>
        </w:tc>
        <w:tc>
          <w:tcPr>
            <w:tcW w:w="1857" w:type="pct"/>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r w:rsidRPr="007E4799">
              <w:rPr>
                <w:rFonts w:ascii="宋体" w:eastAsia="宋体" w:hAnsi="宋体" w:cs="宋体" w:hint="eastAsia"/>
                <w:color w:val="000000"/>
                <w:szCs w:val="21"/>
              </w:rPr>
              <w:t>M≥500万元</w:t>
            </w:r>
          </w:p>
        </w:tc>
        <w:tc>
          <w:tcPr>
            <w:tcW w:w="2093" w:type="pct"/>
            <w:gridSpan w:val="2"/>
            <w:hideMark/>
          </w:tcPr>
          <w:p w:rsidR="00553D39" w:rsidRPr="007E4799" w:rsidRDefault="00553D39" w:rsidP="004A4F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r w:rsidRPr="007E4799">
              <w:rPr>
                <w:rFonts w:ascii="宋体" w:eastAsia="宋体" w:hAnsi="宋体" w:cs="宋体" w:hint="eastAsia"/>
                <w:color w:val="000000"/>
                <w:szCs w:val="21"/>
              </w:rPr>
              <w:t>每笔</w:t>
            </w:r>
            <w:r w:rsidRPr="007E4799">
              <w:rPr>
                <w:rFonts w:ascii="Times New Roman" w:eastAsia="宋体" w:hAnsi="Times New Roman" w:cs="Times New Roman"/>
                <w:color w:val="000000"/>
                <w:szCs w:val="21"/>
              </w:rPr>
              <w:t>1000</w:t>
            </w:r>
            <w:r w:rsidRPr="007E4799">
              <w:rPr>
                <w:rFonts w:ascii="宋体" w:eastAsia="宋体" w:hAnsi="宋体" w:cs="宋体" w:hint="eastAsia"/>
                <w:color w:val="000000"/>
                <w:szCs w:val="21"/>
              </w:rPr>
              <w:t>元</w:t>
            </w:r>
          </w:p>
        </w:tc>
      </w:tr>
      <w:tr w:rsidR="00553D39" w:rsidRPr="007E4799" w:rsidTr="00346CC4">
        <w:trPr>
          <w:trHeight w:val="630"/>
        </w:trPr>
        <w:tc>
          <w:tcPr>
            <w:cnfStyle w:val="001000000000" w:firstRow="0" w:lastRow="0" w:firstColumn="1" w:lastColumn="0" w:oddVBand="0" w:evenVBand="0" w:oddHBand="0" w:evenHBand="0" w:firstRowFirstColumn="0" w:firstRowLastColumn="0" w:lastRowFirstColumn="0" w:lastRowLastColumn="0"/>
            <w:tcW w:w="219" w:type="pct"/>
            <w:vMerge/>
            <w:hideMark/>
          </w:tcPr>
          <w:p w:rsidR="00553D39" w:rsidRPr="007E4799" w:rsidRDefault="00553D39" w:rsidP="004A4F19">
            <w:pPr>
              <w:widowControl/>
              <w:jc w:val="left"/>
              <w:rPr>
                <w:rFonts w:ascii="宋体" w:eastAsia="宋体" w:hAnsi="宋体" w:cs="宋体"/>
                <w:color w:val="000000"/>
                <w:szCs w:val="21"/>
              </w:rPr>
            </w:pPr>
          </w:p>
        </w:tc>
        <w:tc>
          <w:tcPr>
            <w:tcW w:w="831" w:type="pct"/>
            <w:hideMark/>
          </w:tcPr>
          <w:p w:rsidR="00553D39" w:rsidRPr="007E4799" w:rsidRDefault="00553D39" w:rsidP="004A4F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r w:rsidRPr="007E4799">
              <w:rPr>
                <w:rFonts w:ascii="宋体" w:eastAsia="宋体" w:hAnsi="宋体" w:cs="宋体" w:hint="eastAsia"/>
                <w:color w:val="000000"/>
                <w:szCs w:val="21"/>
              </w:rPr>
              <w:t>赎回费</w:t>
            </w:r>
          </w:p>
        </w:tc>
        <w:tc>
          <w:tcPr>
            <w:tcW w:w="3950" w:type="pct"/>
            <w:gridSpan w:val="3"/>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rPr>
            </w:pPr>
            <w:r w:rsidRPr="007E4799">
              <w:rPr>
                <w:rFonts w:ascii="宋体" w:eastAsia="宋体" w:hAnsi="宋体" w:cs="宋体" w:hint="eastAsia"/>
                <w:color w:val="000000"/>
              </w:rPr>
              <w:t>投资人对于认购/申购的每份基金份额需至少持有满两年，在两年持有期内不能提出赎回申请，持有满两年后赎回不收取赎回费用。</w:t>
            </w:r>
          </w:p>
        </w:tc>
      </w:tr>
      <w:tr w:rsidR="00553D39" w:rsidRPr="007E4799" w:rsidTr="00346CC4">
        <w:trPr>
          <w:trHeight w:val="285"/>
        </w:trPr>
        <w:tc>
          <w:tcPr>
            <w:cnfStyle w:val="001000000000" w:firstRow="0" w:lastRow="0" w:firstColumn="1" w:lastColumn="0" w:oddVBand="0" w:evenVBand="0" w:oddHBand="0" w:evenHBand="0" w:firstRowFirstColumn="0" w:firstRowLastColumn="0" w:lastRowFirstColumn="0" w:lastRowLastColumn="0"/>
            <w:tcW w:w="219" w:type="pct"/>
            <w:vMerge w:val="restart"/>
            <w:hideMark/>
          </w:tcPr>
          <w:p w:rsidR="00553D39" w:rsidRPr="007E4799" w:rsidRDefault="00553D39" w:rsidP="004A4F19">
            <w:pPr>
              <w:widowControl/>
              <w:jc w:val="center"/>
              <w:rPr>
                <w:rFonts w:ascii="宋体" w:eastAsia="宋体" w:hAnsi="宋体" w:cs="宋体"/>
                <w:color w:val="000000"/>
                <w:szCs w:val="21"/>
              </w:rPr>
            </w:pPr>
            <w:r w:rsidRPr="007E4799">
              <w:rPr>
                <w:rFonts w:ascii="宋体" w:eastAsia="宋体" w:hAnsi="宋体" w:cs="宋体" w:hint="eastAsia"/>
                <w:color w:val="000000"/>
                <w:szCs w:val="21"/>
              </w:rPr>
              <w:t>年费</w:t>
            </w:r>
          </w:p>
        </w:tc>
        <w:tc>
          <w:tcPr>
            <w:tcW w:w="831" w:type="pct"/>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r w:rsidRPr="007E4799">
              <w:rPr>
                <w:rFonts w:ascii="宋体" w:eastAsia="宋体" w:hAnsi="宋体" w:cs="宋体" w:hint="eastAsia"/>
                <w:color w:val="000000"/>
                <w:szCs w:val="21"/>
              </w:rPr>
              <w:t>管理费率</w:t>
            </w:r>
          </w:p>
        </w:tc>
        <w:tc>
          <w:tcPr>
            <w:tcW w:w="1857" w:type="pct"/>
            <w:hideMark/>
          </w:tcPr>
          <w:p w:rsidR="00553D39" w:rsidRPr="007E4799" w:rsidRDefault="00553D39" w:rsidP="004A4F1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sidRPr="007E4799">
              <w:rPr>
                <w:rFonts w:ascii="Times New Roman" w:eastAsia="等线" w:hAnsi="Times New Roman" w:cs="Times New Roman"/>
                <w:color w:val="000000"/>
                <w:szCs w:val="21"/>
              </w:rPr>
              <w:t>1.50%</w:t>
            </w:r>
          </w:p>
        </w:tc>
        <w:tc>
          <w:tcPr>
            <w:tcW w:w="974" w:type="pct"/>
            <w:vMerge w:val="restart"/>
            <w:hideMark/>
          </w:tcPr>
          <w:p w:rsidR="00553D39" w:rsidRPr="007E4799" w:rsidRDefault="00553D39" w:rsidP="004A4F19">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r w:rsidRPr="007E4799">
              <w:rPr>
                <w:rFonts w:ascii="宋体" w:eastAsia="宋体" w:hAnsi="宋体" w:cs="宋体" w:hint="eastAsia"/>
                <w:color w:val="000000"/>
                <w:szCs w:val="21"/>
              </w:rPr>
              <w:t>C类销售服务费</w:t>
            </w:r>
          </w:p>
        </w:tc>
        <w:tc>
          <w:tcPr>
            <w:tcW w:w="1119" w:type="pct"/>
            <w:vMerge w:val="restart"/>
            <w:hideMark/>
          </w:tcPr>
          <w:p w:rsidR="00553D39" w:rsidRPr="007E4799" w:rsidRDefault="00553D39" w:rsidP="004A4F1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sidRPr="007E4799">
              <w:rPr>
                <w:rFonts w:ascii="Times New Roman" w:eastAsia="等线" w:hAnsi="Times New Roman" w:cs="Times New Roman"/>
                <w:color w:val="000000"/>
                <w:szCs w:val="21"/>
              </w:rPr>
              <w:t>0.40%</w:t>
            </w:r>
          </w:p>
        </w:tc>
      </w:tr>
      <w:tr w:rsidR="00553D39" w:rsidRPr="007E4799" w:rsidTr="00346CC4">
        <w:trPr>
          <w:trHeight w:val="285"/>
        </w:trPr>
        <w:tc>
          <w:tcPr>
            <w:cnfStyle w:val="001000000000" w:firstRow="0" w:lastRow="0" w:firstColumn="1" w:lastColumn="0" w:oddVBand="0" w:evenVBand="0" w:oddHBand="0" w:evenHBand="0" w:firstRowFirstColumn="0" w:firstRowLastColumn="0" w:lastRowFirstColumn="0" w:lastRowLastColumn="0"/>
            <w:tcW w:w="219" w:type="pct"/>
            <w:vMerge/>
            <w:hideMark/>
          </w:tcPr>
          <w:p w:rsidR="00553D39" w:rsidRPr="007E4799" w:rsidRDefault="00553D39" w:rsidP="004A4F19">
            <w:pPr>
              <w:widowControl/>
              <w:jc w:val="left"/>
              <w:rPr>
                <w:rFonts w:ascii="宋体" w:eastAsia="宋体" w:hAnsi="宋体" w:cs="宋体"/>
                <w:color w:val="000000"/>
                <w:szCs w:val="21"/>
              </w:rPr>
            </w:pPr>
          </w:p>
        </w:tc>
        <w:tc>
          <w:tcPr>
            <w:tcW w:w="831" w:type="pct"/>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r w:rsidRPr="007E4799">
              <w:rPr>
                <w:rFonts w:ascii="宋体" w:eastAsia="宋体" w:hAnsi="宋体" w:cs="宋体" w:hint="eastAsia"/>
                <w:color w:val="000000"/>
                <w:szCs w:val="21"/>
              </w:rPr>
              <w:t>托管费率</w:t>
            </w:r>
          </w:p>
        </w:tc>
        <w:tc>
          <w:tcPr>
            <w:tcW w:w="1857" w:type="pct"/>
            <w:hideMark/>
          </w:tcPr>
          <w:p w:rsidR="00553D39" w:rsidRPr="007E4799" w:rsidRDefault="00553D39" w:rsidP="004A4F19">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r w:rsidRPr="007E4799">
              <w:rPr>
                <w:rFonts w:ascii="Times New Roman" w:eastAsia="等线" w:hAnsi="Times New Roman" w:cs="Times New Roman"/>
                <w:color w:val="000000"/>
                <w:szCs w:val="21"/>
              </w:rPr>
              <w:t>0.20%</w:t>
            </w:r>
          </w:p>
        </w:tc>
        <w:tc>
          <w:tcPr>
            <w:tcW w:w="974" w:type="pct"/>
            <w:vMerge/>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szCs w:val="21"/>
              </w:rPr>
            </w:pPr>
          </w:p>
        </w:tc>
        <w:tc>
          <w:tcPr>
            <w:tcW w:w="1119" w:type="pct"/>
            <w:vMerge/>
            <w:hideMark/>
          </w:tcPr>
          <w:p w:rsidR="00553D39" w:rsidRPr="007E4799" w:rsidRDefault="00553D39" w:rsidP="004A4F1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Cs w:val="21"/>
              </w:rPr>
            </w:pPr>
          </w:p>
        </w:tc>
      </w:tr>
    </w:tbl>
    <w:p w:rsidR="00553D39" w:rsidRPr="007E4799" w:rsidRDefault="00553D39" w:rsidP="00553D39">
      <w:pPr>
        <w:rPr>
          <w:rFonts w:ascii="黑体" w:eastAsia="黑体" w:hAnsi="黑体"/>
          <w:sz w:val="18"/>
        </w:rPr>
      </w:pPr>
      <w:r w:rsidRPr="007E4799">
        <w:rPr>
          <w:rFonts w:ascii="黑体" w:eastAsia="黑体" w:hAnsi="黑体"/>
          <w:sz w:val="18"/>
        </w:rPr>
        <w:t>注</w:t>
      </w:r>
      <w:r w:rsidRPr="007E4799">
        <w:rPr>
          <w:rFonts w:ascii="黑体" w:eastAsia="黑体" w:hAnsi="黑体" w:hint="eastAsia"/>
          <w:sz w:val="18"/>
        </w:rPr>
        <w:t>：A类份额不收取销售服务费用，C类份额不收取认/申购费用；基金费率详见基金招募说明书。</w:t>
      </w:r>
    </w:p>
    <w:p w:rsidR="000938A9" w:rsidRDefault="000938A9" w:rsidP="00B0467B">
      <w:pPr>
        <w:spacing w:line="360" w:lineRule="auto"/>
        <w:rPr>
          <w:rFonts w:ascii="宋体" w:eastAsia="宋体" w:hAnsi="宋体"/>
          <w:b/>
          <w:sz w:val="24"/>
          <w:szCs w:val="24"/>
        </w:rPr>
      </w:pPr>
    </w:p>
    <w:p w:rsidR="00B257C6" w:rsidRDefault="00B257C6" w:rsidP="00B0467B">
      <w:pPr>
        <w:spacing w:line="360" w:lineRule="auto"/>
        <w:rPr>
          <w:rFonts w:ascii="宋体" w:eastAsia="宋体" w:hAnsi="宋体"/>
          <w:b/>
          <w:sz w:val="24"/>
          <w:szCs w:val="24"/>
        </w:rPr>
      </w:pPr>
    </w:p>
    <w:p w:rsidR="00B257C6" w:rsidRPr="007E4799" w:rsidRDefault="00B257C6" w:rsidP="00B257C6">
      <w:pPr>
        <w:rPr>
          <w:rFonts w:asciiTheme="minorEastAsia" w:hAnsiTheme="minorEastAsia" w:cstheme="minorHAnsi"/>
          <w:b/>
          <w:sz w:val="24"/>
          <w:bdr w:val="single" w:sz="4" w:space="0" w:color="auto"/>
        </w:rPr>
      </w:pPr>
      <w:r w:rsidRPr="007E4799">
        <w:rPr>
          <w:rFonts w:asciiTheme="minorEastAsia" w:hAnsiTheme="minorEastAsia" w:cstheme="minorHAnsi"/>
          <w:b/>
          <w:sz w:val="24"/>
          <w:bdr w:val="single" w:sz="4" w:space="0" w:color="auto"/>
        </w:rPr>
        <w:t>风险提示函</w:t>
      </w:r>
    </w:p>
    <w:p w:rsidR="00B257C6" w:rsidRPr="007E4799" w:rsidRDefault="00B257C6" w:rsidP="00B257C6">
      <w:pPr>
        <w:autoSpaceDE w:val="0"/>
        <w:autoSpaceDN w:val="0"/>
        <w:adjustRightInd w:val="0"/>
        <w:jc w:val="left"/>
        <w:rPr>
          <w:rFonts w:asciiTheme="minorEastAsia" w:hAnsiTheme="minorEastAsia" w:cstheme="minorHAnsi"/>
          <w:color w:val="000000"/>
          <w:sz w:val="18"/>
        </w:rPr>
      </w:pPr>
      <w:r w:rsidRPr="007E4799">
        <w:rPr>
          <w:rFonts w:asciiTheme="minorEastAsia" w:hAnsiTheme="minorEastAsia" w:cstheme="minorHAnsi" w:hint="eastAsia"/>
          <w:color w:val="000000"/>
          <w:sz w:val="18"/>
        </w:rPr>
        <w:t>尊敬的投资者：</w:t>
      </w:r>
      <w:r w:rsidRPr="007E4799">
        <w:rPr>
          <w:rFonts w:asciiTheme="minorEastAsia" w:hAnsiTheme="minorEastAsia" w:cstheme="minorHAnsi"/>
          <w:color w:val="000000"/>
          <w:sz w:val="18"/>
        </w:rPr>
        <w:t xml:space="preserve"> </w:t>
      </w:r>
    </w:p>
    <w:p w:rsidR="00B257C6" w:rsidRPr="007E4799" w:rsidRDefault="00B257C6" w:rsidP="00B257C6">
      <w:pPr>
        <w:autoSpaceDE w:val="0"/>
        <w:autoSpaceDN w:val="0"/>
        <w:adjustRightInd w:val="0"/>
        <w:jc w:val="left"/>
        <w:rPr>
          <w:rFonts w:asciiTheme="minorEastAsia" w:hAnsiTheme="minorEastAsia" w:cstheme="minorHAnsi"/>
          <w:color w:val="000000"/>
          <w:sz w:val="18"/>
        </w:rPr>
      </w:pPr>
      <w:r w:rsidRPr="007E4799">
        <w:rPr>
          <w:rFonts w:asciiTheme="minorEastAsia" w:hAnsiTheme="minorEastAsia" w:cstheme="minorHAnsi" w:hint="eastAsia"/>
          <w:color w:val="000000"/>
          <w:sz w:val="18"/>
        </w:rPr>
        <w:t>投资有风险，投资需谨慎。公开募集证券投资基金（以下简称</w:t>
      </w:r>
      <w:r w:rsidRPr="007E4799">
        <w:rPr>
          <w:rFonts w:asciiTheme="minorEastAsia" w:hAnsiTheme="minorEastAsia" w:cstheme="minorHAnsi"/>
          <w:color w:val="000000"/>
          <w:sz w:val="18"/>
        </w:rPr>
        <w:t>“</w:t>
      </w:r>
      <w:r w:rsidRPr="007E4799">
        <w:rPr>
          <w:rFonts w:asciiTheme="minorEastAsia" w:hAnsiTheme="minorEastAsia" w:cstheme="minorHAnsi" w:hint="eastAsia"/>
          <w:color w:val="000000"/>
          <w:sz w:val="18"/>
        </w:rPr>
        <w:t>基金</w:t>
      </w:r>
      <w:r w:rsidRPr="007E4799">
        <w:rPr>
          <w:rFonts w:asciiTheme="minorEastAsia" w:hAnsiTheme="minorEastAsia" w:cstheme="minorHAnsi"/>
          <w:color w:val="000000"/>
          <w:sz w:val="18"/>
        </w:rPr>
        <w:t>”</w:t>
      </w:r>
      <w:r w:rsidRPr="007E4799">
        <w:rPr>
          <w:rFonts w:asciiTheme="minorEastAsia" w:hAnsiTheme="minorEastAsia" w:cstheme="minorHAnsi" w:hint="eastAsia"/>
          <w:color w:val="000000"/>
          <w:sz w:val="18"/>
        </w:rPr>
        <w:t>）是一种长期投资工具，其主要功能是分散投资，降低投资单一证券所带来的个别风险。基金不同于银行储蓄等能够提供固定收益预期的金融工具，当您购买基金产品时，既可能按持有份额分享基金投资所产生的收益，也可能承担基金投资所带来的损失。</w:t>
      </w:r>
      <w:r w:rsidRPr="007E4799">
        <w:rPr>
          <w:rFonts w:asciiTheme="minorEastAsia" w:hAnsiTheme="minorEastAsia" w:cstheme="minorHAnsi"/>
          <w:color w:val="000000"/>
          <w:sz w:val="18"/>
        </w:rPr>
        <w:t xml:space="preserve"> </w:t>
      </w:r>
    </w:p>
    <w:p w:rsidR="00B257C6" w:rsidRPr="007E4799" w:rsidRDefault="00B257C6" w:rsidP="00B257C6">
      <w:pPr>
        <w:autoSpaceDE w:val="0"/>
        <w:autoSpaceDN w:val="0"/>
        <w:adjustRightInd w:val="0"/>
        <w:jc w:val="left"/>
        <w:rPr>
          <w:rFonts w:asciiTheme="minorEastAsia" w:hAnsiTheme="minorEastAsia" w:cstheme="minorHAnsi"/>
          <w:color w:val="000000"/>
          <w:sz w:val="18"/>
        </w:rPr>
      </w:pPr>
      <w:r w:rsidRPr="007E4799">
        <w:rPr>
          <w:rFonts w:asciiTheme="minorEastAsia" w:hAnsiTheme="minorEastAsia" w:cstheme="minorHAnsi" w:hint="eastAsia"/>
          <w:color w:val="000000"/>
          <w:sz w:val="18"/>
        </w:rPr>
        <w:t>您在做出投资决策之前，请仔细阅读基金合同、基金招募说明书和基金产品资料概要等产品法律文件和本风险揭示书，充分认识本基金的风险收益特征和产品特性，认真考虑本基金存在的各项风险因素，并根据自身的投资目的、投资期限、投资经验、资产状况等因素充分考虑自身的风险承受能力，在了解产品情况</w:t>
      </w:r>
      <w:r w:rsidRPr="007E4799">
        <w:rPr>
          <w:rFonts w:asciiTheme="minorEastAsia" w:hAnsiTheme="minorEastAsia" w:cstheme="minorHAnsi" w:hint="eastAsia"/>
          <w:color w:val="000000"/>
          <w:sz w:val="18"/>
        </w:rPr>
        <w:lastRenderedPageBreak/>
        <w:t>及销售适当性意见的基础上，理性判断并谨慎做出投资决策。</w:t>
      </w:r>
      <w:r w:rsidRPr="007E4799">
        <w:rPr>
          <w:rFonts w:asciiTheme="minorEastAsia" w:hAnsiTheme="minorEastAsia" w:cstheme="minorHAnsi"/>
          <w:color w:val="000000"/>
          <w:sz w:val="18"/>
        </w:rPr>
        <w:t xml:space="preserve"> </w:t>
      </w:r>
    </w:p>
    <w:p w:rsidR="00B257C6" w:rsidRPr="007E4799" w:rsidRDefault="00B257C6" w:rsidP="00B257C6">
      <w:pPr>
        <w:rPr>
          <w:rFonts w:asciiTheme="minorEastAsia" w:hAnsiTheme="minorEastAsia" w:cstheme="minorHAnsi"/>
          <w:color w:val="000000"/>
          <w:sz w:val="18"/>
        </w:rPr>
      </w:pPr>
      <w:r w:rsidRPr="007E4799">
        <w:rPr>
          <w:rFonts w:asciiTheme="minorEastAsia" w:hAnsiTheme="minorEastAsia" w:cstheme="minorHAnsi" w:hint="eastAsia"/>
          <w:color w:val="000000"/>
          <w:sz w:val="18"/>
        </w:rPr>
        <w:t>根据有关法律法规，广发基金管理有限公司做出如下风险揭示：</w:t>
      </w:r>
    </w:p>
    <w:p w:rsidR="00B257C6" w:rsidRPr="007E4799" w:rsidRDefault="00B257C6" w:rsidP="00B257C6">
      <w:pPr>
        <w:rPr>
          <w:rFonts w:asciiTheme="minorEastAsia" w:hAnsiTheme="minorEastAsia" w:cstheme="minorHAnsi"/>
          <w:color w:val="000000"/>
          <w:sz w:val="18"/>
        </w:rPr>
      </w:pPr>
      <w:r w:rsidRPr="007E4799">
        <w:rPr>
          <w:rFonts w:asciiTheme="minorEastAsia" w:hAnsiTheme="minorEastAsia" w:cstheme="minorHAnsi"/>
          <w:color w:val="000000"/>
          <w:sz w:val="18"/>
        </w:rPr>
        <w:t xml:space="preserve"> </w:t>
      </w:r>
      <w:r w:rsidRPr="007E4799">
        <w:rPr>
          <w:rFonts w:asciiTheme="minorEastAsia" w:hAnsiTheme="minorEastAsia" w:cstheme="minorHAnsi" w:hint="eastAsia"/>
          <w:color w:val="000000"/>
          <w:sz w:val="18"/>
        </w:rPr>
        <w:t>一、依据投资对象的不同</w:t>
      </w:r>
      <w:r w:rsidRPr="007E4799">
        <w:rPr>
          <w:rFonts w:asciiTheme="minorEastAsia" w:hAnsiTheme="minorEastAsia" w:cstheme="minorHAnsi"/>
          <w:color w:val="000000"/>
          <w:sz w:val="18"/>
        </w:rPr>
        <w:t>,</w:t>
      </w:r>
      <w:r w:rsidRPr="007E4799">
        <w:rPr>
          <w:rFonts w:asciiTheme="minorEastAsia" w:hAnsiTheme="minorEastAsia" w:cstheme="minorHAnsi" w:hint="eastAsia"/>
          <w:color w:val="000000"/>
          <w:sz w:val="18"/>
        </w:rPr>
        <w:t>基金分为股票基金、混合基金、债券基金、货币市场基金、基金中基金、商品基金等不同类型，您投资不同类型的基金将获得不同的收益预期，也将承担不同程度的风险。一般来说，基金的收益预期越高，您承担的风险也越大。</w:t>
      </w:r>
    </w:p>
    <w:p w:rsidR="00B257C6" w:rsidRPr="007E4799" w:rsidRDefault="00B257C6" w:rsidP="00B257C6">
      <w:pPr>
        <w:autoSpaceDE w:val="0"/>
        <w:autoSpaceDN w:val="0"/>
        <w:adjustRightInd w:val="0"/>
        <w:jc w:val="left"/>
        <w:rPr>
          <w:rFonts w:asciiTheme="minorEastAsia" w:hAnsiTheme="minorEastAsia" w:cstheme="minorHAnsi"/>
          <w:color w:val="000000"/>
          <w:sz w:val="18"/>
        </w:rPr>
      </w:pPr>
      <w:r w:rsidRPr="007E4799">
        <w:rPr>
          <w:rFonts w:asciiTheme="minorEastAsia" w:hAnsiTheme="minorEastAsia" w:cstheme="minorHAnsi" w:hint="eastAsia"/>
          <w:color w:val="000000"/>
          <w:sz w:val="18"/>
        </w:rPr>
        <w:t>二、基金在投资运作过程中可能面临各种风险，既包括市场风险，也包括基金自身的管理风险、技术风险和合规风险等。巨额赎回风险是开放式基金所特有的一种风险，即当单个开放日基金的净赎回申请超过基金总份额的一定比例（开放式基金为百分之十，定期开放基金为百分之二十，中国证监会规定的特殊产品除外）时，您将可能无法及时赎回申请的全部基金份额，或您赎回的款项可能延缓支付。</w:t>
      </w:r>
      <w:r w:rsidRPr="007E4799">
        <w:rPr>
          <w:rFonts w:asciiTheme="minorEastAsia" w:hAnsiTheme="minorEastAsia" w:cstheme="minorHAnsi"/>
          <w:color w:val="000000"/>
          <w:sz w:val="18"/>
        </w:rPr>
        <w:t xml:space="preserve"> </w:t>
      </w:r>
    </w:p>
    <w:p w:rsidR="00B257C6" w:rsidRPr="007E4799" w:rsidRDefault="00B257C6" w:rsidP="00B257C6">
      <w:pPr>
        <w:rPr>
          <w:rFonts w:asciiTheme="minorEastAsia" w:hAnsiTheme="minorEastAsia" w:cstheme="minorHAnsi"/>
          <w:color w:val="000000"/>
          <w:sz w:val="18"/>
        </w:rPr>
      </w:pPr>
      <w:r w:rsidRPr="007E4799">
        <w:rPr>
          <w:rFonts w:asciiTheme="minorEastAsia" w:hAnsiTheme="minorEastAsia" w:cstheme="minorHAnsi" w:hint="eastAsia"/>
          <w:color w:val="000000"/>
          <w:sz w:val="18"/>
        </w:rPr>
        <w:t>三、您应当充分了解基金定期定额投资和零存整取等储蓄方式的区别。定期定额投资是引导投资者进行长期投资、平均投资成本的一种简单易行的投资方式，但并不能规避基金投资所固有的风险，不能保证投资者获得收益，也不是替代储蓄的等效理财方式。</w:t>
      </w:r>
    </w:p>
    <w:p w:rsidR="00B257C6" w:rsidRPr="007E4799" w:rsidRDefault="00B257C6" w:rsidP="00B257C6">
      <w:pPr>
        <w:autoSpaceDE w:val="0"/>
        <w:autoSpaceDN w:val="0"/>
        <w:adjustRightInd w:val="0"/>
        <w:jc w:val="left"/>
        <w:rPr>
          <w:rFonts w:asciiTheme="minorEastAsia" w:hAnsiTheme="minorEastAsia" w:cstheme="minorHAnsi"/>
          <w:color w:val="000000"/>
          <w:sz w:val="18"/>
        </w:rPr>
      </w:pPr>
      <w:r w:rsidRPr="007E4799">
        <w:rPr>
          <w:rFonts w:asciiTheme="minorEastAsia" w:hAnsiTheme="minorEastAsia" w:cstheme="minorHAnsi" w:hint="eastAsia"/>
          <w:color w:val="000000"/>
          <w:sz w:val="18"/>
        </w:rPr>
        <w:t>四、特殊类型产品风险揭示：本基金资产若投资于港股，会面临港股通机制下因投资环境、投资标的、市场制度以及交易规则等差异带来的特有风险，包括港股市场股价波动较大的风险、汇率风险、港股通机制下交易日不连贯可能带来的风险等。本基金对每份基金份额设置有两年持有期。在基金份额的两年持有期到期日之前，投资者不能提出赎回申请，两年持有期期满后（含两年持有期到期日当日）投资者才可以申请赎回。因此，对于基金份额持有人而言，存在投资本基金后，两年内无法赎回而导致流动性风险。</w:t>
      </w:r>
    </w:p>
    <w:p w:rsidR="00B257C6" w:rsidRPr="007E4799" w:rsidRDefault="00B257C6" w:rsidP="00B257C6">
      <w:pPr>
        <w:rPr>
          <w:rFonts w:asciiTheme="minorEastAsia" w:hAnsiTheme="minorEastAsia" w:cstheme="minorHAnsi"/>
          <w:color w:val="000000"/>
          <w:sz w:val="18"/>
        </w:rPr>
      </w:pPr>
      <w:r w:rsidRPr="007E4799">
        <w:rPr>
          <w:rFonts w:asciiTheme="minorEastAsia" w:hAnsiTheme="minorEastAsia" w:cstheme="minorHAnsi" w:hint="eastAsia"/>
          <w:color w:val="000000"/>
          <w:sz w:val="18"/>
        </w:rPr>
        <w:t>五、基金管理人承诺以诚实信用、勤勉尽责的原则管理和运用基金资产，但不保证本基金一定盈利，也不保证最低收益。本基金的过往业绩及其净值高低并不预示其未来业绩表现，基金管理人管理的其他基金的业绩并不构成对本基金业绩表现的保证。广发基金管理有限公司提醒您基金投资的</w:t>
      </w:r>
      <w:r w:rsidRPr="007E4799">
        <w:rPr>
          <w:rFonts w:asciiTheme="minorEastAsia" w:hAnsiTheme="minorEastAsia" w:cstheme="minorHAnsi"/>
          <w:color w:val="000000"/>
          <w:sz w:val="18"/>
        </w:rPr>
        <w:t>“</w:t>
      </w:r>
      <w:r w:rsidRPr="007E4799">
        <w:rPr>
          <w:rFonts w:asciiTheme="minorEastAsia" w:hAnsiTheme="minorEastAsia" w:cstheme="minorHAnsi" w:hint="eastAsia"/>
          <w:color w:val="000000"/>
          <w:sz w:val="18"/>
        </w:rPr>
        <w:t>买者自负</w:t>
      </w:r>
      <w:r w:rsidRPr="007E4799">
        <w:rPr>
          <w:rFonts w:asciiTheme="minorEastAsia" w:hAnsiTheme="minorEastAsia" w:cstheme="minorHAnsi"/>
          <w:color w:val="000000"/>
          <w:sz w:val="18"/>
        </w:rPr>
        <w:t>”</w:t>
      </w:r>
      <w:r w:rsidRPr="007E4799">
        <w:rPr>
          <w:rFonts w:asciiTheme="minorEastAsia" w:hAnsiTheme="minorEastAsia" w:cstheme="minorHAnsi" w:hint="eastAsia"/>
          <w:color w:val="000000"/>
          <w:sz w:val="18"/>
        </w:rPr>
        <w:t>原则，在做出投资决策后，基金运营状况与基金净值变化引致的投资风险，由您自行负担。基金管理人、基金托管人、基金销售机构及相关机构不对基金投资收益做出任何承诺或保证。</w:t>
      </w:r>
    </w:p>
    <w:p w:rsidR="00B257C6" w:rsidRPr="009803B8" w:rsidRDefault="00B257C6" w:rsidP="00B257C6">
      <w:pPr>
        <w:rPr>
          <w:rFonts w:asciiTheme="minorEastAsia" w:hAnsiTheme="minorEastAsia" w:cstheme="minorHAnsi"/>
          <w:color w:val="000000"/>
          <w:sz w:val="18"/>
        </w:rPr>
      </w:pPr>
      <w:r w:rsidRPr="007E4799">
        <w:rPr>
          <w:rFonts w:asciiTheme="minorEastAsia" w:hAnsiTheme="minorEastAsia" w:cstheme="minorHAnsi" w:hint="eastAsia"/>
          <w:color w:val="000000"/>
          <w:sz w:val="18"/>
        </w:rPr>
        <w:t>六、广发睿铭两年</w:t>
      </w:r>
      <w:r w:rsidRPr="007E4799">
        <w:rPr>
          <w:rFonts w:asciiTheme="minorEastAsia" w:hAnsiTheme="minorEastAsia" w:cstheme="minorHAnsi"/>
          <w:color w:val="000000"/>
          <w:sz w:val="18"/>
        </w:rPr>
        <w:t>持有期混合型</w:t>
      </w:r>
      <w:r w:rsidRPr="007E4799">
        <w:rPr>
          <w:rFonts w:asciiTheme="minorEastAsia" w:hAnsiTheme="minorEastAsia" w:cstheme="minorHAnsi" w:hint="eastAsia"/>
          <w:color w:val="000000"/>
          <w:sz w:val="18"/>
        </w:rPr>
        <w:t>证券投资基金（以下简称</w:t>
      </w:r>
      <w:r w:rsidRPr="007E4799">
        <w:rPr>
          <w:rFonts w:asciiTheme="minorEastAsia" w:hAnsiTheme="minorEastAsia" w:cstheme="minorHAnsi"/>
          <w:color w:val="000000"/>
          <w:sz w:val="18"/>
        </w:rPr>
        <w:t>“</w:t>
      </w:r>
      <w:r w:rsidRPr="007E4799">
        <w:rPr>
          <w:rFonts w:asciiTheme="minorEastAsia" w:hAnsiTheme="minorEastAsia" w:cstheme="minorHAnsi" w:hint="eastAsia"/>
          <w:color w:val="000000"/>
          <w:sz w:val="18"/>
        </w:rPr>
        <w:t>本基金</w:t>
      </w:r>
      <w:r w:rsidRPr="007E4799">
        <w:rPr>
          <w:rFonts w:asciiTheme="minorEastAsia" w:hAnsiTheme="minorEastAsia" w:cstheme="minorHAnsi"/>
          <w:color w:val="000000"/>
          <w:sz w:val="18"/>
        </w:rPr>
        <w:t>”</w:t>
      </w:r>
      <w:r w:rsidRPr="007E4799">
        <w:rPr>
          <w:rFonts w:asciiTheme="minorEastAsia" w:hAnsiTheme="minorEastAsia" w:cstheme="minorHAnsi" w:hint="eastAsia"/>
          <w:color w:val="000000"/>
          <w:sz w:val="18"/>
        </w:rPr>
        <w:t>）由广发基金管理有限公司（以下简称</w:t>
      </w:r>
      <w:r w:rsidRPr="007E4799">
        <w:rPr>
          <w:rFonts w:asciiTheme="minorEastAsia" w:hAnsiTheme="minorEastAsia" w:cstheme="minorHAnsi"/>
          <w:color w:val="000000"/>
          <w:sz w:val="18"/>
        </w:rPr>
        <w:t>“</w:t>
      </w:r>
      <w:r w:rsidRPr="007E4799">
        <w:rPr>
          <w:rFonts w:asciiTheme="minorEastAsia" w:hAnsiTheme="minorEastAsia" w:cstheme="minorHAnsi" w:hint="eastAsia"/>
          <w:color w:val="000000"/>
          <w:sz w:val="18"/>
        </w:rPr>
        <w:t>基金管理人</w:t>
      </w:r>
      <w:r w:rsidRPr="007E4799">
        <w:rPr>
          <w:rFonts w:asciiTheme="minorEastAsia" w:hAnsiTheme="minorEastAsia" w:cstheme="minorHAnsi"/>
          <w:color w:val="000000"/>
          <w:sz w:val="18"/>
        </w:rPr>
        <w:t>”</w:t>
      </w:r>
      <w:r w:rsidRPr="007E4799">
        <w:rPr>
          <w:rFonts w:asciiTheme="minorEastAsia" w:hAnsiTheme="minorEastAsia" w:cstheme="minorHAnsi" w:hint="eastAsia"/>
          <w:color w:val="000000"/>
          <w:sz w:val="18"/>
        </w:rPr>
        <w:t>）依照有关法律法规及约定申请募集，并经中国证券监督管理委员会（以下简称</w:t>
      </w:r>
      <w:r w:rsidRPr="007E4799">
        <w:rPr>
          <w:rFonts w:asciiTheme="minorEastAsia" w:hAnsiTheme="minorEastAsia" w:cstheme="minorHAnsi"/>
          <w:color w:val="000000"/>
          <w:sz w:val="18"/>
        </w:rPr>
        <w:t>“</w:t>
      </w:r>
      <w:r w:rsidRPr="007E4799">
        <w:rPr>
          <w:rFonts w:asciiTheme="minorEastAsia" w:hAnsiTheme="minorEastAsia" w:cstheme="minorHAnsi" w:hint="eastAsia"/>
          <w:color w:val="000000"/>
          <w:sz w:val="18"/>
        </w:rPr>
        <w:t>中国证监会</w:t>
      </w:r>
      <w:r w:rsidRPr="007E4799">
        <w:rPr>
          <w:rFonts w:asciiTheme="minorEastAsia" w:hAnsiTheme="minorEastAsia" w:cstheme="minorHAnsi"/>
          <w:color w:val="000000"/>
          <w:sz w:val="18"/>
        </w:rPr>
        <w:t>”</w:t>
      </w:r>
      <w:r w:rsidRPr="007E4799">
        <w:rPr>
          <w:rFonts w:asciiTheme="minorEastAsia" w:hAnsiTheme="minorEastAsia" w:cstheme="minorHAnsi" w:hint="eastAsia"/>
          <w:color w:val="000000"/>
          <w:sz w:val="18"/>
        </w:rPr>
        <w:t>）许可注册。本基金的基金合同、基金招募说明书和基金产品资料概要已通过中国证监会基金电子披露网站（</w:t>
      </w:r>
      <w:r w:rsidRPr="007E4799">
        <w:rPr>
          <w:rFonts w:cstheme="minorHAnsi"/>
          <w:color w:val="000000"/>
          <w:sz w:val="18"/>
        </w:rPr>
        <w:t>http://eid.csrc.gov.cn/fund/</w:t>
      </w:r>
      <w:r w:rsidRPr="007E4799">
        <w:rPr>
          <w:rFonts w:asciiTheme="minorEastAsia" w:hAnsiTheme="minorEastAsia" w:cstheme="minorHAnsi" w:hint="eastAsia"/>
          <w:color w:val="000000"/>
          <w:sz w:val="18"/>
        </w:rPr>
        <w:t>）和基金管理人网站（</w:t>
      </w:r>
      <w:hyperlink r:id="rId15" w:history="1">
        <w:r w:rsidRPr="007E4799">
          <w:rPr>
            <w:rFonts w:cstheme="minorHAnsi"/>
            <w:color w:val="000000"/>
            <w:sz w:val="18"/>
          </w:rPr>
          <w:t>www.gffunds.com.cn</w:t>
        </w:r>
      </w:hyperlink>
      <w:r w:rsidRPr="007E4799">
        <w:rPr>
          <w:rFonts w:asciiTheme="minorEastAsia" w:hAnsiTheme="minorEastAsia" w:cstheme="minorHAnsi" w:hint="eastAsia"/>
          <w:color w:val="000000"/>
          <w:sz w:val="18"/>
        </w:rPr>
        <w:t>）进行了公开披露。中国证监会对本基金的注册，并不表明其对本基金的投资价值、市场前景和收益作出实质性判断或保证，也不表明投资于本基金没有风险。</w:t>
      </w:r>
    </w:p>
    <w:p w:rsidR="00B257C6" w:rsidRPr="00B257C6" w:rsidRDefault="00B257C6" w:rsidP="00B0467B">
      <w:pPr>
        <w:spacing w:line="360" w:lineRule="auto"/>
        <w:rPr>
          <w:rFonts w:ascii="宋体" w:eastAsia="宋体" w:hAnsi="宋体"/>
          <w:b/>
          <w:sz w:val="24"/>
          <w:szCs w:val="24"/>
        </w:rPr>
      </w:pPr>
    </w:p>
    <w:sectPr w:rsidR="00B257C6" w:rsidRPr="00B257C6">
      <w:headerReference w:type="even" r:id="rId16"/>
      <w:headerReference w:type="default" r:id="rId17"/>
      <w:footerReference w:type="default" r:id="rId18"/>
      <w:head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E91" w:rsidRDefault="003F2E91" w:rsidP="00C450C7">
      <w:r>
        <w:separator/>
      </w:r>
    </w:p>
  </w:endnote>
  <w:endnote w:type="continuationSeparator" w:id="0">
    <w:p w:rsidR="003F2E91" w:rsidRDefault="003F2E91" w:rsidP="00C45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76943"/>
      <w:docPartObj>
        <w:docPartGallery w:val="Page Numbers (Bottom of Page)"/>
        <w:docPartUnique/>
      </w:docPartObj>
    </w:sdtPr>
    <w:sdtEndPr/>
    <w:sdtContent>
      <w:sdt>
        <w:sdtPr>
          <w:id w:val="1728636285"/>
          <w:docPartObj>
            <w:docPartGallery w:val="Page Numbers (Top of Page)"/>
            <w:docPartUnique/>
          </w:docPartObj>
        </w:sdtPr>
        <w:sdtEndPr/>
        <w:sdtContent>
          <w:p w:rsidR="00BD36D5" w:rsidRDefault="00BD36D5">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D5928">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D5928">
              <w:rPr>
                <w:b/>
                <w:bCs/>
                <w:noProof/>
              </w:rPr>
              <w:t>7</w:t>
            </w:r>
            <w:r>
              <w:rPr>
                <w:b/>
                <w:bCs/>
                <w:sz w:val="24"/>
                <w:szCs w:val="24"/>
              </w:rPr>
              <w:fldChar w:fldCharType="end"/>
            </w:r>
          </w:p>
        </w:sdtContent>
      </w:sdt>
    </w:sdtContent>
  </w:sdt>
  <w:p w:rsidR="00BD36D5" w:rsidRDefault="00BD36D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E91" w:rsidRDefault="003F2E91" w:rsidP="00C450C7">
      <w:r>
        <w:separator/>
      </w:r>
    </w:p>
  </w:footnote>
  <w:footnote w:type="continuationSeparator" w:id="0">
    <w:p w:rsidR="003F2E91" w:rsidRDefault="003F2E91" w:rsidP="00C450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620" w:rsidRDefault="003F2E91">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4752141" o:spid="_x0000_s2050" type="#_x0000_t136" style="position:absolute;left:0;text-align:left;margin-left:0;margin-top:0;width:554.55pt;height:30.8pt;rotation:315;z-index:-251653120;mso-position-horizontal:center;mso-position-horizontal-relative:margin;mso-position-vertical:center;mso-position-vertical-relative:margin" o:allowincell="f" fillcolor="silver" stroked="f">
          <v:fill opacity=".5"/>
          <v:textpath style="font-family:&quot;宋体&quot;;font-size:1pt" string="仅供渠道交流使用，请勿直接提供给客户"/>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A5B" w:rsidRDefault="003F2E91" w:rsidP="00AD4A5B">
    <w:pPr>
      <w:pStyle w:val="a3"/>
      <w:pBdr>
        <w:bottom w:val="single" w:sz="6" w:space="16"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4752142" o:spid="_x0000_s2051" type="#_x0000_t136" style="position:absolute;left:0;text-align:left;margin-left:0;margin-top:0;width:554.55pt;height:30.8pt;rotation:315;z-index:-251651072;mso-position-horizontal:center;mso-position-horizontal-relative:margin;mso-position-vertical:center;mso-position-vertical-relative:margin" o:allowincell="f" fillcolor="silver" stroked="f">
          <v:fill opacity=".5"/>
          <v:textpath style="font-family:&quot;宋体&quot;;font-size:1pt" string="仅供渠道交流使用，请勿直接提供给客户"/>
          <w10:wrap anchorx="margin" anchory="margin"/>
        </v:shape>
      </w:pict>
    </w:r>
    <w:r w:rsidR="00AD4A5B">
      <w:rPr>
        <w:rFonts w:hint="eastAsia"/>
        <w:noProof/>
      </w:rPr>
      <w:drawing>
        <wp:anchor distT="0" distB="0" distL="114300" distR="114300" simplePos="0" relativeHeight="251659264" behindDoc="0" locked="0" layoutInCell="1" allowOverlap="1" wp14:anchorId="467A9141" wp14:editId="67234E91">
          <wp:simplePos x="0" y="0"/>
          <wp:positionH relativeFrom="column">
            <wp:posOffset>0</wp:posOffset>
          </wp:positionH>
          <wp:positionV relativeFrom="paragraph">
            <wp:posOffset>0</wp:posOffset>
          </wp:positionV>
          <wp:extent cx="2691130" cy="36258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1130" cy="36258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620" w:rsidRDefault="003F2E91">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4752140" o:spid="_x0000_s2049" type="#_x0000_t136" style="position:absolute;left:0;text-align:left;margin-left:0;margin-top:0;width:554.55pt;height:30.8pt;rotation:315;z-index:-251655168;mso-position-horizontal:center;mso-position-horizontal-relative:margin;mso-position-vertical:center;mso-position-vertical-relative:margin" o:allowincell="f" fillcolor="silver" stroked="f">
          <v:fill opacity=".5"/>
          <v:textpath style="font-family:&quot;宋体&quot;;font-size:1pt" string="仅供渠道交流使用，请勿直接提供给客户"/>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26CF"/>
    <w:multiLevelType w:val="hybridMultilevel"/>
    <w:tmpl w:val="690C7A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E93C1B"/>
    <w:multiLevelType w:val="hybridMultilevel"/>
    <w:tmpl w:val="9F4CD7C8"/>
    <w:lvl w:ilvl="0" w:tplc="D6400A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6B01FC"/>
    <w:multiLevelType w:val="hybridMultilevel"/>
    <w:tmpl w:val="A502CA0E"/>
    <w:lvl w:ilvl="0" w:tplc="329282E0">
      <w:start w:val="1"/>
      <w:numFmt w:val="bullet"/>
      <w:lvlText w:val="•"/>
      <w:lvlJc w:val="left"/>
      <w:pPr>
        <w:tabs>
          <w:tab w:val="num" w:pos="720"/>
        </w:tabs>
        <w:ind w:left="720" w:hanging="360"/>
      </w:pPr>
      <w:rPr>
        <w:rFonts w:ascii="Arial" w:hAnsi="Arial" w:hint="default"/>
      </w:rPr>
    </w:lvl>
    <w:lvl w:ilvl="1" w:tplc="2BB8AC10" w:tentative="1">
      <w:start w:val="1"/>
      <w:numFmt w:val="bullet"/>
      <w:lvlText w:val="•"/>
      <w:lvlJc w:val="left"/>
      <w:pPr>
        <w:tabs>
          <w:tab w:val="num" w:pos="1440"/>
        </w:tabs>
        <w:ind w:left="1440" w:hanging="360"/>
      </w:pPr>
      <w:rPr>
        <w:rFonts w:ascii="Arial" w:hAnsi="Arial" w:hint="default"/>
      </w:rPr>
    </w:lvl>
    <w:lvl w:ilvl="2" w:tplc="648A59AE" w:tentative="1">
      <w:start w:val="1"/>
      <w:numFmt w:val="bullet"/>
      <w:lvlText w:val="•"/>
      <w:lvlJc w:val="left"/>
      <w:pPr>
        <w:tabs>
          <w:tab w:val="num" w:pos="2160"/>
        </w:tabs>
        <w:ind w:left="2160" w:hanging="360"/>
      </w:pPr>
      <w:rPr>
        <w:rFonts w:ascii="Arial" w:hAnsi="Arial" w:hint="default"/>
      </w:rPr>
    </w:lvl>
    <w:lvl w:ilvl="3" w:tplc="BECAD96A" w:tentative="1">
      <w:start w:val="1"/>
      <w:numFmt w:val="bullet"/>
      <w:lvlText w:val="•"/>
      <w:lvlJc w:val="left"/>
      <w:pPr>
        <w:tabs>
          <w:tab w:val="num" w:pos="2880"/>
        </w:tabs>
        <w:ind w:left="2880" w:hanging="360"/>
      </w:pPr>
      <w:rPr>
        <w:rFonts w:ascii="Arial" w:hAnsi="Arial" w:hint="default"/>
      </w:rPr>
    </w:lvl>
    <w:lvl w:ilvl="4" w:tplc="644E7CD4" w:tentative="1">
      <w:start w:val="1"/>
      <w:numFmt w:val="bullet"/>
      <w:lvlText w:val="•"/>
      <w:lvlJc w:val="left"/>
      <w:pPr>
        <w:tabs>
          <w:tab w:val="num" w:pos="3600"/>
        </w:tabs>
        <w:ind w:left="3600" w:hanging="360"/>
      </w:pPr>
      <w:rPr>
        <w:rFonts w:ascii="Arial" w:hAnsi="Arial" w:hint="default"/>
      </w:rPr>
    </w:lvl>
    <w:lvl w:ilvl="5" w:tplc="3CACE742" w:tentative="1">
      <w:start w:val="1"/>
      <w:numFmt w:val="bullet"/>
      <w:lvlText w:val="•"/>
      <w:lvlJc w:val="left"/>
      <w:pPr>
        <w:tabs>
          <w:tab w:val="num" w:pos="4320"/>
        </w:tabs>
        <w:ind w:left="4320" w:hanging="360"/>
      </w:pPr>
      <w:rPr>
        <w:rFonts w:ascii="Arial" w:hAnsi="Arial" w:hint="default"/>
      </w:rPr>
    </w:lvl>
    <w:lvl w:ilvl="6" w:tplc="6CA21AD2" w:tentative="1">
      <w:start w:val="1"/>
      <w:numFmt w:val="bullet"/>
      <w:lvlText w:val="•"/>
      <w:lvlJc w:val="left"/>
      <w:pPr>
        <w:tabs>
          <w:tab w:val="num" w:pos="5040"/>
        </w:tabs>
        <w:ind w:left="5040" w:hanging="360"/>
      </w:pPr>
      <w:rPr>
        <w:rFonts w:ascii="Arial" w:hAnsi="Arial" w:hint="default"/>
      </w:rPr>
    </w:lvl>
    <w:lvl w:ilvl="7" w:tplc="31249D50" w:tentative="1">
      <w:start w:val="1"/>
      <w:numFmt w:val="bullet"/>
      <w:lvlText w:val="•"/>
      <w:lvlJc w:val="left"/>
      <w:pPr>
        <w:tabs>
          <w:tab w:val="num" w:pos="5760"/>
        </w:tabs>
        <w:ind w:left="5760" w:hanging="360"/>
      </w:pPr>
      <w:rPr>
        <w:rFonts w:ascii="Arial" w:hAnsi="Arial" w:hint="default"/>
      </w:rPr>
    </w:lvl>
    <w:lvl w:ilvl="8" w:tplc="AFE455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AF2077"/>
    <w:multiLevelType w:val="hybridMultilevel"/>
    <w:tmpl w:val="51A0C596"/>
    <w:lvl w:ilvl="0" w:tplc="81368600">
      <w:start w:val="1"/>
      <w:numFmt w:val="decimal"/>
      <w:lvlText w:val="%1."/>
      <w:lvlJc w:val="left"/>
      <w:pPr>
        <w:tabs>
          <w:tab w:val="num" w:pos="720"/>
        </w:tabs>
        <w:ind w:left="720" w:hanging="360"/>
      </w:pPr>
    </w:lvl>
    <w:lvl w:ilvl="1" w:tplc="297E3824" w:tentative="1">
      <w:start w:val="1"/>
      <w:numFmt w:val="decimal"/>
      <w:lvlText w:val="%2."/>
      <w:lvlJc w:val="left"/>
      <w:pPr>
        <w:tabs>
          <w:tab w:val="num" w:pos="1440"/>
        </w:tabs>
        <w:ind w:left="1440" w:hanging="360"/>
      </w:pPr>
    </w:lvl>
    <w:lvl w:ilvl="2" w:tplc="357AF6BA" w:tentative="1">
      <w:start w:val="1"/>
      <w:numFmt w:val="decimal"/>
      <w:lvlText w:val="%3."/>
      <w:lvlJc w:val="left"/>
      <w:pPr>
        <w:tabs>
          <w:tab w:val="num" w:pos="2160"/>
        </w:tabs>
        <w:ind w:left="2160" w:hanging="360"/>
      </w:pPr>
    </w:lvl>
    <w:lvl w:ilvl="3" w:tplc="CF881558" w:tentative="1">
      <w:start w:val="1"/>
      <w:numFmt w:val="decimal"/>
      <w:lvlText w:val="%4."/>
      <w:lvlJc w:val="left"/>
      <w:pPr>
        <w:tabs>
          <w:tab w:val="num" w:pos="2880"/>
        </w:tabs>
        <w:ind w:left="2880" w:hanging="360"/>
      </w:pPr>
    </w:lvl>
    <w:lvl w:ilvl="4" w:tplc="57BAFC8E" w:tentative="1">
      <w:start w:val="1"/>
      <w:numFmt w:val="decimal"/>
      <w:lvlText w:val="%5."/>
      <w:lvlJc w:val="left"/>
      <w:pPr>
        <w:tabs>
          <w:tab w:val="num" w:pos="3600"/>
        </w:tabs>
        <w:ind w:left="3600" w:hanging="360"/>
      </w:pPr>
    </w:lvl>
    <w:lvl w:ilvl="5" w:tplc="9800C01A" w:tentative="1">
      <w:start w:val="1"/>
      <w:numFmt w:val="decimal"/>
      <w:lvlText w:val="%6."/>
      <w:lvlJc w:val="left"/>
      <w:pPr>
        <w:tabs>
          <w:tab w:val="num" w:pos="4320"/>
        </w:tabs>
        <w:ind w:left="4320" w:hanging="360"/>
      </w:pPr>
    </w:lvl>
    <w:lvl w:ilvl="6" w:tplc="218C7A02" w:tentative="1">
      <w:start w:val="1"/>
      <w:numFmt w:val="decimal"/>
      <w:lvlText w:val="%7."/>
      <w:lvlJc w:val="left"/>
      <w:pPr>
        <w:tabs>
          <w:tab w:val="num" w:pos="5040"/>
        </w:tabs>
        <w:ind w:left="5040" w:hanging="360"/>
      </w:pPr>
    </w:lvl>
    <w:lvl w:ilvl="7" w:tplc="038EB8FE" w:tentative="1">
      <w:start w:val="1"/>
      <w:numFmt w:val="decimal"/>
      <w:lvlText w:val="%8."/>
      <w:lvlJc w:val="left"/>
      <w:pPr>
        <w:tabs>
          <w:tab w:val="num" w:pos="5760"/>
        </w:tabs>
        <w:ind w:left="5760" w:hanging="360"/>
      </w:pPr>
    </w:lvl>
    <w:lvl w:ilvl="8" w:tplc="6A908204" w:tentative="1">
      <w:start w:val="1"/>
      <w:numFmt w:val="decimal"/>
      <w:lvlText w:val="%9."/>
      <w:lvlJc w:val="left"/>
      <w:pPr>
        <w:tabs>
          <w:tab w:val="num" w:pos="6480"/>
        </w:tabs>
        <w:ind w:left="6480" w:hanging="360"/>
      </w:pPr>
    </w:lvl>
  </w:abstractNum>
  <w:abstractNum w:abstractNumId="4" w15:restartNumberingAfterBreak="0">
    <w:nsid w:val="15661D61"/>
    <w:multiLevelType w:val="hybridMultilevel"/>
    <w:tmpl w:val="0CF0CC22"/>
    <w:lvl w:ilvl="0" w:tplc="572CC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8A767C"/>
    <w:multiLevelType w:val="hybridMultilevel"/>
    <w:tmpl w:val="35FA22B4"/>
    <w:lvl w:ilvl="0" w:tplc="5F3017F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0E599E"/>
    <w:multiLevelType w:val="hybridMultilevel"/>
    <w:tmpl w:val="AA1EB1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D66317"/>
    <w:multiLevelType w:val="hybridMultilevel"/>
    <w:tmpl w:val="6D6A08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AF59BC"/>
    <w:multiLevelType w:val="hybridMultilevel"/>
    <w:tmpl w:val="2F24CAF2"/>
    <w:lvl w:ilvl="0" w:tplc="F33629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6361393"/>
    <w:multiLevelType w:val="hybridMultilevel"/>
    <w:tmpl w:val="30B4BC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B342E11"/>
    <w:multiLevelType w:val="hybridMultilevel"/>
    <w:tmpl w:val="8B8CF5D8"/>
    <w:lvl w:ilvl="0" w:tplc="F754E6EE">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731133"/>
    <w:multiLevelType w:val="hybridMultilevel"/>
    <w:tmpl w:val="EC3C5774"/>
    <w:lvl w:ilvl="0" w:tplc="71F8CF66">
      <w:start w:val="1"/>
      <w:numFmt w:val="decimal"/>
      <w:lvlText w:val="（%1）"/>
      <w:lvlJc w:val="left"/>
      <w:pPr>
        <w:ind w:left="420" w:hanging="42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D33E56"/>
    <w:multiLevelType w:val="hybridMultilevel"/>
    <w:tmpl w:val="454A9A00"/>
    <w:lvl w:ilvl="0" w:tplc="F33629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5041397"/>
    <w:multiLevelType w:val="multilevel"/>
    <w:tmpl w:val="9776F202"/>
    <w:lvl w:ilvl="0">
      <w:start w:val="1"/>
      <w:numFmt w:val="decimal"/>
      <w:lvlText w:val="(%1)"/>
      <w:lvlJc w:val="left"/>
      <w:pPr>
        <w:ind w:left="567" w:hanging="567"/>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D1C1685"/>
    <w:multiLevelType w:val="hybridMultilevel"/>
    <w:tmpl w:val="BF9C7994"/>
    <w:lvl w:ilvl="0" w:tplc="6938E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7F399E"/>
    <w:multiLevelType w:val="hybridMultilevel"/>
    <w:tmpl w:val="7446FA9E"/>
    <w:lvl w:ilvl="0" w:tplc="F33629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F3362904">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2962E63"/>
    <w:multiLevelType w:val="hybridMultilevel"/>
    <w:tmpl w:val="FCE0BE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5145741"/>
    <w:multiLevelType w:val="hybridMultilevel"/>
    <w:tmpl w:val="41DAB8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D45063C"/>
    <w:multiLevelType w:val="hybridMultilevel"/>
    <w:tmpl w:val="FAAC3F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D06666"/>
    <w:multiLevelType w:val="hybridMultilevel"/>
    <w:tmpl w:val="C0D2BE34"/>
    <w:lvl w:ilvl="0" w:tplc="F33629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1752C8F"/>
    <w:multiLevelType w:val="hybridMultilevel"/>
    <w:tmpl w:val="58DC507A"/>
    <w:lvl w:ilvl="0" w:tplc="B4780242">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8C13883"/>
    <w:multiLevelType w:val="hybridMultilevel"/>
    <w:tmpl w:val="4FCA61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B14586D"/>
    <w:multiLevelType w:val="hybridMultilevel"/>
    <w:tmpl w:val="11707218"/>
    <w:lvl w:ilvl="0" w:tplc="5E02D296">
      <w:start w:val="1"/>
      <w:numFmt w:val="bullet"/>
      <w:lvlText w:val="•"/>
      <w:lvlJc w:val="left"/>
      <w:pPr>
        <w:tabs>
          <w:tab w:val="num" w:pos="720"/>
        </w:tabs>
        <w:ind w:left="720" w:hanging="360"/>
      </w:pPr>
      <w:rPr>
        <w:rFonts w:ascii="Arial" w:hAnsi="Arial" w:hint="default"/>
      </w:rPr>
    </w:lvl>
    <w:lvl w:ilvl="1" w:tplc="725247D4" w:tentative="1">
      <w:start w:val="1"/>
      <w:numFmt w:val="bullet"/>
      <w:lvlText w:val="•"/>
      <w:lvlJc w:val="left"/>
      <w:pPr>
        <w:tabs>
          <w:tab w:val="num" w:pos="1440"/>
        </w:tabs>
        <w:ind w:left="1440" w:hanging="360"/>
      </w:pPr>
      <w:rPr>
        <w:rFonts w:ascii="Arial" w:hAnsi="Arial" w:hint="default"/>
      </w:rPr>
    </w:lvl>
    <w:lvl w:ilvl="2" w:tplc="128E565E" w:tentative="1">
      <w:start w:val="1"/>
      <w:numFmt w:val="bullet"/>
      <w:lvlText w:val="•"/>
      <w:lvlJc w:val="left"/>
      <w:pPr>
        <w:tabs>
          <w:tab w:val="num" w:pos="2160"/>
        </w:tabs>
        <w:ind w:left="2160" w:hanging="360"/>
      </w:pPr>
      <w:rPr>
        <w:rFonts w:ascii="Arial" w:hAnsi="Arial" w:hint="default"/>
      </w:rPr>
    </w:lvl>
    <w:lvl w:ilvl="3" w:tplc="C9E6FA2A" w:tentative="1">
      <w:start w:val="1"/>
      <w:numFmt w:val="bullet"/>
      <w:lvlText w:val="•"/>
      <w:lvlJc w:val="left"/>
      <w:pPr>
        <w:tabs>
          <w:tab w:val="num" w:pos="2880"/>
        </w:tabs>
        <w:ind w:left="2880" w:hanging="360"/>
      </w:pPr>
      <w:rPr>
        <w:rFonts w:ascii="Arial" w:hAnsi="Arial" w:hint="default"/>
      </w:rPr>
    </w:lvl>
    <w:lvl w:ilvl="4" w:tplc="AF0E5668" w:tentative="1">
      <w:start w:val="1"/>
      <w:numFmt w:val="bullet"/>
      <w:lvlText w:val="•"/>
      <w:lvlJc w:val="left"/>
      <w:pPr>
        <w:tabs>
          <w:tab w:val="num" w:pos="3600"/>
        </w:tabs>
        <w:ind w:left="3600" w:hanging="360"/>
      </w:pPr>
      <w:rPr>
        <w:rFonts w:ascii="Arial" w:hAnsi="Arial" w:hint="default"/>
      </w:rPr>
    </w:lvl>
    <w:lvl w:ilvl="5" w:tplc="39365A50" w:tentative="1">
      <w:start w:val="1"/>
      <w:numFmt w:val="bullet"/>
      <w:lvlText w:val="•"/>
      <w:lvlJc w:val="left"/>
      <w:pPr>
        <w:tabs>
          <w:tab w:val="num" w:pos="4320"/>
        </w:tabs>
        <w:ind w:left="4320" w:hanging="360"/>
      </w:pPr>
      <w:rPr>
        <w:rFonts w:ascii="Arial" w:hAnsi="Arial" w:hint="default"/>
      </w:rPr>
    </w:lvl>
    <w:lvl w:ilvl="6" w:tplc="19ECE778" w:tentative="1">
      <w:start w:val="1"/>
      <w:numFmt w:val="bullet"/>
      <w:lvlText w:val="•"/>
      <w:lvlJc w:val="left"/>
      <w:pPr>
        <w:tabs>
          <w:tab w:val="num" w:pos="5040"/>
        </w:tabs>
        <w:ind w:left="5040" w:hanging="360"/>
      </w:pPr>
      <w:rPr>
        <w:rFonts w:ascii="Arial" w:hAnsi="Arial" w:hint="default"/>
      </w:rPr>
    </w:lvl>
    <w:lvl w:ilvl="7" w:tplc="8A9612C0" w:tentative="1">
      <w:start w:val="1"/>
      <w:numFmt w:val="bullet"/>
      <w:lvlText w:val="•"/>
      <w:lvlJc w:val="left"/>
      <w:pPr>
        <w:tabs>
          <w:tab w:val="num" w:pos="5760"/>
        </w:tabs>
        <w:ind w:left="5760" w:hanging="360"/>
      </w:pPr>
      <w:rPr>
        <w:rFonts w:ascii="Arial" w:hAnsi="Arial" w:hint="default"/>
      </w:rPr>
    </w:lvl>
    <w:lvl w:ilvl="8" w:tplc="CE58B77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F50054"/>
    <w:multiLevelType w:val="hybridMultilevel"/>
    <w:tmpl w:val="657CE66C"/>
    <w:lvl w:ilvl="0" w:tplc="0409000B">
      <w:start w:val="1"/>
      <w:numFmt w:val="bullet"/>
      <w:lvlText w:val=""/>
      <w:lvlJc w:val="left"/>
      <w:pPr>
        <w:tabs>
          <w:tab w:val="num" w:pos="720"/>
        </w:tabs>
        <w:ind w:left="720" w:hanging="360"/>
      </w:pPr>
      <w:rPr>
        <w:rFonts w:ascii="Wingdings" w:hAnsi="Wingdings" w:hint="default"/>
      </w:rPr>
    </w:lvl>
    <w:lvl w:ilvl="1" w:tplc="DF3A443E" w:tentative="1">
      <w:start w:val="1"/>
      <w:numFmt w:val="bullet"/>
      <w:lvlText w:val="•"/>
      <w:lvlJc w:val="left"/>
      <w:pPr>
        <w:tabs>
          <w:tab w:val="num" w:pos="1440"/>
        </w:tabs>
        <w:ind w:left="1440" w:hanging="360"/>
      </w:pPr>
      <w:rPr>
        <w:rFonts w:ascii="Arial" w:hAnsi="Arial" w:hint="default"/>
      </w:rPr>
    </w:lvl>
    <w:lvl w:ilvl="2" w:tplc="794CD70C" w:tentative="1">
      <w:start w:val="1"/>
      <w:numFmt w:val="bullet"/>
      <w:lvlText w:val="•"/>
      <w:lvlJc w:val="left"/>
      <w:pPr>
        <w:tabs>
          <w:tab w:val="num" w:pos="2160"/>
        </w:tabs>
        <w:ind w:left="2160" w:hanging="360"/>
      </w:pPr>
      <w:rPr>
        <w:rFonts w:ascii="Arial" w:hAnsi="Arial" w:hint="default"/>
      </w:rPr>
    </w:lvl>
    <w:lvl w:ilvl="3" w:tplc="8F842556" w:tentative="1">
      <w:start w:val="1"/>
      <w:numFmt w:val="bullet"/>
      <w:lvlText w:val="•"/>
      <w:lvlJc w:val="left"/>
      <w:pPr>
        <w:tabs>
          <w:tab w:val="num" w:pos="2880"/>
        </w:tabs>
        <w:ind w:left="2880" w:hanging="360"/>
      </w:pPr>
      <w:rPr>
        <w:rFonts w:ascii="Arial" w:hAnsi="Arial" w:hint="default"/>
      </w:rPr>
    </w:lvl>
    <w:lvl w:ilvl="4" w:tplc="A79A35CA" w:tentative="1">
      <w:start w:val="1"/>
      <w:numFmt w:val="bullet"/>
      <w:lvlText w:val="•"/>
      <w:lvlJc w:val="left"/>
      <w:pPr>
        <w:tabs>
          <w:tab w:val="num" w:pos="3600"/>
        </w:tabs>
        <w:ind w:left="3600" w:hanging="360"/>
      </w:pPr>
      <w:rPr>
        <w:rFonts w:ascii="Arial" w:hAnsi="Arial" w:hint="default"/>
      </w:rPr>
    </w:lvl>
    <w:lvl w:ilvl="5" w:tplc="16EEF220" w:tentative="1">
      <w:start w:val="1"/>
      <w:numFmt w:val="bullet"/>
      <w:lvlText w:val="•"/>
      <w:lvlJc w:val="left"/>
      <w:pPr>
        <w:tabs>
          <w:tab w:val="num" w:pos="4320"/>
        </w:tabs>
        <w:ind w:left="4320" w:hanging="360"/>
      </w:pPr>
      <w:rPr>
        <w:rFonts w:ascii="Arial" w:hAnsi="Arial" w:hint="default"/>
      </w:rPr>
    </w:lvl>
    <w:lvl w:ilvl="6" w:tplc="349A6DD0" w:tentative="1">
      <w:start w:val="1"/>
      <w:numFmt w:val="bullet"/>
      <w:lvlText w:val="•"/>
      <w:lvlJc w:val="left"/>
      <w:pPr>
        <w:tabs>
          <w:tab w:val="num" w:pos="5040"/>
        </w:tabs>
        <w:ind w:left="5040" w:hanging="360"/>
      </w:pPr>
      <w:rPr>
        <w:rFonts w:ascii="Arial" w:hAnsi="Arial" w:hint="default"/>
      </w:rPr>
    </w:lvl>
    <w:lvl w:ilvl="7" w:tplc="1EA63460" w:tentative="1">
      <w:start w:val="1"/>
      <w:numFmt w:val="bullet"/>
      <w:lvlText w:val="•"/>
      <w:lvlJc w:val="left"/>
      <w:pPr>
        <w:tabs>
          <w:tab w:val="num" w:pos="5760"/>
        </w:tabs>
        <w:ind w:left="5760" w:hanging="360"/>
      </w:pPr>
      <w:rPr>
        <w:rFonts w:ascii="Arial" w:hAnsi="Arial" w:hint="default"/>
      </w:rPr>
    </w:lvl>
    <w:lvl w:ilvl="8" w:tplc="A6BCF4E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E9A0699"/>
    <w:multiLevelType w:val="hybridMultilevel"/>
    <w:tmpl w:val="9DDC87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06123D9"/>
    <w:multiLevelType w:val="hybridMultilevel"/>
    <w:tmpl w:val="CA0A88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D92FA2"/>
    <w:multiLevelType w:val="hybridMultilevel"/>
    <w:tmpl w:val="5D8C467A"/>
    <w:lvl w:ilvl="0" w:tplc="F33629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8137B33"/>
    <w:multiLevelType w:val="hybridMultilevel"/>
    <w:tmpl w:val="8D2C4C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AA6304A"/>
    <w:multiLevelType w:val="multilevel"/>
    <w:tmpl w:val="0D56F248"/>
    <w:lvl w:ilvl="0">
      <w:start w:val="1"/>
      <w:numFmt w:val="decimal"/>
      <w:lvlText w:val="(%1)"/>
      <w:lvlJc w:val="left"/>
      <w:pPr>
        <w:ind w:left="567" w:hanging="567"/>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6E086BDC"/>
    <w:multiLevelType w:val="hybridMultilevel"/>
    <w:tmpl w:val="407C60A6"/>
    <w:lvl w:ilvl="0" w:tplc="F33629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F659BE"/>
    <w:multiLevelType w:val="hybridMultilevel"/>
    <w:tmpl w:val="C1A2E4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58A7426"/>
    <w:multiLevelType w:val="hybridMultilevel"/>
    <w:tmpl w:val="A4D891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7CD3284"/>
    <w:multiLevelType w:val="hybridMultilevel"/>
    <w:tmpl w:val="BA48EC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8397C68"/>
    <w:multiLevelType w:val="hybridMultilevel"/>
    <w:tmpl w:val="CFD490DC"/>
    <w:lvl w:ilvl="0" w:tplc="5E542262">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95D37FB"/>
    <w:multiLevelType w:val="hybridMultilevel"/>
    <w:tmpl w:val="B66C06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9755A56"/>
    <w:multiLevelType w:val="hybridMultilevel"/>
    <w:tmpl w:val="9BAEF05E"/>
    <w:lvl w:ilvl="0" w:tplc="FEEC2E9C">
      <w:start w:val="1"/>
      <w:numFmt w:val="bullet"/>
      <w:lvlText w:val="•"/>
      <w:lvlJc w:val="left"/>
      <w:pPr>
        <w:tabs>
          <w:tab w:val="num" w:pos="720"/>
        </w:tabs>
        <w:ind w:left="720" w:hanging="360"/>
      </w:pPr>
      <w:rPr>
        <w:rFonts w:ascii="Arial" w:hAnsi="Arial" w:hint="default"/>
      </w:rPr>
    </w:lvl>
    <w:lvl w:ilvl="1" w:tplc="964C5F5C" w:tentative="1">
      <w:start w:val="1"/>
      <w:numFmt w:val="bullet"/>
      <w:lvlText w:val="•"/>
      <w:lvlJc w:val="left"/>
      <w:pPr>
        <w:tabs>
          <w:tab w:val="num" w:pos="1440"/>
        </w:tabs>
        <w:ind w:left="1440" w:hanging="360"/>
      </w:pPr>
      <w:rPr>
        <w:rFonts w:ascii="Arial" w:hAnsi="Arial" w:hint="default"/>
      </w:rPr>
    </w:lvl>
    <w:lvl w:ilvl="2" w:tplc="C8444D64" w:tentative="1">
      <w:start w:val="1"/>
      <w:numFmt w:val="bullet"/>
      <w:lvlText w:val="•"/>
      <w:lvlJc w:val="left"/>
      <w:pPr>
        <w:tabs>
          <w:tab w:val="num" w:pos="2160"/>
        </w:tabs>
        <w:ind w:left="2160" w:hanging="360"/>
      </w:pPr>
      <w:rPr>
        <w:rFonts w:ascii="Arial" w:hAnsi="Arial" w:hint="default"/>
      </w:rPr>
    </w:lvl>
    <w:lvl w:ilvl="3" w:tplc="8AEAC0AA" w:tentative="1">
      <w:start w:val="1"/>
      <w:numFmt w:val="bullet"/>
      <w:lvlText w:val="•"/>
      <w:lvlJc w:val="left"/>
      <w:pPr>
        <w:tabs>
          <w:tab w:val="num" w:pos="2880"/>
        </w:tabs>
        <w:ind w:left="2880" w:hanging="360"/>
      </w:pPr>
      <w:rPr>
        <w:rFonts w:ascii="Arial" w:hAnsi="Arial" w:hint="default"/>
      </w:rPr>
    </w:lvl>
    <w:lvl w:ilvl="4" w:tplc="D1EE44A2" w:tentative="1">
      <w:start w:val="1"/>
      <w:numFmt w:val="bullet"/>
      <w:lvlText w:val="•"/>
      <w:lvlJc w:val="left"/>
      <w:pPr>
        <w:tabs>
          <w:tab w:val="num" w:pos="3600"/>
        </w:tabs>
        <w:ind w:left="3600" w:hanging="360"/>
      </w:pPr>
      <w:rPr>
        <w:rFonts w:ascii="Arial" w:hAnsi="Arial" w:hint="default"/>
      </w:rPr>
    </w:lvl>
    <w:lvl w:ilvl="5" w:tplc="7ED2C820" w:tentative="1">
      <w:start w:val="1"/>
      <w:numFmt w:val="bullet"/>
      <w:lvlText w:val="•"/>
      <w:lvlJc w:val="left"/>
      <w:pPr>
        <w:tabs>
          <w:tab w:val="num" w:pos="4320"/>
        </w:tabs>
        <w:ind w:left="4320" w:hanging="360"/>
      </w:pPr>
      <w:rPr>
        <w:rFonts w:ascii="Arial" w:hAnsi="Arial" w:hint="default"/>
      </w:rPr>
    </w:lvl>
    <w:lvl w:ilvl="6" w:tplc="F5322DE2" w:tentative="1">
      <w:start w:val="1"/>
      <w:numFmt w:val="bullet"/>
      <w:lvlText w:val="•"/>
      <w:lvlJc w:val="left"/>
      <w:pPr>
        <w:tabs>
          <w:tab w:val="num" w:pos="5040"/>
        </w:tabs>
        <w:ind w:left="5040" w:hanging="360"/>
      </w:pPr>
      <w:rPr>
        <w:rFonts w:ascii="Arial" w:hAnsi="Arial" w:hint="default"/>
      </w:rPr>
    </w:lvl>
    <w:lvl w:ilvl="7" w:tplc="A966437A" w:tentative="1">
      <w:start w:val="1"/>
      <w:numFmt w:val="bullet"/>
      <w:lvlText w:val="•"/>
      <w:lvlJc w:val="left"/>
      <w:pPr>
        <w:tabs>
          <w:tab w:val="num" w:pos="5760"/>
        </w:tabs>
        <w:ind w:left="5760" w:hanging="360"/>
      </w:pPr>
      <w:rPr>
        <w:rFonts w:ascii="Arial" w:hAnsi="Arial" w:hint="default"/>
      </w:rPr>
    </w:lvl>
    <w:lvl w:ilvl="8" w:tplc="2F88EB1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A881741"/>
    <w:multiLevelType w:val="hybridMultilevel"/>
    <w:tmpl w:val="C0761E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32"/>
  </w:num>
  <w:num w:numId="3">
    <w:abstractNumId w:val="28"/>
  </w:num>
  <w:num w:numId="4">
    <w:abstractNumId w:val="13"/>
  </w:num>
  <w:num w:numId="5">
    <w:abstractNumId w:val="10"/>
  </w:num>
  <w:num w:numId="6">
    <w:abstractNumId w:val="16"/>
  </w:num>
  <w:num w:numId="7">
    <w:abstractNumId w:val="17"/>
  </w:num>
  <w:num w:numId="8">
    <w:abstractNumId w:val="24"/>
  </w:num>
  <w:num w:numId="9">
    <w:abstractNumId w:val="9"/>
  </w:num>
  <w:num w:numId="10">
    <w:abstractNumId w:val="3"/>
  </w:num>
  <w:num w:numId="11">
    <w:abstractNumId w:val="2"/>
  </w:num>
  <w:num w:numId="12">
    <w:abstractNumId w:val="7"/>
  </w:num>
  <w:num w:numId="13">
    <w:abstractNumId w:val="4"/>
  </w:num>
  <w:num w:numId="14">
    <w:abstractNumId w:val="27"/>
  </w:num>
  <w:num w:numId="15">
    <w:abstractNumId w:val="15"/>
  </w:num>
  <w:num w:numId="16">
    <w:abstractNumId w:val="34"/>
  </w:num>
  <w:num w:numId="17">
    <w:abstractNumId w:val="6"/>
  </w:num>
  <w:num w:numId="18">
    <w:abstractNumId w:val="8"/>
  </w:num>
  <w:num w:numId="19">
    <w:abstractNumId w:val="19"/>
  </w:num>
  <w:num w:numId="20">
    <w:abstractNumId w:val="31"/>
  </w:num>
  <w:num w:numId="21">
    <w:abstractNumId w:val="29"/>
  </w:num>
  <w:num w:numId="22">
    <w:abstractNumId w:val="36"/>
  </w:num>
  <w:num w:numId="23">
    <w:abstractNumId w:val="12"/>
  </w:num>
  <w:num w:numId="24">
    <w:abstractNumId w:val="35"/>
  </w:num>
  <w:num w:numId="25">
    <w:abstractNumId w:val="22"/>
  </w:num>
  <w:num w:numId="26">
    <w:abstractNumId w:val="20"/>
  </w:num>
  <w:num w:numId="27">
    <w:abstractNumId w:val="26"/>
  </w:num>
  <w:num w:numId="28">
    <w:abstractNumId w:val="33"/>
  </w:num>
  <w:num w:numId="29">
    <w:abstractNumId w:val="21"/>
  </w:num>
  <w:num w:numId="30">
    <w:abstractNumId w:val="25"/>
  </w:num>
  <w:num w:numId="31">
    <w:abstractNumId w:val="1"/>
  </w:num>
  <w:num w:numId="32">
    <w:abstractNumId w:val="0"/>
  </w:num>
  <w:num w:numId="33">
    <w:abstractNumId w:val="18"/>
  </w:num>
  <w:num w:numId="34">
    <w:abstractNumId w:val="23"/>
  </w:num>
  <w:num w:numId="35">
    <w:abstractNumId w:val="11"/>
  </w:num>
  <w:num w:numId="36">
    <w:abstractNumId w:val="30"/>
  </w:num>
  <w:num w:numId="3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7B8"/>
    <w:rsid w:val="000003CA"/>
    <w:rsid w:val="00002698"/>
    <w:rsid w:val="00003A5E"/>
    <w:rsid w:val="0000476A"/>
    <w:rsid w:val="00004F2E"/>
    <w:rsid w:val="00005C30"/>
    <w:rsid w:val="000123D6"/>
    <w:rsid w:val="00023353"/>
    <w:rsid w:val="0002698F"/>
    <w:rsid w:val="00026B1C"/>
    <w:rsid w:val="00027D63"/>
    <w:rsid w:val="0003350E"/>
    <w:rsid w:val="00034786"/>
    <w:rsid w:val="00035636"/>
    <w:rsid w:val="00042314"/>
    <w:rsid w:val="000430E0"/>
    <w:rsid w:val="00044BF6"/>
    <w:rsid w:val="00044D57"/>
    <w:rsid w:val="000613C5"/>
    <w:rsid w:val="000627D5"/>
    <w:rsid w:val="00062D5A"/>
    <w:rsid w:val="0006507E"/>
    <w:rsid w:val="00065EBA"/>
    <w:rsid w:val="00074121"/>
    <w:rsid w:val="00077217"/>
    <w:rsid w:val="00077626"/>
    <w:rsid w:val="0008288B"/>
    <w:rsid w:val="00085049"/>
    <w:rsid w:val="00086543"/>
    <w:rsid w:val="00091359"/>
    <w:rsid w:val="0009185A"/>
    <w:rsid w:val="000938A9"/>
    <w:rsid w:val="000979EE"/>
    <w:rsid w:val="000A1649"/>
    <w:rsid w:val="000A36C5"/>
    <w:rsid w:val="000A5171"/>
    <w:rsid w:val="000A525A"/>
    <w:rsid w:val="000B155E"/>
    <w:rsid w:val="000B29CF"/>
    <w:rsid w:val="000C0815"/>
    <w:rsid w:val="000C7CDE"/>
    <w:rsid w:val="000D4257"/>
    <w:rsid w:val="000E0A45"/>
    <w:rsid w:val="000E2718"/>
    <w:rsid w:val="000E3FBA"/>
    <w:rsid w:val="000E5B3B"/>
    <w:rsid w:val="000E6574"/>
    <w:rsid w:val="000F41B2"/>
    <w:rsid w:val="000F4B31"/>
    <w:rsid w:val="000F6933"/>
    <w:rsid w:val="001007C9"/>
    <w:rsid w:val="001041ED"/>
    <w:rsid w:val="00104ADB"/>
    <w:rsid w:val="001056B7"/>
    <w:rsid w:val="0010672F"/>
    <w:rsid w:val="00106F8D"/>
    <w:rsid w:val="00107870"/>
    <w:rsid w:val="00111B32"/>
    <w:rsid w:val="00116A6A"/>
    <w:rsid w:val="00120B6D"/>
    <w:rsid w:val="0012117B"/>
    <w:rsid w:val="001226EF"/>
    <w:rsid w:val="00131069"/>
    <w:rsid w:val="001313ED"/>
    <w:rsid w:val="00145A8C"/>
    <w:rsid w:val="0015415E"/>
    <w:rsid w:val="001550C3"/>
    <w:rsid w:val="0015605C"/>
    <w:rsid w:val="00156409"/>
    <w:rsid w:val="00161D71"/>
    <w:rsid w:val="00163EE6"/>
    <w:rsid w:val="0016438A"/>
    <w:rsid w:val="00165ABD"/>
    <w:rsid w:val="001702D5"/>
    <w:rsid w:val="00170504"/>
    <w:rsid w:val="00170B05"/>
    <w:rsid w:val="00175559"/>
    <w:rsid w:val="001819B7"/>
    <w:rsid w:val="00184EB3"/>
    <w:rsid w:val="00184F36"/>
    <w:rsid w:val="00185074"/>
    <w:rsid w:val="00186C94"/>
    <w:rsid w:val="00190C35"/>
    <w:rsid w:val="001913D1"/>
    <w:rsid w:val="00191920"/>
    <w:rsid w:val="00191B1D"/>
    <w:rsid w:val="00192AE6"/>
    <w:rsid w:val="00193CC1"/>
    <w:rsid w:val="00195838"/>
    <w:rsid w:val="001A69F5"/>
    <w:rsid w:val="001A6CBC"/>
    <w:rsid w:val="001B02E3"/>
    <w:rsid w:val="001B6CE9"/>
    <w:rsid w:val="001C0EC6"/>
    <w:rsid w:val="001C2413"/>
    <w:rsid w:val="001C32F9"/>
    <w:rsid w:val="001D3096"/>
    <w:rsid w:val="001D5928"/>
    <w:rsid w:val="001E0456"/>
    <w:rsid w:val="001E3323"/>
    <w:rsid w:val="001E4B1F"/>
    <w:rsid w:val="001E6EDB"/>
    <w:rsid w:val="001E74CD"/>
    <w:rsid w:val="001F2312"/>
    <w:rsid w:val="001F56B1"/>
    <w:rsid w:val="001F6129"/>
    <w:rsid w:val="001F7420"/>
    <w:rsid w:val="00203623"/>
    <w:rsid w:val="0020438A"/>
    <w:rsid w:val="002077A6"/>
    <w:rsid w:val="00207E32"/>
    <w:rsid w:val="002115C1"/>
    <w:rsid w:val="00211B85"/>
    <w:rsid w:val="00212EDA"/>
    <w:rsid w:val="00216387"/>
    <w:rsid w:val="002163D6"/>
    <w:rsid w:val="00217AEB"/>
    <w:rsid w:val="00220E1C"/>
    <w:rsid w:val="00222154"/>
    <w:rsid w:val="00240920"/>
    <w:rsid w:val="002419D8"/>
    <w:rsid w:val="002461C9"/>
    <w:rsid w:val="0025068C"/>
    <w:rsid w:val="002511BF"/>
    <w:rsid w:val="002512A2"/>
    <w:rsid w:val="00252CBB"/>
    <w:rsid w:val="00253634"/>
    <w:rsid w:val="00253977"/>
    <w:rsid w:val="002577C5"/>
    <w:rsid w:val="00265D53"/>
    <w:rsid w:val="00266F50"/>
    <w:rsid w:val="00271118"/>
    <w:rsid w:val="00272B68"/>
    <w:rsid w:val="0028287A"/>
    <w:rsid w:val="00285FC0"/>
    <w:rsid w:val="00292422"/>
    <w:rsid w:val="002A13EE"/>
    <w:rsid w:val="002A1AE0"/>
    <w:rsid w:val="002A5B6B"/>
    <w:rsid w:val="002B4EF6"/>
    <w:rsid w:val="002B5737"/>
    <w:rsid w:val="002B6D75"/>
    <w:rsid w:val="002B7877"/>
    <w:rsid w:val="002C5DAA"/>
    <w:rsid w:val="002D0E71"/>
    <w:rsid w:val="002D4581"/>
    <w:rsid w:val="002D52D7"/>
    <w:rsid w:val="002D5F1B"/>
    <w:rsid w:val="002E11BB"/>
    <w:rsid w:val="002E1DE8"/>
    <w:rsid w:val="002E2B23"/>
    <w:rsid w:val="002E41F9"/>
    <w:rsid w:val="002E5739"/>
    <w:rsid w:val="002F1164"/>
    <w:rsid w:val="002F18A5"/>
    <w:rsid w:val="002F4E32"/>
    <w:rsid w:val="003012DD"/>
    <w:rsid w:val="00303F8B"/>
    <w:rsid w:val="00304805"/>
    <w:rsid w:val="003106B2"/>
    <w:rsid w:val="003119CE"/>
    <w:rsid w:val="00311CAB"/>
    <w:rsid w:val="003123AF"/>
    <w:rsid w:val="00312F11"/>
    <w:rsid w:val="00322BFB"/>
    <w:rsid w:val="00323E43"/>
    <w:rsid w:val="0032643F"/>
    <w:rsid w:val="00330E73"/>
    <w:rsid w:val="00331B80"/>
    <w:rsid w:val="00333EBA"/>
    <w:rsid w:val="003359A6"/>
    <w:rsid w:val="0034077A"/>
    <w:rsid w:val="00344398"/>
    <w:rsid w:val="00346725"/>
    <w:rsid w:val="00346BEB"/>
    <w:rsid w:val="00346CC4"/>
    <w:rsid w:val="003478AA"/>
    <w:rsid w:val="0035064E"/>
    <w:rsid w:val="003538FE"/>
    <w:rsid w:val="003545FE"/>
    <w:rsid w:val="0036422D"/>
    <w:rsid w:val="00365D04"/>
    <w:rsid w:val="003703FD"/>
    <w:rsid w:val="003721DF"/>
    <w:rsid w:val="003743A2"/>
    <w:rsid w:val="00380187"/>
    <w:rsid w:val="00382B70"/>
    <w:rsid w:val="00383455"/>
    <w:rsid w:val="00383E79"/>
    <w:rsid w:val="003852C4"/>
    <w:rsid w:val="00385775"/>
    <w:rsid w:val="003865BB"/>
    <w:rsid w:val="0038664F"/>
    <w:rsid w:val="0039056D"/>
    <w:rsid w:val="00394589"/>
    <w:rsid w:val="00394CF1"/>
    <w:rsid w:val="00395968"/>
    <w:rsid w:val="00396345"/>
    <w:rsid w:val="003A0B82"/>
    <w:rsid w:val="003A26B5"/>
    <w:rsid w:val="003A45E7"/>
    <w:rsid w:val="003B3508"/>
    <w:rsid w:val="003C6388"/>
    <w:rsid w:val="003C63E3"/>
    <w:rsid w:val="003D0C2C"/>
    <w:rsid w:val="003D2CAB"/>
    <w:rsid w:val="003D2CD3"/>
    <w:rsid w:val="003D5CC9"/>
    <w:rsid w:val="003D644D"/>
    <w:rsid w:val="003E198C"/>
    <w:rsid w:val="003E3538"/>
    <w:rsid w:val="003E5449"/>
    <w:rsid w:val="003F13A2"/>
    <w:rsid w:val="003F18AD"/>
    <w:rsid w:val="003F2E91"/>
    <w:rsid w:val="003F6BE8"/>
    <w:rsid w:val="003F760A"/>
    <w:rsid w:val="00401606"/>
    <w:rsid w:val="00407974"/>
    <w:rsid w:val="00415AC9"/>
    <w:rsid w:val="00416972"/>
    <w:rsid w:val="00417103"/>
    <w:rsid w:val="00420437"/>
    <w:rsid w:val="004215AB"/>
    <w:rsid w:val="00421903"/>
    <w:rsid w:val="00423100"/>
    <w:rsid w:val="00423FB6"/>
    <w:rsid w:val="00427C96"/>
    <w:rsid w:val="00432F39"/>
    <w:rsid w:val="00437673"/>
    <w:rsid w:val="0044184A"/>
    <w:rsid w:val="004437B2"/>
    <w:rsid w:val="00447130"/>
    <w:rsid w:val="00452BD0"/>
    <w:rsid w:val="004563CB"/>
    <w:rsid w:val="0045702F"/>
    <w:rsid w:val="00460F4D"/>
    <w:rsid w:val="00461428"/>
    <w:rsid w:val="0046152D"/>
    <w:rsid w:val="00463F7B"/>
    <w:rsid w:val="004720E3"/>
    <w:rsid w:val="00472BF3"/>
    <w:rsid w:val="00481178"/>
    <w:rsid w:val="00486B96"/>
    <w:rsid w:val="0049090D"/>
    <w:rsid w:val="0049109E"/>
    <w:rsid w:val="00497CE8"/>
    <w:rsid w:val="004A41F3"/>
    <w:rsid w:val="004A47C2"/>
    <w:rsid w:val="004A5855"/>
    <w:rsid w:val="004A677D"/>
    <w:rsid w:val="004B0754"/>
    <w:rsid w:val="004B22FA"/>
    <w:rsid w:val="004B679F"/>
    <w:rsid w:val="004C069C"/>
    <w:rsid w:val="004D0AE0"/>
    <w:rsid w:val="004D1430"/>
    <w:rsid w:val="004D2A1D"/>
    <w:rsid w:val="004D7CB5"/>
    <w:rsid w:val="004E1D89"/>
    <w:rsid w:val="004E5C83"/>
    <w:rsid w:val="004E6C9A"/>
    <w:rsid w:val="004E7EB8"/>
    <w:rsid w:val="004F18F7"/>
    <w:rsid w:val="004F1BC4"/>
    <w:rsid w:val="004F7D76"/>
    <w:rsid w:val="00500CBD"/>
    <w:rsid w:val="005028A6"/>
    <w:rsid w:val="00505F53"/>
    <w:rsid w:val="0050770E"/>
    <w:rsid w:val="00510A03"/>
    <w:rsid w:val="00512BF0"/>
    <w:rsid w:val="005161FE"/>
    <w:rsid w:val="00525D63"/>
    <w:rsid w:val="0052604A"/>
    <w:rsid w:val="00526496"/>
    <w:rsid w:val="00533BEA"/>
    <w:rsid w:val="005345A5"/>
    <w:rsid w:val="005347E7"/>
    <w:rsid w:val="005352E9"/>
    <w:rsid w:val="00535604"/>
    <w:rsid w:val="00535D7E"/>
    <w:rsid w:val="0053788A"/>
    <w:rsid w:val="00540C32"/>
    <w:rsid w:val="00542379"/>
    <w:rsid w:val="00543729"/>
    <w:rsid w:val="0054492D"/>
    <w:rsid w:val="00545373"/>
    <w:rsid w:val="00547B57"/>
    <w:rsid w:val="00552358"/>
    <w:rsid w:val="00553D39"/>
    <w:rsid w:val="00565CFF"/>
    <w:rsid w:val="00566496"/>
    <w:rsid w:val="005666BA"/>
    <w:rsid w:val="00566F4A"/>
    <w:rsid w:val="0057329C"/>
    <w:rsid w:val="00575AAC"/>
    <w:rsid w:val="00576627"/>
    <w:rsid w:val="00576C18"/>
    <w:rsid w:val="00577A17"/>
    <w:rsid w:val="00580A8A"/>
    <w:rsid w:val="005817CF"/>
    <w:rsid w:val="00584941"/>
    <w:rsid w:val="00584B83"/>
    <w:rsid w:val="00587D61"/>
    <w:rsid w:val="00595AC6"/>
    <w:rsid w:val="005974FB"/>
    <w:rsid w:val="00597B39"/>
    <w:rsid w:val="005A07B9"/>
    <w:rsid w:val="005A69FD"/>
    <w:rsid w:val="005B1177"/>
    <w:rsid w:val="005B35DA"/>
    <w:rsid w:val="005B5D37"/>
    <w:rsid w:val="005B66E3"/>
    <w:rsid w:val="005C0D90"/>
    <w:rsid w:val="005C1BC9"/>
    <w:rsid w:val="005C4D7D"/>
    <w:rsid w:val="005D17F6"/>
    <w:rsid w:val="005D3769"/>
    <w:rsid w:val="005D7827"/>
    <w:rsid w:val="005E708D"/>
    <w:rsid w:val="005E7FF1"/>
    <w:rsid w:val="005F01B1"/>
    <w:rsid w:val="005F1400"/>
    <w:rsid w:val="005F55C0"/>
    <w:rsid w:val="005F6B7C"/>
    <w:rsid w:val="005F7125"/>
    <w:rsid w:val="00603D0E"/>
    <w:rsid w:val="006040E6"/>
    <w:rsid w:val="00611C7A"/>
    <w:rsid w:val="0061283D"/>
    <w:rsid w:val="0061374E"/>
    <w:rsid w:val="00613FBD"/>
    <w:rsid w:val="0061728A"/>
    <w:rsid w:val="006201F8"/>
    <w:rsid w:val="00620DEC"/>
    <w:rsid w:val="00622764"/>
    <w:rsid w:val="00622809"/>
    <w:rsid w:val="006317CD"/>
    <w:rsid w:val="00633019"/>
    <w:rsid w:val="00643642"/>
    <w:rsid w:val="00645635"/>
    <w:rsid w:val="0064658F"/>
    <w:rsid w:val="00647259"/>
    <w:rsid w:val="00647817"/>
    <w:rsid w:val="00650A83"/>
    <w:rsid w:val="006525DF"/>
    <w:rsid w:val="0065342F"/>
    <w:rsid w:val="00660184"/>
    <w:rsid w:val="006661D4"/>
    <w:rsid w:val="0067092E"/>
    <w:rsid w:val="00671AFC"/>
    <w:rsid w:val="00676690"/>
    <w:rsid w:val="006776AD"/>
    <w:rsid w:val="00680272"/>
    <w:rsid w:val="00681687"/>
    <w:rsid w:val="00684244"/>
    <w:rsid w:val="0069166A"/>
    <w:rsid w:val="0069262A"/>
    <w:rsid w:val="00692CFB"/>
    <w:rsid w:val="006948C8"/>
    <w:rsid w:val="006A2774"/>
    <w:rsid w:val="006A34C4"/>
    <w:rsid w:val="006A35C0"/>
    <w:rsid w:val="006A744A"/>
    <w:rsid w:val="006A7620"/>
    <w:rsid w:val="006A7E97"/>
    <w:rsid w:val="006B2DC4"/>
    <w:rsid w:val="006B4952"/>
    <w:rsid w:val="006C2A97"/>
    <w:rsid w:val="006D2780"/>
    <w:rsid w:val="006E2913"/>
    <w:rsid w:val="006E3096"/>
    <w:rsid w:val="006E34F5"/>
    <w:rsid w:val="006E3734"/>
    <w:rsid w:val="006E4F7B"/>
    <w:rsid w:val="006F01A3"/>
    <w:rsid w:val="006F045D"/>
    <w:rsid w:val="006F5671"/>
    <w:rsid w:val="006F5E27"/>
    <w:rsid w:val="006F75A1"/>
    <w:rsid w:val="006F7912"/>
    <w:rsid w:val="00700C29"/>
    <w:rsid w:val="00700FF3"/>
    <w:rsid w:val="00701E82"/>
    <w:rsid w:val="007038C2"/>
    <w:rsid w:val="00704D1D"/>
    <w:rsid w:val="00715201"/>
    <w:rsid w:val="00715291"/>
    <w:rsid w:val="00716270"/>
    <w:rsid w:val="00720EFB"/>
    <w:rsid w:val="00724116"/>
    <w:rsid w:val="00724945"/>
    <w:rsid w:val="00725B52"/>
    <w:rsid w:val="007277C9"/>
    <w:rsid w:val="007304DA"/>
    <w:rsid w:val="00731177"/>
    <w:rsid w:val="00731B4D"/>
    <w:rsid w:val="00731DF8"/>
    <w:rsid w:val="00736F99"/>
    <w:rsid w:val="007376BD"/>
    <w:rsid w:val="00746A23"/>
    <w:rsid w:val="00750AD4"/>
    <w:rsid w:val="007571F6"/>
    <w:rsid w:val="00760203"/>
    <w:rsid w:val="00760A73"/>
    <w:rsid w:val="0076241D"/>
    <w:rsid w:val="0076380E"/>
    <w:rsid w:val="0077279D"/>
    <w:rsid w:val="00780018"/>
    <w:rsid w:val="00781665"/>
    <w:rsid w:val="007817FC"/>
    <w:rsid w:val="007824EE"/>
    <w:rsid w:val="007831F4"/>
    <w:rsid w:val="00784F02"/>
    <w:rsid w:val="00790320"/>
    <w:rsid w:val="007933B8"/>
    <w:rsid w:val="007957B3"/>
    <w:rsid w:val="00796177"/>
    <w:rsid w:val="00797B45"/>
    <w:rsid w:val="007A0FDF"/>
    <w:rsid w:val="007A1065"/>
    <w:rsid w:val="007A35D2"/>
    <w:rsid w:val="007A5A29"/>
    <w:rsid w:val="007A6164"/>
    <w:rsid w:val="007B018D"/>
    <w:rsid w:val="007B4296"/>
    <w:rsid w:val="007B7E67"/>
    <w:rsid w:val="007C0D00"/>
    <w:rsid w:val="007C32FB"/>
    <w:rsid w:val="007C5F9A"/>
    <w:rsid w:val="007D407F"/>
    <w:rsid w:val="007D4112"/>
    <w:rsid w:val="007D7696"/>
    <w:rsid w:val="007E4571"/>
    <w:rsid w:val="007E7954"/>
    <w:rsid w:val="007E7D33"/>
    <w:rsid w:val="007F1AED"/>
    <w:rsid w:val="007F3398"/>
    <w:rsid w:val="007F450D"/>
    <w:rsid w:val="007F5853"/>
    <w:rsid w:val="008027F0"/>
    <w:rsid w:val="00803B88"/>
    <w:rsid w:val="008062D2"/>
    <w:rsid w:val="00810731"/>
    <w:rsid w:val="0081503C"/>
    <w:rsid w:val="0082202E"/>
    <w:rsid w:val="00830669"/>
    <w:rsid w:val="00833A1D"/>
    <w:rsid w:val="00834F2F"/>
    <w:rsid w:val="00835EEE"/>
    <w:rsid w:val="00836DB3"/>
    <w:rsid w:val="00837F9E"/>
    <w:rsid w:val="00841022"/>
    <w:rsid w:val="00841889"/>
    <w:rsid w:val="00846D96"/>
    <w:rsid w:val="00850237"/>
    <w:rsid w:val="008575AA"/>
    <w:rsid w:val="00857D45"/>
    <w:rsid w:val="00863B20"/>
    <w:rsid w:val="008643A4"/>
    <w:rsid w:val="00865E7F"/>
    <w:rsid w:val="00866130"/>
    <w:rsid w:val="00866B3E"/>
    <w:rsid w:val="008673AC"/>
    <w:rsid w:val="0087182B"/>
    <w:rsid w:val="00873291"/>
    <w:rsid w:val="00873D32"/>
    <w:rsid w:val="00874932"/>
    <w:rsid w:val="00874B4E"/>
    <w:rsid w:val="00875CC0"/>
    <w:rsid w:val="0087793B"/>
    <w:rsid w:val="0088648C"/>
    <w:rsid w:val="00886F06"/>
    <w:rsid w:val="00890E31"/>
    <w:rsid w:val="0089204F"/>
    <w:rsid w:val="0089450F"/>
    <w:rsid w:val="008A0490"/>
    <w:rsid w:val="008A20B5"/>
    <w:rsid w:val="008A3C68"/>
    <w:rsid w:val="008A3FD8"/>
    <w:rsid w:val="008B105D"/>
    <w:rsid w:val="008B1254"/>
    <w:rsid w:val="008B4552"/>
    <w:rsid w:val="008B56A3"/>
    <w:rsid w:val="008B580B"/>
    <w:rsid w:val="008B7644"/>
    <w:rsid w:val="008C2290"/>
    <w:rsid w:val="008C5B4E"/>
    <w:rsid w:val="008D3EFC"/>
    <w:rsid w:val="008D748C"/>
    <w:rsid w:val="008E0841"/>
    <w:rsid w:val="008E2B73"/>
    <w:rsid w:val="008F125E"/>
    <w:rsid w:val="009013D2"/>
    <w:rsid w:val="00901912"/>
    <w:rsid w:val="00902D5F"/>
    <w:rsid w:val="00904D7C"/>
    <w:rsid w:val="009115EC"/>
    <w:rsid w:val="00911A18"/>
    <w:rsid w:val="00912E14"/>
    <w:rsid w:val="009142FA"/>
    <w:rsid w:val="00915E03"/>
    <w:rsid w:val="009216E9"/>
    <w:rsid w:val="00924B9B"/>
    <w:rsid w:val="009321F4"/>
    <w:rsid w:val="00941BBE"/>
    <w:rsid w:val="00941F0A"/>
    <w:rsid w:val="00942AB7"/>
    <w:rsid w:val="00946AB2"/>
    <w:rsid w:val="00946DA3"/>
    <w:rsid w:val="009476D0"/>
    <w:rsid w:val="00950B3B"/>
    <w:rsid w:val="00951A89"/>
    <w:rsid w:val="00952103"/>
    <w:rsid w:val="00952863"/>
    <w:rsid w:val="00957B2E"/>
    <w:rsid w:val="009620D6"/>
    <w:rsid w:val="00963431"/>
    <w:rsid w:val="00963CAA"/>
    <w:rsid w:val="00964975"/>
    <w:rsid w:val="009653BF"/>
    <w:rsid w:val="009713C1"/>
    <w:rsid w:val="009714C0"/>
    <w:rsid w:val="00971DD5"/>
    <w:rsid w:val="00980000"/>
    <w:rsid w:val="009805A9"/>
    <w:rsid w:val="0098606C"/>
    <w:rsid w:val="00987C3B"/>
    <w:rsid w:val="0099321D"/>
    <w:rsid w:val="009A1BEE"/>
    <w:rsid w:val="009A2113"/>
    <w:rsid w:val="009A2465"/>
    <w:rsid w:val="009A7825"/>
    <w:rsid w:val="009B029C"/>
    <w:rsid w:val="009B1414"/>
    <w:rsid w:val="009B5296"/>
    <w:rsid w:val="009B6425"/>
    <w:rsid w:val="009C7421"/>
    <w:rsid w:val="009D1636"/>
    <w:rsid w:val="009E03FA"/>
    <w:rsid w:val="009E04A4"/>
    <w:rsid w:val="009E144D"/>
    <w:rsid w:val="009E162F"/>
    <w:rsid w:val="009E3FF4"/>
    <w:rsid w:val="009E40E6"/>
    <w:rsid w:val="009E5B4E"/>
    <w:rsid w:val="009E7859"/>
    <w:rsid w:val="009F37B8"/>
    <w:rsid w:val="00A0269F"/>
    <w:rsid w:val="00A0374F"/>
    <w:rsid w:val="00A0564F"/>
    <w:rsid w:val="00A0666D"/>
    <w:rsid w:val="00A1344A"/>
    <w:rsid w:val="00A138D7"/>
    <w:rsid w:val="00A14976"/>
    <w:rsid w:val="00A16170"/>
    <w:rsid w:val="00A1714C"/>
    <w:rsid w:val="00A2018C"/>
    <w:rsid w:val="00A209DD"/>
    <w:rsid w:val="00A20B7E"/>
    <w:rsid w:val="00A21B02"/>
    <w:rsid w:val="00A23140"/>
    <w:rsid w:val="00A30044"/>
    <w:rsid w:val="00A30572"/>
    <w:rsid w:val="00A31AB8"/>
    <w:rsid w:val="00A3386F"/>
    <w:rsid w:val="00A43193"/>
    <w:rsid w:val="00A4580A"/>
    <w:rsid w:val="00A51331"/>
    <w:rsid w:val="00A53D37"/>
    <w:rsid w:val="00A544DA"/>
    <w:rsid w:val="00A57607"/>
    <w:rsid w:val="00A64B8B"/>
    <w:rsid w:val="00A64D66"/>
    <w:rsid w:val="00A67F1E"/>
    <w:rsid w:val="00A71CFF"/>
    <w:rsid w:val="00A81559"/>
    <w:rsid w:val="00A8290C"/>
    <w:rsid w:val="00A83805"/>
    <w:rsid w:val="00A85B2A"/>
    <w:rsid w:val="00A87507"/>
    <w:rsid w:val="00A9437D"/>
    <w:rsid w:val="00A94594"/>
    <w:rsid w:val="00A95A06"/>
    <w:rsid w:val="00A97793"/>
    <w:rsid w:val="00AA171F"/>
    <w:rsid w:val="00AA1B56"/>
    <w:rsid w:val="00AA3F61"/>
    <w:rsid w:val="00AA7BE6"/>
    <w:rsid w:val="00AB67C7"/>
    <w:rsid w:val="00AC0F3B"/>
    <w:rsid w:val="00AC1991"/>
    <w:rsid w:val="00AC1C27"/>
    <w:rsid w:val="00AD373F"/>
    <w:rsid w:val="00AD4A5B"/>
    <w:rsid w:val="00AD4E4D"/>
    <w:rsid w:val="00AD699D"/>
    <w:rsid w:val="00AD769D"/>
    <w:rsid w:val="00AE01C0"/>
    <w:rsid w:val="00AE0842"/>
    <w:rsid w:val="00AE0B8B"/>
    <w:rsid w:val="00AE1B9B"/>
    <w:rsid w:val="00AE2E3C"/>
    <w:rsid w:val="00AE2F05"/>
    <w:rsid w:val="00AE6097"/>
    <w:rsid w:val="00AE724F"/>
    <w:rsid w:val="00AF1007"/>
    <w:rsid w:val="00AF3741"/>
    <w:rsid w:val="00AF664C"/>
    <w:rsid w:val="00B009F1"/>
    <w:rsid w:val="00B0154C"/>
    <w:rsid w:val="00B0467B"/>
    <w:rsid w:val="00B05F35"/>
    <w:rsid w:val="00B05F67"/>
    <w:rsid w:val="00B10BC2"/>
    <w:rsid w:val="00B12468"/>
    <w:rsid w:val="00B1255D"/>
    <w:rsid w:val="00B17A0F"/>
    <w:rsid w:val="00B2548C"/>
    <w:rsid w:val="00B257C6"/>
    <w:rsid w:val="00B277BB"/>
    <w:rsid w:val="00B33B12"/>
    <w:rsid w:val="00B35358"/>
    <w:rsid w:val="00B35B4D"/>
    <w:rsid w:val="00B41E77"/>
    <w:rsid w:val="00B426C1"/>
    <w:rsid w:val="00B459B4"/>
    <w:rsid w:val="00B46F36"/>
    <w:rsid w:val="00B477F8"/>
    <w:rsid w:val="00B52B97"/>
    <w:rsid w:val="00B550C7"/>
    <w:rsid w:val="00B5607F"/>
    <w:rsid w:val="00B564FC"/>
    <w:rsid w:val="00B5655A"/>
    <w:rsid w:val="00B57C20"/>
    <w:rsid w:val="00B6392A"/>
    <w:rsid w:val="00B647F5"/>
    <w:rsid w:val="00B64BE1"/>
    <w:rsid w:val="00B71E7C"/>
    <w:rsid w:val="00B72AF0"/>
    <w:rsid w:val="00B75B84"/>
    <w:rsid w:val="00B76F1C"/>
    <w:rsid w:val="00B80DDD"/>
    <w:rsid w:val="00B821EF"/>
    <w:rsid w:val="00B827F8"/>
    <w:rsid w:val="00B861AB"/>
    <w:rsid w:val="00B86AD4"/>
    <w:rsid w:val="00B87DF6"/>
    <w:rsid w:val="00B92D82"/>
    <w:rsid w:val="00B95497"/>
    <w:rsid w:val="00B9574A"/>
    <w:rsid w:val="00B96220"/>
    <w:rsid w:val="00BA3DF7"/>
    <w:rsid w:val="00BA5855"/>
    <w:rsid w:val="00BB18F9"/>
    <w:rsid w:val="00BB714F"/>
    <w:rsid w:val="00BC03CC"/>
    <w:rsid w:val="00BC25FD"/>
    <w:rsid w:val="00BC26F8"/>
    <w:rsid w:val="00BC5636"/>
    <w:rsid w:val="00BD36D5"/>
    <w:rsid w:val="00BD619E"/>
    <w:rsid w:val="00BE0484"/>
    <w:rsid w:val="00BE2F04"/>
    <w:rsid w:val="00BE5A60"/>
    <w:rsid w:val="00BF00E9"/>
    <w:rsid w:val="00BF3D31"/>
    <w:rsid w:val="00C00B93"/>
    <w:rsid w:val="00C015DF"/>
    <w:rsid w:val="00C01F5B"/>
    <w:rsid w:val="00C02B3F"/>
    <w:rsid w:val="00C03646"/>
    <w:rsid w:val="00C04364"/>
    <w:rsid w:val="00C05CC1"/>
    <w:rsid w:val="00C10BBB"/>
    <w:rsid w:val="00C12E97"/>
    <w:rsid w:val="00C16FCB"/>
    <w:rsid w:val="00C211D3"/>
    <w:rsid w:val="00C21391"/>
    <w:rsid w:val="00C27758"/>
    <w:rsid w:val="00C31621"/>
    <w:rsid w:val="00C326F9"/>
    <w:rsid w:val="00C34152"/>
    <w:rsid w:val="00C35C78"/>
    <w:rsid w:val="00C36049"/>
    <w:rsid w:val="00C36B07"/>
    <w:rsid w:val="00C378A0"/>
    <w:rsid w:val="00C413A4"/>
    <w:rsid w:val="00C41ED7"/>
    <w:rsid w:val="00C43278"/>
    <w:rsid w:val="00C449B7"/>
    <w:rsid w:val="00C450C7"/>
    <w:rsid w:val="00C45E4C"/>
    <w:rsid w:val="00C46320"/>
    <w:rsid w:val="00C5109F"/>
    <w:rsid w:val="00C5583E"/>
    <w:rsid w:val="00C572E2"/>
    <w:rsid w:val="00C57E7F"/>
    <w:rsid w:val="00C60347"/>
    <w:rsid w:val="00C62D3D"/>
    <w:rsid w:val="00C64489"/>
    <w:rsid w:val="00C65E40"/>
    <w:rsid w:val="00C667E4"/>
    <w:rsid w:val="00C7144B"/>
    <w:rsid w:val="00C774F8"/>
    <w:rsid w:val="00C80E24"/>
    <w:rsid w:val="00C815FB"/>
    <w:rsid w:val="00C83FEA"/>
    <w:rsid w:val="00C84F77"/>
    <w:rsid w:val="00C8659F"/>
    <w:rsid w:val="00C87BAA"/>
    <w:rsid w:val="00C9286D"/>
    <w:rsid w:val="00C92F8A"/>
    <w:rsid w:val="00C938A2"/>
    <w:rsid w:val="00C9437B"/>
    <w:rsid w:val="00CA3D05"/>
    <w:rsid w:val="00CA4F17"/>
    <w:rsid w:val="00CB72E7"/>
    <w:rsid w:val="00CC24E1"/>
    <w:rsid w:val="00CC3BA1"/>
    <w:rsid w:val="00CC59F2"/>
    <w:rsid w:val="00CC5C3A"/>
    <w:rsid w:val="00CC6414"/>
    <w:rsid w:val="00CC6CEE"/>
    <w:rsid w:val="00CD7BDE"/>
    <w:rsid w:val="00CE2E03"/>
    <w:rsid w:val="00CE4E72"/>
    <w:rsid w:val="00CE5D23"/>
    <w:rsid w:val="00CF0230"/>
    <w:rsid w:val="00CF59D0"/>
    <w:rsid w:val="00D02CC1"/>
    <w:rsid w:val="00D057F0"/>
    <w:rsid w:val="00D06585"/>
    <w:rsid w:val="00D077F7"/>
    <w:rsid w:val="00D12D81"/>
    <w:rsid w:val="00D13A38"/>
    <w:rsid w:val="00D14002"/>
    <w:rsid w:val="00D146B2"/>
    <w:rsid w:val="00D17A11"/>
    <w:rsid w:val="00D258B3"/>
    <w:rsid w:val="00D26F85"/>
    <w:rsid w:val="00D3390F"/>
    <w:rsid w:val="00D34B24"/>
    <w:rsid w:val="00D35431"/>
    <w:rsid w:val="00D35592"/>
    <w:rsid w:val="00D359B5"/>
    <w:rsid w:val="00D438CD"/>
    <w:rsid w:val="00D47433"/>
    <w:rsid w:val="00D476C1"/>
    <w:rsid w:val="00D5384C"/>
    <w:rsid w:val="00D53C2E"/>
    <w:rsid w:val="00D55F12"/>
    <w:rsid w:val="00D60598"/>
    <w:rsid w:val="00D6245A"/>
    <w:rsid w:val="00D738BB"/>
    <w:rsid w:val="00D74DF6"/>
    <w:rsid w:val="00D75117"/>
    <w:rsid w:val="00D766B3"/>
    <w:rsid w:val="00D77B49"/>
    <w:rsid w:val="00D83AFF"/>
    <w:rsid w:val="00D84A24"/>
    <w:rsid w:val="00D86140"/>
    <w:rsid w:val="00D861DA"/>
    <w:rsid w:val="00D8687C"/>
    <w:rsid w:val="00D86B72"/>
    <w:rsid w:val="00D928C3"/>
    <w:rsid w:val="00D92BF1"/>
    <w:rsid w:val="00D93A28"/>
    <w:rsid w:val="00D954A1"/>
    <w:rsid w:val="00D96EB6"/>
    <w:rsid w:val="00DA3D72"/>
    <w:rsid w:val="00DA5C45"/>
    <w:rsid w:val="00DA5C74"/>
    <w:rsid w:val="00DB18E2"/>
    <w:rsid w:val="00DB69C1"/>
    <w:rsid w:val="00DB776C"/>
    <w:rsid w:val="00DB79F3"/>
    <w:rsid w:val="00DB7B03"/>
    <w:rsid w:val="00DC2513"/>
    <w:rsid w:val="00DC7E58"/>
    <w:rsid w:val="00DD43D4"/>
    <w:rsid w:val="00DD442A"/>
    <w:rsid w:val="00DD4B48"/>
    <w:rsid w:val="00DD55DC"/>
    <w:rsid w:val="00DE13E9"/>
    <w:rsid w:val="00DE2875"/>
    <w:rsid w:val="00DE3312"/>
    <w:rsid w:val="00DE3AAA"/>
    <w:rsid w:val="00DE3DE5"/>
    <w:rsid w:val="00DF2D13"/>
    <w:rsid w:val="00DF328F"/>
    <w:rsid w:val="00DF4E4F"/>
    <w:rsid w:val="00E00229"/>
    <w:rsid w:val="00E047E8"/>
    <w:rsid w:val="00E057E1"/>
    <w:rsid w:val="00E07418"/>
    <w:rsid w:val="00E11829"/>
    <w:rsid w:val="00E13BEC"/>
    <w:rsid w:val="00E14BA5"/>
    <w:rsid w:val="00E208E8"/>
    <w:rsid w:val="00E21478"/>
    <w:rsid w:val="00E223DE"/>
    <w:rsid w:val="00E22AC8"/>
    <w:rsid w:val="00E230F1"/>
    <w:rsid w:val="00E233FB"/>
    <w:rsid w:val="00E251C0"/>
    <w:rsid w:val="00E3240C"/>
    <w:rsid w:val="00E430C9"/>
    <w:rsid w:val="00E43A6C"/>
    <w:rsid w:val="00E53D6E"/>
    <w:rsid w:val="00E61CC1"/>
    <w:rsid w:val="00E62CA9"/>
    <w:rsid w:val="00E63DB1"/>
    <w:rsid w:val="00E71982"/>
    <w:rsid w:val="00E73CC1"/>
    <w:rsid w:val="00E75016"/>
    <w:rsid w:val="00E7678B"/>
    <w:rsid w:val="00E76A9F"/>
    <w:rsid w:val="00E81BA0"/>
    <w:rsid w:val="00E84AB8"/>
    <w:rsid w:val="00E854D5"/>
    <w:rsid w:val="00E861C3"/>
    <w:rsid w:val="00E87F26"/>
    <w:rsid w:val="00E94389"/>
    <w:rsid w:val="00E97610"/>
    <w:rsid w:val="00EA3E72"/>
    <w:rsid w:val="00EA433B"/>
    <w:rsid w:val="00EA4AC9"/>
    <w:rsid w:val="00EA6234"/>
    <w:rsid w:val="00EB2E77"/>
    <w:rsid w:val="00EB401F"/>
    <w:rsid w:val="00EB5767"/>
    <w:rsid w:val="00EB593F"/>
    <w:rsid w:val="00EC55EC"/>
    <w:rsid w:val="00EC5D9E"/>
    <w:rsid w:val="00EC67BF"/>
    <w:rsid w:val="00ED14BD"/>
    <w:rsid w:val="00ED7217"/>
    <w:rsid w:val="00EE0956"/>
    <w:rsid w:val="00EE1E20"/>
    <w:rsid w:val="00EE3474"/>
    <w:rsid w:val="00EE391A"/>
    <w:rsid w:val="00EE5A26"/>
    <w:rsid w:val="00EE7D4B"/>
    <w:rsid w:val="00EF378D"/>
    <w:rsid w:val="00EF4F7D"/>
    <w:rsid w:val="00EF65CB"/>
    <w:rsid w:val="00EF6EB0"/>
    <w:rsid w:val="00F00CA7"/>
    <w:rsid w:val="00F026C0"/>
    <w:rsid w:val="00F03501"/>
    <w:rsid w:val="00F03F68"/>
    <w:rsid w:val="00F066C5"/>
    <w:rsid w:val="00F14B1C"/>
    <w:rsid w:val="00F15B24"/>
    <w:rsid w:val="00F15E02"/>
    <w:rsid w:val="00F17180"/>
    <w:rsid w:val="00F1735E"/>
    <w:rsid w:val="00F256C2"/>
    <w:rsid w:val="00F2582C"/>
    <w:rsid w:val="00F271CD"/>
    <w:rsid w:val="00F27B8D"/>
    <w:rsid w:val="00F31A9F"/>
    <w:rsid w:val="00F37E65"/>
    <w:rsid w:val="00F40524"/>
    <w:rsid w:val="00F45B68"/>
    <w:rsid w:val="00F47401"/>
    <w:rsid w:val="00F5367C"/>
    <w:rsid w:val="00F54F53"/>
    <w:rsid w:val="00F554D2"/>
    <w:rsid w:val="00F60DF2"/>
    <w:rsid w:val="00F63C9E"/>
    <w:rsid w:val="00F643A7"/>
    <w:rsid w:val="00F64D38"/>
    <w:rsid w:val="00F679C6"/>
    <w:rsid w:val="00F706B0"/>
    <w:rsid w:val="00F720AA"/>
    <w:rsid w:val="00F76F99"/>
    <w:rsid w:val="00F77052"/>
    <w:rsid w:val="00F828E1"/>
    <w:rsid w:val="00F86264"/>
    <w:rsid w:val="00F8687E"/>
    <w:rsid w:val="00F908D1"/>
    <w:rsid w:val="00FA034C"/>
    <w:rsid w:val="00FA23F7"/>
    <w:rsid w:val="00FA2755"/>
    <w:rsid w:val="00FA2A54"/>
    <w:rsid w:val="00FA2C91"/>
    <w:rsid w:val="00FA6129"/>
    <w:rsid w:val="00FA6FEA"/>
    <w:rsid w:val="00FA7643"/>
    <w:rsid w:val="00FB3BF7"/>
    <w:rsid w:val="00FB4E2A"/>
    <w:rsid w:val="00FB7E9C"/>
    <w:rsid w:val="00FC0D74"/>
    <w:rsid w:val="00FC366E"/>
    <w:rsid w:val="00FC42EE"/>
    <w:rsid w:val="00FD045C"/>
    <w:rsid w:val="00FD500E"/>
    <w:rsid w:val="00FD599E"/>
    <w:rsid w:val="00FD5B01"/>
    <w:rsid w:val="00FD7832"/>
    <w:rsid w:val="00FE3C51"/>
    <w:rsid w:val="00FE5DB4"/>
    <w:rsid w:val="00FE6D8D"/>
    <w:rsid w:val="00FF194E"/>
    <w:rsid w:val="00FF1BE3"/>
    <w:rsid w:val="00FF40C3"/>
    <w:rsid w:val="00FF4836"/>
    <w:rsid w:val="00FF4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6F7CBD2-1054-4CF0-988D-A5576A38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03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5C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0C7"/>
    <w:rPr>
      <w:sz w:val="18"/>
      <w:szCs w:val="18"/>
    </w:rPr>
  </w:style>
  <w:style w:type="paragraph" w:styleId="a4">
    <w:name w:val="footer"/>
    <w:basedOn w:val="a"/>
    <w:link w:val="Char0"/>
    <w:uiPriority w:val="99"/>
    <w:unhideWhenUsed/>
    <w:rsid w:val="00C450C7"/>
    <w:pPr>
      <w:tabs>
        <w:tab w:val="center" w:pos="4153"/>
        <w:tab w:val="right" w:pos="8306"/>
      </w:tabs>
      <w:snapToGrid w:val="0"/>
      <w:jc w:val="left"/>
    </w:pPr>
    <w:rPr>
      <w:sz w:val="18"/>
      <w:szCs w:val="18"/>
    </w:rPr>
  </w:style>
  <w:style w:type="character" w:customStyle="1" w:styleId="Char0">
    <w:name w:val="页脚 Char"/>
    <w:basedOn w:val="a0"/>
    <w:link w:val="a4"/>
    <w:uiPriority w:val="99"/>
    <w:rsid w:val="00C450C7"/>
    <w:rPr>
      <w:sz w:val="18"/>
      <w:szCs w:val="18"/>
    </w:rPr>
  </w:style>
  <w:style w:type="paragraph" w:styleId="a5">
    <w:name w:val="List Paragraph"/>
    <w:basedOn w:val="a"/>
    <w:link w:val="Char1"/>
    <w:uiPriority w:val="34"/>
    <w:qFormat/>
    <w:rsid w:val="00C450C7"/>
    <w:pPr>
      <w:ind w:firstLineChars="200" w:firstLine="420"/>
    </w:pPr>
  </w:style>
  <w:style w:type="paragraph" w:styleId="a6">
    <w:name w:val="Normal (Web)"/>
    <w:basedOn w:val="a"/>
    <w:uiPriority w:val="99"/>
    <w:unhideWhenUsed/>
    <w:rsid w:val="0034077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D442A"/>
    <w:rPr>
      <w:b/>
      <w:bCs/>
    </w:rPr>
  </w:style>
  <w:style w:type="character" w:customStyle="1" w:styleId="apple-converted-space">
    <w:name w:val="apple-converted-space"/>
    <w:basedOn w:val="a0"/>
    <w:rsid w:val="00DD442A"/>
  </w:style>
  <w:style w:type="character" w:customStyle="1" w:styleId="1Char">
    <w:name w:val="标题 1 Char"/>
    <w:basedOn w:val="a0"/>
    <w:link w:val="1"/>
    <w:uiPriority w:val="9"/>
    <w:rsid w:val="003703FD"/>
    <w:rPr>
      <w:b/>
      <w:bCs/>
      <w:kern w:val="44"/>
      <w:sz w:val="44"/>
      <w:szCs w:val="44"/>
    </w:rPr>
  </w:style>
  <w:style w:type="paragraph" w:styleId="TOC">
    <w:name w:val="TOC Heading"/>
    <w:basedOn w:val="1"/>
    <w:next w:val="a"/>
    <w:uiPriority w:val="39"/>
    <w:unhideWhenUsed/>
    <w:qFormat/>
    <w:rsid w:val="003703F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F3D31"/>
    <w:pPr>
      <w:tabs>
        <w:tab w:val="left" w:pos="630"/>
        <w:tab w:val="right" w:leader="dot" w:pos="8296"/>
      </w:tabs>
    </w:pPr>
  </w:style>
  <w:style w:type="character" w:styleId="a8">
    <w:name w:val="Hyperlink"/>
    <w:basedOn w:val="a0"/>
    <w:uiPriority w:val="99"/>
    <w:unhideWhenUsed/>
    <w:rsid w:val="003703FD"/>
    <w:rPr>
      <w:color w:val="0563C1" w:themeColor="hyperlink"/>
      <w:u w:val="single"/>
    </w:rPr>
  </w:style>
  <w:style w:type="character" w:customStyle="1" w:styleId="Char1">
    <w:name w:val="列出段落 Char"/>
    <w:link w:val="a5"/>
    <w:uiPriority w:val="34"/>
    <w:qFormat/>
    <w:rsid w:val="001B6CE9"/>
  </w:style>
  <w:style w:type="table" w:customStyle="1" w:styleId="4-21">
    <w:name w:val="网格表 4 - 着色 21"/>
    <w:basedOn w:val="a1"/>
    <w:uiPriority w:val="49"/>
    <w:qFormat/>
    <w:rsid w:val="00323E43"/>
    <w:rPr>
      <w:kern w:val="0"/>
      <w:sz w:val="20"/>
      <w:szCs w:val="20"/>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9">
    <w:name w:val="Plain Text"/>
    <w:basedOn w:val="a"/>
    <w:link w:val="Char2"/>
    <w:uiPriority w:val="99"/>
    <w:qFormat/>
    <w:rsid w:val="000A5171"/>
    <w:rPr>
      <w:rFonts w:ascii="宋体" w:hAnsi="Courier New"/>
      <w:szCs w:val="24"/>
    </w:rPr>
  </w:style>
  <w:style w:type="character" w:customStyle="1" w:styleId="Char2">
    <w:name w:val="纯文本 Char"/>
    <w:basedOn w:val="a0"/>
    <w:link w:val="a9"/>
    <w:uiPriority w:val="99"/>
    <w:rsid w:val="000A5171"/>
    <w:rPr>
      <w:rFonts w:ascii="宋体" w:hAnsi="Courier New"/>
      <w:szCs w:val="24"/>
    </w:rPr>
  </w:style>
  <w:style w:type="paragraph" w:styleId="aa">
    <w:name w:val="Body Text"/>
    <w:aliases w:val="正文文字,Char Char,Char Char Char Char Char,Char Char Char Char"/>
    <w:basedOn w:val="a"/>
    <w:link w:val="Char3"/>
    <w:uiPriority w:val="99"/>
    <w:rsid w:val="00A64B8B"/>
    <w:pPr>
      <w:widowControl/>
      <w:adjustRightInd w:val="0"/>
      <w:snapToGrid w:val="0"/>
      <w:spacing w:beforeLines="100" w:line="300" w:lineRule="auto"/>
      <w:ind w:firstLineChars="200" w:firstLine="420"/>
    </w:pPr>
    <w:rPr>
      <w:rFonts w:ascii="Arial" w:eastAsia="楷体_GB2312" w:hAnsi="Arial" w:cs="Times New Roman"/>
      <w:kern w:val="0"/>
      <w:szCs w:val="20"/>
      <w:lang w:bidi="he-IL"/>
    </w:rPr>
  </w:style>
  <w:style w:type="character" w:customStyle="1" w:styleId="Char3">
    <w:name w:val="正文文本 Char"/>
    <w:aliases w:val="正文文字 Char,Char Char Char,Char Char Char Char Char Char,Char Char Char Char Char1"/>
    <w:basedOn w:val="a0"/>
    <w:link w:val="aa"/>
    <w:uiPriority w:val="99"/>
    <w:rsid w:val="00A64B8B"/>
    <w:rPr>
      <w:rFonts w:ascii="Arial" w:eastAsia="楷体_GB2312" w:hAnsi="Arial" w:cs="Times New Roman"/>
      <w:kern w:val="0"/>
      <w:szCs w:val="20"/>
      <w:lang w:bidi="he-IL"/>
    </w:rPr>
  </w:style>
  <w:style w:type="table" w:customStyle="1" w:styleId="3-22">
    <w:name w:val="清单表 3 - 着色 22"/>
    <w:basedOn w:val="a1"/>
    <w:uiPriority w:val="48"/>
    <w:qFormat/>
    <w:rsid w:val="00952863"/>
    <w:rPr>
      <w:kern w:val="0"/>
      <w:sz w:val="20"/>
      <w:szCs w:val="20"/>
    </w:rPr>
    <w:tblPr>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1-21">
    <w:name w:val="网格表 1 浅色 - 着色 21"/>
    <w:basedOn w:val="a1"/>
    <w:uiPriority w:val="46"/>
    <w:rsid w:val="0095286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ab">
    <w:name w:val="Table Grid"/>
    <w:basedOn w:val="a1"/>
    <w:uiPriority w:val="39"/>
    <w:rsid w:val="002E4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B6D75"/>
    <w:pPr>
      <w:widowControl w:val="0"/>
      <w:autoSpaceDE w:val="0"/>
      <w:autoSpaceDN w:val="0"/>
      <w:adjustRightInd w:val="0"/>
    </w:pPr>
    <w:rPr>
      <w:rFonts w:ascii="华文中宋" w:eastAsia="华文中宋" w:cs="华文中宋"/>
      <w:color w:val="000000"/>
      <w:kern w:val="0"/>
      <w:sz w:val="24"/>
      <w:szCs w:val="24"/>
    </w:rPr>
  </w:style>
  <w:style w:type="paragraph" w:styleId="ac">
    <w:name w:val="Body Text Indent"/>
    <w:basedOn w:val="a"/>
    <w:link w:val="Char4"/>
    <w:uiPriority w:val="99"/>
    <w:unhideWhenUsed/>
    <w:rsid w:val="00252CBB"/>
    <w:pPr>
      <w:spacing w:after="120"/>
      <w:ind w:leftChars="200" w:left="420"/>
    </w:pPr>
  </w:style>
  <w:style w:type="character" w:customStyle="1" w:styleId="Char4">
    <w:name w:val="正文文本缩进 Char"/>
    <w:basedOn w:val="a0"/>
    <w:link w:val="ac"/>
    <w:uiPriority w:val="99"/>
    <w:rsid w:val="00252CBB"/>
  </w:style>
  <w:style w:type="character" w:customStyle="1" w:styleId="2Char">
    <w:name w:val="标题 2 Char"/>
    <w:basedOn w:val="a0"/>
    <w:link w:val="2"/>
    <w:uiPriority w:val="9"/>
    <w:semiHidden/>
    <w:rsid w:val="00C05CC1"/>
    <w:rPr>
      <w:rFonts w:asciiTheme="majorHAnsi" w:eastAsiaTheme="majorEastAsia" w:hAnsiTheme="majorHAnsi" w:cstheme="majorBidi"/>
      <w:b/>
      <w:bCs/>
      <w:sz w:val="32"/>
      <w:szCs w:val="32"/>
    </w:rPr>
  </w:style>
  <w:style w:type="table" w:styleId="4-6">
    <w:name w:val="Grid Table 4 Accent 6"/>
    <w:basedOn w:val="a1"/>
    <w:uiPriority w:val="49"/>
    <w:rsid w:val="00427C9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1">
    <w:name w:val="Grid Table 4 Accent 1"/>
    <w:basedOn w:val="a1"/>
    <w:uiPriority w:val="49"/>
    <w:rsid w:val="00427C9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20">
    <w:name w:val="toc 2"/>
    <w:basedOn w:val="a"/>
    <w:next w:val="a"/>
    <w:autoRedefine/>
    <w:uiPriority w:val="39"/>
    <w:unhideWhenUsed/>
    <w:rsid w:val="00437673"/>
    <w:pPr>
      <w:ind w:leftChars="200" w:left="420"/>
    </w:pPr>
  </w:style>
  <w:style w:type="character" w:styleId="ad">
    <w:name w:val="annotation reference"/>
    <w:basedOn w:val="a0"/>
    <w:uiPriority w:val="99"/>
    <w:semiHidden/>
    <w:unhideWhenUsed/>
    <w:rsid w:val="00F45B68"/>
    <w:rPr>
      <w:sz w:val="21"/>
      <w:szCs w:val="21"/>
    </w:rPr>
  </w:style>
  <w:style w:type="paragraph" w:styleId="ae">
    <w:name w:val="annotation text"/>
    <w:basedOn w:val="a"/>
    <w:link w:val="Char5"/>
    <w:uiPriority w:val="99"/>
    <w:semiHidden/>
    <w:unhideWhenUsed/>
    <w:rsid w:val="00F45B68"/>
    <w:pPr>
      <w:jc w:val="left"/>
    </w:pPr>
  </w:style>
  <w:style w:type="character" w:customStyle="1" w:styleId="Char5">
    <w:name w:val="批注文字 Char"/>
    <w:basedOn w:val="a0"/>
    <w:link w:val="ae"/>
    <w:uiPriority w:val="99"/>
    <w:semiHidden/>
    <w:rsid w:val="00F45B68"/>
  </w:style>
  <w:style w:type="paragraph" w:styleId="af">
    <w:name w:val="Balloon Text"/>
    <w:basedOn w:val="a"/>
    <w:link w:val="Char6"/>
    <w:uiPriority w:val="99"/>
    <w:semiHidden/>
    <w:unhideWhenUsed/>
    <w:rsid w:val="00F45B68"/>
    <w:rPr>
      <w:sz w:val="18"/>
      <w:szCs w:val="18"/>
    </w:rPr>
  </w:style>
  <w:style w:type="character" w:customStyle="1" w:styleId="Char6">
    <w:name w:val="批注框文本 Char"/>
    <w:basedOn w:val="a0"/>
    <w:link w:val="af"/>
    <w:uiPriority w:val="99"/>
    <w:semiHidden/>
    <w:rsid w:val="00F45B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058">
      <w:bodyDiv w:val="1"/>
      <w:marLeft w:val="0"/>
      <w:marRight w:val="0"/>
      <w:marTop w:val="0"/>
      <w:marBottom w:val="0"/>
      <w:divBdr>
        <w:top w:val="none" w:sz="0" w:space="0" w:color="auto"/>
        <w:left w:val="none" w:sz="0" w:space="0" w:color="auto"/>
        <w:bottom w:val="none" w:sz="0" w:space="0" w:color="auto"/>
        <w:right w:val="none" w:sz="0" w:space="0" w:color="auto"/>
      </w:divBdr>
    </w:div>
    <w:div w:id="84151395">
      <w:bodyDiv w:val="1"/>
      <w:marLeft w:val="0"/>
      <w:marRight w:val="0"/>
      <w:marTop w:val="0"/>
      <w:marBottom w:val="0"/>
      <w:divBdr>
        <w:top w:val="none" w:sz="0" w:space="0" w:color="auto"/>
        <w:left w:val="none" w:sz="0" w:space="0" w:color="auto"/>
        <w:bottom w:val="none" w:sz="0" w:space="0" w:color="auto"/>
        <w:right w:val="none" w:sz="0" w:space="0" w:color="auto"/>
      </w:divBdr>
    </w:div>
    <w:div w:id="89474889">
      <w:bodyDiv w:val="1"/>
      <w:marLeft w:val="0"/>
      <w:marRight w:val="0"/>
      <w:marTop w:val="0"/>
      <w:marBottom w:val="0"/>
      <w:divBdr>
        <w:top w:val="none" w:sz="0" w:space="0" w:color="auto"/>
        <w:left w:val="none" w:sz="0" w:space="0" w:color="auto"/>
        <w:bottom w:val="none" w:sz="0" w:space="0" w:color="auto"/>
        <w:right w:val="none" w:sz="0" w:space="0" w:color="auto"/>
      </w:divBdr>
      <w:divsChild>
        <w:div w:id="1251085867">
          <w:marLeft w:val="446"/>
          <w:marRight w:val="0"/>
          <w:marTop w:val="0"/>
          <w:marBottom w:val="0"/>
          <w:divBdr>
            <w:top w:val="none" w:sz="0" w:space="0" w:color="auto"/>
            <w:left w:val="none" w:sz="0" w:space="0" w:color="auto"/>
            <w:bottom w:val="none" w:sz="0" w:space="0" w:color="auto"/>
            <w:right w:val="none" w:sz="0" w:space="0" w:color="auto"/>
          </w:divBdr>
        </w:div>
        <w:div w:id="277219154">
          <w:marLeft w:val="446"/>
          <w:marRight w:val="0"/>
          <w:marTop w:val="0"/>
          <w:marBottom w:val="0"/>
          <w:divBdr>
            <w:top w:val="none" w:sz="0" w:space="0" w:color="auto"/>
            <w:left w:val="none" w:sz="0" w:space="0" w:color="auto"/>
            <w:bottom w:val="none" w:sz="0" w:space="0" w:color="auto"/>
            <w:right w:val="none" w:sz="0" w:space="0" w:color="auto"/>
          </w:divBdr>
        </w:div>
        <w:div w:id="1860898530">
          <w:marLeft w:val="446"/>
          <w:marRight w:val="0"/>
          <w:marTop w:val="0"/>
          <w:marBottom w:val="0"/>
          <w:divBdr>
            <w:top w:val="none" w:sz="0" w:space="0" w:color="auto"/>
            <w:left w:val="none" w:sz="0" w:space="0" w:color="auto"/>
            <w:bottom w:val="none" w:sz="0" w:space="0" w:color="auto"/>
            <w:right w:val="none" w:sz="0" w:space="0" w:color="auto"/>
          </w:divBdr>
        </w:div>
        <w:div w:id="680663599">
          <w:marLeft w:val="446"/>
          <w:marRight w:val="0"/>
          <w:marTop w:val="0"/>
          <w:marBottom w:val="0"/>
          <w:divBdr>
            <w:top w:val="none" w:sz="0" w:space="0" w:color="auto"/>
            <w:left w:val="none" w:sz="0" w:space="0" w:color="auto"/>
            <w:bottom w:val="none" w:sz="0" w:space="0" w:color="auto"/>
            <w:right w:val="none" w:sz="0" w:space="0" w:color="auto"/>
          </w:divBdr>
        </w:div>
      </w:divsChild>
    </w:div>
    <w:div w:id="90049375">
      <w:bodyDiv w:val="1"/>
      <w:marLeft w:val="0"/>
      <w:marRight w:val="0"/>
      <w:marTop w:val="0"/>
      <w:marBottom w:val="0"/>
      <w:divBdr>
        <w:top w:val="none" w:sz="0" w:space="0" w:color="auto"/>
        <w:left w:val="none" w:sz="0" w:space="0" w:color="auto"/>
        <w:bottom w:val="none" w:sz="0" w:space="0" w:color="auto"/>
        <w:right w:val="none" w:sz="0" w:space="0" w:color="auto"/>
      </w:divBdr>
    </w:div>
    <w:div w:id="112096658">
      <w:bodyDiv w:val="1"/>
      <w:marLeft w:val="0"/>
      <w:marRight w:val="0"/>
      <w:marTop w:val="0"/>
      <w:marBottom w:val="0"/>
      <w:divBdr>
        <w:top w:val="none" w:sz="0" w:space="0" w:color="auto"/>
        <w:left w:val="none" w:sz="0" w:space="0" w:color="auto"/>
        <w:bottom w:val="none" w:sz="0" w:space="0" w:color="auto"/>
        <w:right w:val="none" w:sz="0" w:space="0" w:color="auto"/>
      </w:divBdr>
      <w:divsChild>
        <w:div w:id="1130586478">
          <w:marLeft w:val="547"/>
          <w:marRight w:val="0"/>
          <w:marTop w:val="0"/>
          <w:marBottom w:val="0"/>
          <w:divBdr>
            <w:top w:val="none" w:sz="0" w:space="0" w:color="auto"/>
            <w:left w:val="none" w:sz="0" w:space="0" w:color="auto"/>
            <w:bottom w:val="none" w:sz="0" w:space="0" w:color="auto"/>
            <w:right w:val="none" w:sz="0" w:space="0" w:color="auto"/>
          </w:divBdr>
        </w:div>
        <w:div w:id="896086219">
          <w:marLeft w:val="547"/>
          <w:marRight w:val="0"/>
          <w:marTop w:val="0"/>
          <w:marBottom w:val="0"/>
          <w:divBdr>
            <w:top w:val="none" w:sz="0" w:space="0" w:color="auto"/>
            <w:left w:val="none" w:sz="0" w:space="0" w:color="auto"/>
            <w:bottom w:val="none" w:sz="0" w:space="0" w:color="auto"/>
            <w:right w:val="none" w:sz="0" w:space="0" w:color="auto"/>
          </w:divBdr>
        </w:div>
        <w:div w:id="1176456688">
          <w:marLeft w:val="547"/>
          <w:marRight w:val="0"/>
          <w:marTop w:val="0"/>
          <w:marBottom w:val="0"/>
          <w:divBdr>
            <w:top w:val="none" w:sz="0" w:space="0" w:color="auto"/>
            <w:left w:val="none" w:sz="0" w:space="0" w:color="auto"/>
            <w:bottom w:val="none" w:sz="0" w:space="0" w:color="auto"/>
            <w:right w:val="none" w:sz="0" w:space="0" w:color="auto"/>
          </w:divBdr>
        </w:div>
      </w:divsChild>
    </w:div>
    <w:div w:id="188837086">
      <w:bodyDiv w:val="1"/>
      <w:marLeft w:val="0"/>
      <w:marRight w:val="0"/>
      <w:marTop w:val="0"/>
      <w:marBottom w:val="0"/>
      <w:divBdr>
        <w:top w:val="none" w:sz="0" w:space="0" w:color="auto"/>
        <w:left w:val="none" w:sz="0" w:space="0" w:color="auto"/>
        <w:bottom w:val="none" w:sz="0" w:space="0" w:color="auto"/>
        <w:right w:val="none" w:sz="0" w:space="0" w:color="auto"/>
      </w:divBdr>
      <w:divsChild>
        <w:div w:id="1463383355">
          <w:marLeft w:val="446"/>
          <w:marRight w:val="0"/>
          <w:marTop w:val="0"/>
          <w:marBottom w:val="0"/>
          <w:divBdr>
            <w:top w:val="none" w:sz="0" w:space="0" w:color="auto"/>
            <w:left w:val="none" w:sz="0" w:space="0" w:color="auto"/>
            <w:bottom w:val="none" w:sz="0" w:space="0" w:color="auto"/>
            <w:right w:val="none" w:sz="0" w:space="0" w:color="auto"/>
          </w:divBdr>
        </w:div>
        <w:div w:id="1531608927">
          <w:marLeft w:val="446"/>
          <w:marRight w:val="0"/>
          <w:marTop w:val="0"/>
          <w:marBottom w:val="0"/>
          <w:divBdr>
            <w:top w:val="none" w:sz="0" w:space="0" w:color="auto"/>
            <w:left w:val="none" w:sz="0" w:space="0" w:color="auto"/>
            <w:bottom w:val="none" w:sz="0" w:space="0" w:color="auto"/>
            <w:right w:val="none" w:sz="0" w:space="0" w:color="auto"/>
          </w:divBdr>
        </w:div>
      </w:divsChild>
    </w:div>
    <w:div w:id="237323904">
      <w:bodyDiv w:val="1"/>
      <w:marLeft w:val="0"/>
      <w:marRight w:val="0"/>
      <w:marTop w:val="0"/>
      <w:marBottom w:val="0"/>
      <w:divBdr>
        <w:top w:val="none" w:sz="0" w:space="0" w:color="auto"/>
        <w:left w:val="none" w:sz="0" w:space="0" w:color="auto"/>
        <w:bottom w:val="none" w:sz="0" w:space="0" w:color="auto"/>
        <w:right w:val="none" w:sz="0" w:space="0" w:color="auto"/>
      </w:divBdr>
    </w:div>
    <w:div w:id="403383863">
      <w:bodyDiv w:val="1"/>
      <w:marLeft w:val="0"/>
      <w:marRight w:val="0"/>
      <w:marTop w:val="0"/>
      <w:marBottom w:val="0"/>
      <w:divBdr>
        <w:top w:val="none" w:sz="0" w:space="0" w:color="auto"/>
        <w:left w:val="none" w:sz="0" w:space="0" w:color="auto"/>
        <w:bottom w:val="none" w:sz="0" w:space="0" w:color="auto"/>
        <w:right w:val="none" w:sz="0" w:space="0" w:color="auto"/>
      </w:divBdr>
    </w:div>
    <w:div w:id="520976836">
      <w:bodyDiv w:val="1"/>
      <w:marLeft w:val="0"/>
      <w:marRight w:val="0"/>
      <w:marTop w:val="0"/>
      <w:marBottom w:val="0"/>
      <w:divBdr>
        <w:top w:val="none" w:sz="0" w:space="0" w:color="auto"/>
        <w:left w:val="none" w:sz="0" w:space="0" w:color="auto"/>
        <w:bottom w:val="none" w:sz="0" w:space="0" w:color="auto"/>
        <w:right w:val="none" w:sz="0" w:space="0" w:color="auto"/>
      </w:divBdr>
      <w:divsChild>
        <w:div w:id="477384730">
          <w:marLeft w:val="446"/>
          <w:marRight w:val="0"/>
          <w:marTop w:val="0"/>
          <w:marBottom w:val="0"/>
          <w:divBdr>
            <w:top w:val="none" w:sz="0" w:space="0" w:color="auto"/>
            <w:left w:val="none" w:sz="0" w:space="0" w:color="auto"/>
            <w:bottom w:val="none" w:sz="0" w:space="0" w:color="auto"/>
            <w:right w:val="none" w:sz="0" w:space="0" w:color="auto"/>
          </w:divBdr>
        </w:div>
      </w:divsChild>
    </w:div>
    <w:div w:id="667711147">
      <w:bodyDiv w:val="1"/>
      <w:marLeft w:val="0"/>
      <w:marRight w:val="0"/>
      <w:marTop w:val="0"/>
      <w:marBottom w:val="0"/>
      <w:divBdr>
        <w:top w:val="none" w:sz="0" w:space="0" w:color="auto"/>
        <w:left w:val="none" w:sz="0" w:space="0" w:color="auto"/>
        <w:bottom w:val="none" w:sz="0" w:space="0" w:color="auto"/>
        <w:right w:val="none" w:sz="0" w:space="0" w:color="auto"/>
      </w:divBdr>
    </w:div>
    <w:div w:id="684136258">
      <w:bodyDiv w:val="1"/>
      <w:marLeft w:val="0"/>
      <w:marRight w:val="0"/>
      <w:marTop w:val="0"/>
      <w:marBottom w:val="0"/>
      <w:divBdr>
        <w:top w:val="none" w:sz="0" w:space="0" w:color="auto"/>
        <w:left w:val="none" w:sz="0" w:space="0" w:color="auto"/>
        <w:bottom w:val="none" w:sz="0" w:space="0" w:color="auto"/>
        <w:right w:val="none" w:sz="0" w:space="0" w:color="auto"/>
      </w:divBdr>
    </w:div>
    <w:div w:id="692148022">
      <w:bodyDiv w:val="1"/>
      <w:marLeft w:val="0"/>
      <w:marRight w:val="0"/>
      <w:marTop w:val="0"/>
      <w:marBottom w:val="0"/>
      <w:divBdr>
        <w:top w:val="none" w:sz="0" w:space="0" w:color="auto"/>
        <w:left w:val="none" w:sz="0" w:space="0" w:color="auto"/>
        <w:bottom w:val="none" w:sz="0" w:space="0" w:color="auto"/>
        <w:right w:val="none" w:sz="0" w:space="0" w:color="auto"/>
      </w:divBdr>
      <w:divsChild>
        <w:div w:id="179858965">
          <w:marLeft w:val="547"/>
          <w:marRight w:val="0"/>
          <w:marTop w:val="0"/>
          <w:marBottom w:val="0"/>
          <w:divBdr>
            <w:top w:val="none" w:sz="0" w:space="0" w:color="auto"/>
            <w:left w:val="none" w:sz="0" w:space="0" w:color="auto"/>
            <w:bottom w:val="none" w:sz="0" w:space="0" w:color="auto"/>
            <w:right w:val="none" w:sz="0" w:space="0" w:color="auto"/>
          </w:divBdr>
        </w:div>
        <w:div w:id="771245916">
          <w:marLeft w:val="547"/>
          <w:marRight w:val="0"/>
          <w:marTop w:val="0"/>
          <w:marBottom w:val="0"/>
          <w:divBdr>
            <w:top w:val="none" w:sz="0" w:space="0" w:color="auto"/>
            <w:left w:val="none" w:sz="0" w:space="0" w:color="auto"/>
            <w:bottom w:val="none" w:sz="0" w:space="0" w:color="auto"/>
            <w:right w:val="none" w:sz="0" w:space="0" w:color="auto"/>
          </w:divBdr>
        </w:div>
      </w:divsChild>
    </w:div>
    <w:div w:id="697972756">
      <w:bodyDiv w:val="1"/>
      <w:marLeft w:val="0"/>
      <w:marRight w:val="0"/>
      <w:marTop w:val="0"/>
      <w:marBottom w:val="0"/>
      <w:divBdr>
        <w:top w:val="none" w:sz="0" w:space="0" w:color="auto"/>
        <w:left w:val="none" w:sz="0" w:space="0" w:color="auto"/>
        <w:bottom w:val="none" w:sz="0" w:space="0" w:color="auto"/>
        <w:right w:val="none" w:sz="0" w:space="0" w:color="auto"/>
      </w:divBdr>
      <w:divsChild>
        <w:div w:id="1663774514">
          <w:marLeft w:val="446"/>
          <w:marRight w:val="0"/>
          <w:marTop w:val="0"/>
          <w:marBottom w:val="120"/>
          <w:divBdr>
            <w:top w:val="none" w:sz="0" w:space="0" w:color="auto"/>
            <w:left w:val="none" w:sz="0" w:space="0" w:color="auto"/>
            <w:bottom w:val="none" w:sz="0" w:space="0" w:color="auto"/>
            <w:right w:val="none" w:sz="0" w:space="0" w:color="auto"/>
          </w:divBdr>
        </w:div>
      </w:divsChild>
    </w:div>
    <w:div w:id="768811373">
      <w:bodyDiv w:val="1"/>
      <w:marLeft w:val="0"/>
      <w:marRight w:val="0"/>
      <w:marTop w:val="0"/>
      <w:marBottom w:val="0"/>
      <w:divBdr>
        <w:top w:val="none" w:sz="0" w:space="0" w:color="auto"/>
        <w:left w:val="none" w:sz="0" w:space="0" w:color="auto"/>
        <w:bottom w:val="none" w:sz="0" w:space="0" w:color="auto"/>
        <w:right w:val="none" w:sz="0" w:space="0" w:color="auto"/>
      </w:divBdr>
    </w:div>
    <w:div w:id="798305009">
      <w:bodyDiv w:val="1"/>
      <w:marLeft w:val="0"/>
      <w:marRight w:val="0"/>
      <w:marTop w:val="0"/>
      <w:marBottom w:val="0"/>
      <w:divBdr>
        <w:top w:val="none" w:sz="0" w:space="0" w:color="auto"/>
        <w:left w:val="none" w:sz="0" w:space="0" w:color="auto"/>
        <w:bottom w:val="none" w:sz="0" w:space="0" w:color="auto"/>
        <w:right w:val="none" w:sz="0" w:space="0" w:color="auto"/>
      </w:divBdr>
      <w:divsChild>
        <w:div w:id="1860048256">
          <w:marLeft w:val="446"/>
          <w:marRight w:val="0"/>
          <w:marTop w:val="0"/>
          <w:marBottom w:val="0"/>
          <w:divBdr>
            <w:top w:val="none" w:sz="0" w:space="0" w:color="auto"/>
            <w:left w:val="none" w:sz="0" w:space="0" w:color="auto"/>
            <w:bottom w:val="none" w:sz="0" w:space="0" w:color="auto"/>
            <w:right w:val="none" w:sz="0" w:space="0" w:color="auto"/>
          </w:divBdr>
        </w:div>
        <w:div w:id="1989555148">
          <w:marLeft w:val="446"/>
          <w:marRight w:val="0"/>
          <w:marTop w:val="0"/>
          <w:marBottom w:val="0"/>
          <w:divBdr>
            <w:top w:val="none" w:sz="0" w:space="0" w:color="auto"/>
            <w:left w:val="none" w:sz="0" w:space="0" w:color="auto"/>
            <w:bottom w:val="none" w:sz="0" w:space="0" w:color="auto"/>
            <w:right w:val="none" w:sz="0" w:space="0" w:color="auto"/>
          </w:divBdr>
        </w:div>
        <w:div w:id="2020303660">
          <w:marLeft w:val="446"/>
          <w:marRight w:val="0"/>
          <w:marTop w:val="0"/>
          <w:marBottom w:val="0"/>
          <w:divBdr>
            <w:top w:val="none" w:sz="0" w:space="0" w:color="auto"/>
            <w:left w:val="none" w:sz="0" w:space="0" w:color="auto"/>
            <w:bottom w:val="none" w:sz="0" w:space="0" w:color="auto"/>
            <w:right w:val="none" w:sz="0" w:space="0" w:color="auto"/>
          </w:divBdr>
        </w:div>
      </w:divsChild>
    </w:div>
    <w:div w:id="841046818">
      <w:bodyDiv w:val="1"/>
      <w:marLeft w:val="0"/>
      <w:marRight w:val="0"/>
      <w:marTop w:val="0"/>
      <w:marBottom w:val="0"/>
      <w:divBdr>
        <w:top w:val="none" w:sz="0" w:space="0" w:color="auto"/>
        <w:left w:val="none" w:sz="0" w:space="0" w:color="auto"/>
        <w:bottom w:val="none" w:sz="0" w:space="0" w:color="auto"/>
        <w:right w:val="none" w:sz="0" w:space="0" w:color="auto"/>
      </w:divBdr>
    </w:div>
    <w:div w:id="893663824">
      <w:bodyDiv w:val="1"/>
      <w:marLeft w:val="0"/>
      <w:marRight w:val="0"/>
      <w:marTop w:val="0"/>
      <w:marBottom w:val="0"/>
      <w:divBdr>
        <w:top w:val="none" w:sz="0" w:space="0" w:color="auto"/>
        <w:left w:val="none" w:sz="0" w:space="0" w:color="auto"/>
        <w:bottom w:val="none" w:sz="0" w:space="0" w:color="auto"/>
        <w:right w:val="none" w:sz="0" w:space="0" w:color="auto"/>
      </w:divBdr>
      <w:divsChild>
        <w:div w:id="496074645">
          <w:marLeft w:val="446"/>
          <w:marRight w:val="0"/>
          <w:marTop w:val="0"/>
          <w:marBottom w:val="0"/>
          <w:divBdr>
            <w:top w:val="none" w:sz="0" w:space="0" w:color="auto"/>
            <w:left w:val="none" w:sz="0" w:space="0" w:color="auto"/>
            <w:bottom w:val="none" w:sz="0" w:space="0" w:color="auto"/>
            <w:right w:val="none" w:sz="0" w:space="0" w:color="auto"/>
          </w:divBdr>
        </w:div>
      </w:divsChild>
    </w:div>
    <w:div w:id="974287420">
      <w:bodyDiv w:val="1"/>
      <w:marLeft w:val="0"/>
      <w:marRight w:val="0"/>
      <w:marTop w:val="0"/>
      <w:marBottom w:val="0"/>
      <w:divBdr>
        <w:top w:val="none" w:sz="0" w:space="0" w:color="auto"/>
        <w:left w:val="none" w:sz="0" w:space="0" w:color="auto"/>
        <w:bottom w:val="none" w:sz="0" w:space="0" w:color="auto"/>
        <w:right w:val="none" w:sz="0" w:space="0" w:color="auto"/>
      </w:divBdr>
    </w:div>
    <w:div w:id="1062869266">
      <w:bodyDiv w:val="1"/>
      <w:marLeft w:val="0"/>
      <w:marRight w:val="0"/>
      <w:marTop w:val="0"/>
      <w:marBottom w:val="0"/>
      <w:divBdr>
        <w:top w:val="none" w:sz="0" w:space="0" w:color="auto"/>
        <w:left w:val="none" w:sz="0" w:space="0" w:color="auto"/>
        <w:bottom w:val="none" w:sz="0" w:space="0" w:color="auto"/>
        <w:right w:val="none" w:sz="0" w:space="0" w:color="auto"/>
      </w:divBdr>
      <w:divsChild>
        <w:div w:id="1852796286">
          <w:marLeft w:val="446"/>
          <w:marRight w:val="0"/>
          <w:marTop w:val="0"/>
          <w:marBottom w:val="0"/>
          <w:divBdr>
            <w:top w:val="none" w:sz="0" w:space="0" w:color="auto"/>
            <w:left w:val="none" w:sz="0" w:space="0" w:color="auto"/>
            <w:bottom w:val="none" w:sz="0" w:space="0" w:color="auto"/>
            <w:right w:val="none" w:sz="0" w:space="0" w:color="auto"/>
          </w:divBdr>
        </w:div>
        <w:div w:id="347877336">
          <w:marLeft w:val="446"/>
          <w:marRight w:val="0"/>
          <w:marTop w:val="0"/>
          <w:marBottom w:val="0"/>
          <w:divBdr>
            <w:top w:val="none" w:sz="0" w:space="0" w:color="auto"/>
            <w:left w:val="none" w:sz="0" w:space="0" w:color="auto"/>
            <w:bottom w:val="none" w:sz="0" w:space="0" w:color="auto"/>
            <w:right w:val="none" w:sz="0" w:space="0" w:color="auto"/>
          </w:divBdr>
        </w:div>
        <w:div w:id="1957368411">
          <w:marLeft w:val="446"/>
          <w:marRight w:val="0"/>
          <w:marTop w:val="0"/>
          <w:marBottom w:val="0"/>
          <w:divBdr>
            <w:top w:val="none" w:sz="0" w:space="0" w:color="auto"/>
            <w:left w:val="none" w:sz="0" w:space="0" w:color="auto"/>
            <w:bottom w:val="none" w:sz="0" w:space="0" w:color="auto"/>
            <w:right w:val="none" w:sz="0" w:space="0" w:color="auto"/>
          </w:divBdr>
        </w:div>
      </w:divsChild>
    </w:div>
    <w:div w:id="1064647352">
      <w:bodyDiv w:val="1"/>
      <w:marLeft w:val="0"/>
      <w:marRight w:val="0"/>
      <w:marTop w:val="0"/>
      <w:marBottom w:val="0"/>
      <w:divBdr>
        <w:top w:val="none" w:sz="0" w:space="0" w:color="auto"/>
        <w:left w:val="none" w:sz="0" w:space="0" w:color="auto"/>
        <w:bottom w:val="none" w:sz="0" w:space="0" w:color="auto"/>
        <w:right w:val="none" w:sz="0" w:space="0" w:color="auto"/>
      </w:divBdr>
      <w:divsChild>
        <w:div w:id="1957978298">
          <w:marLeft w:val="446"/>
          <w:marRight w:val="0"/>
          <w:marTop w:val="0"/>
          <w:marBottom w:val="0"/>
          <w:divBdr>
            <w:top w:val="none" w:sz="0" w:space="0" w:color="auto"/>
            <w:left w:val="none" w:sz="0" w:space="0" w:color="auto"/>
            <w:bottom w:val="none" w:sz="0" w:space="0" w:color="auto"/>
            <w:right w:val="none" w:sz="0" w:space="0" w:color="auto"/>
          </w:divBdr>
        </w:div>
        <w:div w:id="12925534">
          <w:marLeft w:val="446"/>
          <w:marRight w:val="0"/>
          <w:marTop w:val="0"/>
          <w:marBottom w:val="0"/>
          <w:divBdr>
            <w:top w:val="none" w:sz="0" w:space="0" w:color="auto"/>
            <w:left w:val="none" w:sz="0" w:space="0" w:color="auto"/>
            <w:bottom w:val="none" w:sz="0" w:space="0" w:color="auto"/>
            <w:right w:val="none" w:sz="0" w:space="0" w:color="auto"/>
          </w:divBdr>
        </w:div>
      </w:divsChild>
    </w:div>
    <w:div w:id="1124736256">
      <w:bodyDiv w:val="1"/>
      <w:marLeft w:val="0"/>
      <w:marRight w:val="0"/>
      <w:marTop w:val="0"/>
      <w:marBottom w:val="0"/>
      <w:divBdr>
        <w:top w:val="none" w:sz="0" w:space="0" w:color="auto"/>
        <w:left w:val="none" w:sz="0" w:space="0" w:color="auto"/>
        <w:bottom w:val="none" w:sz="0" w:space="0" w:color="auto"/>
        <w:right w:val="none" w:sz="0" w:space="0" w:color="auto"/>
      </w:divBdr>
      <w:divsChild>
        <w:div w:id="800152174">
          <w:marLeft w:val="446"/>
          <w:marRight w:val="0"/>
          <w:marTop w:val="0"/>
          <w:marBottom w:val="0"/>
          <w:divBdr>
            <w:top w:val="none" w:sz="0" w:space="0" w:color="auto"/>
            <w:left w:val="none" w:sz="0" w:space="0" w:color="auto"/>
            <w:bottom w:val="none" w:sz="0" w:space="0" w:color="auto"/>
            <w:right w:val="none" w:sz="0" w:space="0" w:color="auto"/>
          </w:divBdr>
        </w:div>
      </w:divsChild>
    </w:div>
    <w:div w:id="1134522957">
      <w:bodyDiv w:val="1"/>
      <w:marLeft w:val="0"/>
      <w:marRight w:val="0"/>
      <w:marTop w:val="0"/>
      <w:marBottom w:val="0"/>
      <w:divBdr>
        <w:top w:val="none" w:sz="0" w:space="0" w:color="auto"/>
        <w:left w:val="none" w:sz="0" w:space="0" w:color="auto"/>
        <w:bottom w:val="none" w:sz="0" w:space="0" w:color="auto"/>
        <w:right w:val="none" w:sz="0" w:space="0" w:color="auto"/>
      </w:divBdr>
    </w:div>
    <w:div w:id="1155534269">
      <w:bodyDiv w:val="1"/>
      <w:marLeft w:val="0"/>
      <w:marRight w:val="0"/>
      <w:marTop w:val="0"/>
      <w:marBottom w:val="0"/>
      <w:divBdr>
        <w:top w:val="none" w:sz="0" w:space="0" w:color="auto"/>
        <w:left w:val="none" w:sz="0" w:space="0" w:color="auto"/>
        <w:bottom w:val="none" w:sz="0" w:space="0" w:color="auto"/>
        <w:right w:val="none" w:sz="0" w:space="0" w:color="auto"/>
      </w:divBdr>
      <w:divsChild>
        <w:div w:id="1246956305">
          <w:marLeft w:val="446"/>
          <w:marRight w:val="0"/>
          <w:marTop w:val="0"/>
          <w:marBottom w:val="0"/>
          <w:divBdr>
            <w:top w:val="none" w:sz="0" w:space="0" w:color="auto"/>
            <w:left w:val="none" w:sz="0" w:space="0" w:color="auto"/>
            <w:bottom w:val="none" w:sz="0" w:space="0" w:color="auto"/>
            <w:right w:val="none" w:sz="0" w:space="0" w:color="auto"/>
          </w:divBdr>
        </w:div>
        <w:div w:id="6102680">
          <w:marLeft w:val="446"/>
          <w:marRight w:val="0"/>
          <w:marTop w:val="0"/>
          <w:marBottom w:val="0"/>
          <w:divBdr>
            <w:top w:val="none" w:sz="0" w:space="0" w:color="auto"/>
            <w:left w:val="none" w:sz="0" w:space="0" w:color="auto"/>
            <w:bottom w:val="none" w:sz="0" w:space="0" w:color="auto"/>
            <w:right w:val="none" w:sz="0" w:space="0" w:color="auto"/>
          </w:divBdr>
        </w:div>
      </w:divsChild>
    </w:div>
    <w:div w:id="1157460701">
      <w:bodyDiv w:val="1"/>
      <w:marLeft w:val="0"/>
      <w:marRight w:val="0"/>
      <w:marTop w:val="0"/>
      <w:marBottom w:val="0"/>
      <w:divBdr>
        <w:top w:val="none" w:sz="0" w:space="0" w:color="auto"/>
        <w:left w:val="none" w:sz="0" w:space="0" w:color="auto"/>
        <w:bottom w:val="none" w:sz="0" w:space="0" w:color="auto"/>
        <w:right w:val="none" w:sz="0" w:space="0" w:color="auto"/>
      </w:divBdr>
    </w:div>
    <w:div w:id="1178347401">
      <w:bodyDiv w:val="1"/>
      <w:marLeft w:val="0"/>
      <w:marRight w:val="0"/>
      <w:marTop w:val="0"/>
      <w:marBottom w:val="0"/>
      <w:divBdr>
        <w:top w:val="none" w:sz="0" w:space="0" w:color="auto"/>
        <w:left w:val="none" w:sz="0" w:space="0" w:color="auto"/>
        <w:bottom w:val="none" w:sz="0" w:space="0" w:color="auto"/>
        <w:right w:val="none" w:sz="0" w:space="0" w:color="auto"/>
      </w:divBdr>
      <w:divsChild>
        <w:div w:id="740297827">
          <w:marLeft w:val="446"/>
          <w:marRight w:val="0"/>
          <w:marTop w:val="0"/>
          <w:marBottom w:val="0"/>
          <w:divBdr>
            <w:top w:val="none" w:sz="0" w:space="0" w:color="auto"/>
            <w:left w:val="none" w:sz="0" w:space="0" w:color="auto"/>
            <w:bottom w:val="none" w:sz="0" w:space="0" w:color="auto"/>
            <w:right w:val="none" w:sz="0" w:space="0" w:color="auto"/>
          </w:divBdr>
        </w:div>
        <w:div w:id="1270814777">
          <w:marLeft w:val="446"/>
          <w:marRight w:val="0"/>
          <w:marTop w:val="0"/>
          <w:marBottom w:val="0"/>
          <w:divBdr>
            <w:top w:val="none" w:sz="0" w:space="0" w:color="auto"/>
            <w:left w:val="none" w:sz="0" w:space="0" w:color="auto"/>
            <w:bottom w:val="none" w:sz="0" w:space="0" w:color="auto"/>
            <w:right w:val="none" w:sz="0" w:space="0" w:color="auto"/>
          </w:divBdr>
        </w:div>
      </w:divsChild>
    </w:div>
    <w:div w:id="1191145444">
      <w:bodyDiv w:val="1"/>
      <w:marLeft w:val="0"/>
      <w:marRight w:val="0"/>
      <w:marTop w:val="0"/>
      <w:marBottom w:val="0"/>
      <w:divBdr>
        <w:top w:val="none" w:sz="0" w:space="0" w:color="auto"/>
        <w:left w:val="none" w:sz="0" w:space="0" w:color="auto"/>
        <w:bottom w:val="none" w:sz="0" w:space="0" w:color="auto"/>
        <w:right w:val="none" w:sz="0" w:space="0" w:color="auto"/>
      </w:divBdr>
      <w:divsChild>
        <w:div w:id="121509057">
          <w:marLeft w:val="446"/>
          <w:marRight w:val="0"/>
          <w:marTop w:val="0"/>
          <w:marBottom w:val="0"/>
          <w:divBdr>
            <w:top w:val="none" w:sz="0" w:space="0" w:color="auto"/>
            <w:left w:val="none" w:sz="0" w:space="0" w:color="auto"/>
            <w:bottom w:val="none" w:sz="0" w:space="0" w:color="auto"/>
            <w:right w:val="none" w:sz="0" w:space="0" w:color="auto"/>
          </w:divBdr>
        </w:div>
      </w:divsChild>
    </w:div>
    <w:div w:id="1233396046">
      <w:bodyDiv w:val="1"/>
      <w:marLeft w:val="0"/>
      <w:marRight w:val="0"/>
      <w:marTop w:val="0"/>
      <w:marBottom w:val="0"/>
      <w:divBdr>
        <w:top w:val="none" w:sz="0" w:space="0" w:color="auto"/>
        <w:left w:val="none" w:sz="0" w:space="0" w:color="auto"/>
        <w:bottom w:val="none" w:sz="0" w:space="0" w:color="auto"/>
        <w:right w:val="none" w:sz="0" w:space="0" w:color="auto"/>
      </w:divBdr>
      <w:divsChild>
        <w:div w:id="1451052396">
          <w:marLeft w:val="446"/>
          <w:marRight w:val="0"/>
          <w:marTop w:val="0"/>
          <w:marBottom w:val="0"/>
          <w:divBdr>
            <w:top w:val="none" w:sz="0" w:space="0" w:color="auto"/>
            <w:left w:val="none" w:sz="0" w:space="0" w:color="auto"/>
            <w:bottom w:val="none" w:sz="0" w:space="0" w:color="auto"/>
            <w:right w:val="none" w:sz="0" w:space="0" w:color="auto"/>
          </w:divBdr>
        </w:div>
      </w:divsChild>
    </w:div>
    <w:div w:id="1239438485">
      <w:bodyDiv w:val="1"/>
      <w:marLeft w:val="0"/>
      <w:marRight w:val="0"/>
      <w:marTop w:val="0"/>
      <w:marBottom w:val="0"/>
      <w:divBdr>
        <w:top w:val="none" w:sz="0" w:space="0" w:color="auto"/>
        <w:left w:val="none" w:sz="0" w:space="0" w:color="auto"/>
        <w:bottom w:val="none" w:sz="0" w:space="0" w:color="auto"/>
        <w:right w:val="none" w:sz="0" w:space="0" w:color="auto"/>
      </w:divBdr>
    </w:div>
    <w:div w:id="1333681326">
      <w:bodyDiv w:val="1"/>
      <w:marLeft w:val="0"/>
      <w:marRight w:val="0"/>
      <w:marTop w:val="0"/>
      <w:marBottom w:val="0"/>
      <w:divBdr>
        <w:top w:val="none" w:sz="0" w:space="0" w:color="auto"/>
        <w:left w:val="none" w:sz="0" w:space="0" w:color="auto"/>
        <w:bottom w:val="none" w:sz="0" w:space="0" w:color="auto"/>
        <w:right w:val="none" w:sz="0" w:space="0" w:color="auto"/>
      </w:divBdr>
      <w:divsChild>
        <w:div w:id="13264638">
          <w:marLeft w:val="446"/>
          <w:marRight w:val="0"/>
          <w:marTop w:val="0"/>
          <w:marBottom w:val="0"/>
          <w:divBdr>
            <w:top w:val="none" w:sz="0" w:space="0" w:color="auto"/>
            <w:left w:val="none" w:sz="0" w:space="0" w:color="auto"/>
            <w:bottom w:val="none" w:sz="0" w:space="0" w:color="auto"/>
            <w:right w:val="none" w:sz="0" w:space="0" w:color="auto"/>
          </w:divBdr>
        </w:div>
      </w:divsChild>
    </w:div>
    <w:div w:id="1461191190">
      <w:bodyDiv w:val="1"/>
      <w:marLeft w:val="0"/>
      <w:marRight w:val="0"/>
      <w:marTop w:val="0"/>
      <w:marBottom w:val="0"/>
      <w:divBdr>
        <w:top w:val="none" w:sz="0" w:space="0" w:color="auto"/>
        <w:left w:val="none" w:sz="0" w:space="0" w:color="auto"/>
        <w:bottom w:val="none" w:sz="0" w:space="0" w:color="auto"/>
        <w:right w:val="none" w:sz="0" w:space="0" w:color="auto"/>
      </w:divBdr>
    </w:div>
    <w:div w:id="1520201076">
      <w:bodyDiv w:val="1"/>
      <w:marLeft w:val="0"/>
      <w:marRight w:val="0"/>
      <w:marTop w:val="0"/>
      <w:marBottom w:val="0"/>
      <w:divBdr>
        <w:top w:val="none" w:sz="0" w:space="0" w:color="auto"/>
        <w:left w:val="none" w:sz="0" w:space="0" w:color="auto"/>
        <w:bottom w:val="none" w:sz="0" w:space="0" w:color="auto"/>
        <w:right w:val="none" w:sz="0" w:space="0" w:color="auto"/>
      </w:divBdr>
    </w:div>
    <w:div w:id="1553425533">
      <w:bodyDiv w:val="1"/>
      <w:marLeft w:val="0"/>
      <w:marRight w:val="0"/>
      <w:marTop w:val="0"/>
      <w:marBottom w:val="0"/>
      <w:divBdr>
        <w:top w:val="none" w:sz="0" w:space="0" w:color="auto"/>
        <w:left w:val="none" w:sz="0" w:space="0" w:color="auto"/>
        <w:bottom w:val="none" w:sz="0" w:space="0" w:color="auto"/>
        <w:right w:val="none" w:sz="0" w:space="0" w:color="auto"/>
      </w:divBdr>
    </w:div>
    <w:div w:id="1664507947">
      <w:bodyDiv w:val="1"/>
      <w:marLeft w:val="0"/>
      <w:marRight w:val="0"/>
      <w:marTop w:val="0"/>
      <w:marBottom w:val="0"/>
      <w:divBdr>
        <w:top w:val="none" w:sz="0" w:space="0" w:color="auto"/>
        <w:left w:val="none" w:sz="0" w:space="0" w:color="auto"/>
        <w:bottom w:val="none" w:sz="0" w:space="0" w:color="auto"/>
        <w:right w:val="none" w:sz="0" w:space="0" w:color="auto"/>
      </w:divBdr>
    </w:div>
    <w:div w:id="1681274235">
      <w:bodyDiv w:val="1"/>
      <w:marLeft w:val="0"/>
      <w:marRight w:val="0"/>
      <w:marTop w:val="0"/>
      <w:marBottom w:val="0"/>
      <w:divBdr>
        <w:top w:val="none" w:sz="0" w:space="0" w:color="auto"/>
        <w:left w:val="none" w:sz="0" w:space="0" w:color="auto"/>
        <w:bottom w:val="none" w:sz="0" w:space="0" w:color="auto"/>
        <w:right w:val="none" w:sz="0" w:space="0" w:color="auto"/>
      </w:divBdr>
      <w:divsChild>
        <w:div w:id="1334141508">
          <w:marLeft w:val="446"/>
          <w:marRight w:val="0"/>
          <w:marTop w:val="0"/>
          <w:marBottom w:val="0"/>
          <w:divBdr>
            <w:top w:val="none" w:sz="0" w:space="0" w:color="auto"/>
            <w:left w:val="none" w:sz="0" w:space="0" w:color="auto"/>
            <w:bottom w:val="none" w:sz="0" w:space="0" w:color="auto"/>
            <w:right w:val="none" w:sz="0" w:space="0" w:color="auto"/>
          </w:divBdr>
        </w:div>
        <w:div w:id="873931893">
          <w:marLeft w:val="446"/>
          <w:marRight w:val="0"/>
          <w:marTop w:val="0"/>
          <w:marBottom w:val="0"/>
          <w:divBdr>
            <w:top w:val="none" w:sz="0" w:space="0" w:color="auto"/>
            <w:left w:val="none" w:sz="0" w:space="0" w:color="auto"/>
            <w:bottom w:val="none" w:sz="0" w:space="0" w:color="auto"/>
            <w:right w:val="none" w:sz="0" w:space="0" w:color="auto"/>
          </w:divBdr>
        </w:div>
        <w:div w:id="472523664">
          <w:marLeft w:val="446"/>
          <w:marRight w:val="0"/>
          <w:marTop w:val="0"/>
          <w:marBottom w:val="0"/>
          <w:divBdr>
            <w:top w:val="none" w:sz="0" w:space="0" w:color="auto"/>
            <w:left w:val="none" w:sz="0" w:space="0" w:color="auto"/>
            <w:bottom w:val="none" w:sz="0" w:space="0" w:color="auto"/>
            <w:right w:val="none" w:sz="0" w:space="0" w:color="auto"/>
          </w:divBdr>
        </w:div>
        <w:div w:id="249895036">
          <w:marLeft w:val="446"/>
          <w:marRight w:val="0"/>
          <w:marTop w:val="0"/>
          <w:marBottom w:val="0"/>
          <w:divBdr>
            <w:top w:val="none" w:sz="0" w:space="0" w:color="auto"/>
            <w:left w:val="none" w:sz="0" w:space="0" w:color="auto"/>
            <w:bottom w:val="none" w:sz="0" w:space="0" w:color="auto"/>
            <w:right w:val="none" w:sz="0" w:space="0" w:color="auto"/>
          </w:divBdr>
        </w:div>
      </w:divsChild>
    </w:div>
    <w:div w:id="1695183157">
      <w:bodyDiv w:val="1"/>
      <w:marLeft w:val="0"/>
      <w:marRight w:val="0"/>
      <w:marTop w:val="0"/>
      <w:marBottom w:val="0"/>
      <w:divBdr>
        <w:top w:val="none" w:sz="0" w:space="0" w:color="auto"/>
        <w:left w:val="none" w:sz="0" w:space="0" w:color="auto"/>
        <w:bottom w:val="none" w:sz="0" w:space="0" w:color="auto"/>
        <w:right w:val="none" w:sz="0" w:space="0" w:color="auto"/>
      </w:divBdr>
    </w:div>
    <w:div w:id="1803228849">
      <w:bodyDiv w:val="1"/>
      <w:marLeft w:val="0"/>
      <w:marRight w:val="0"/>
      <w:marTop w:val="0"/>
      <w:marBottom w:val="0"/>
      <w:divBdr>
        <w:top w:val="none" w:sz="0" w:space="0" w:color="auto"/>
        <w:left w:val="none" w:sz="0" w:space="0" w:color="auto"/>
        <w:bottom w:val="none" w:sz="0" w:space="0" w:color="auto"/>
        <w:right w:val="none" w:sz="0" w:space="0" w:color="auto"/>
      </w:divBdr>
      <w:divsChild>
        <w:div w:id="1564558814">
          <w:marLeft w:val="547"/>
          <w:marRight w:val="0"/>
          <w:marTop w:val="120"/>
          <w:marBottom w:val="120"/>
          <w:divBdr>
            <w:top w:val="none" w:sz="0" w:space="0" w:color="auto"/>
            <w:left w:val="none" w:sz="0" w:space="0" w:color="auto"/>
            <w:bottom w:val="none" w:sz="0" w:space="0" w:color="auto"/>
            <w:right w:val="none" w:sz="0" w:space="0" w:color="auto"/>
          </w:divBdr>
        </w:div>
      </w:divsChild>
    </w:div>
    <w:div w:id="1826782245">
      <w:bodyDiv w:val="1"/>
      <w:marLeft w:val="0"/>
      <w:marRight w:val="0"/>
      <w:marTop w:val="0"/>
      <w:marBottom w:val="0"/>
      <w:divBdr>
        <w:top w:val="none" w:sz="0" w:space="0" w:color="auto"/>
        <w:left w:val="none" w:sz="0" w:space="0" w:color="auto"/>
        <w:bottom w:val="none" w:sz="0" w:space="0" w:color="auto"/>
        <w:right w:val="none" w:sz="0" w:space="0" w:color="auto"/>
      </w:divBdr>
    </w:div>
    <w:div w:id="1828086629">
      <w:bodyDiv w:val="1"/>
      <w:marLeft w:val="0"/>
      <w:marRight w:val="0"/>
      <w:marTop w:val="0"/>
      <w:marBottom w:val="0"/>
      <w:divBdr>
        <w:top w:val="none" w:sz="0" w:space="0" w:color="auto"/>
        <w:left w:val="none" w:sz="0" w:space="0" w:color="auto"/>
        <w:bottom w:val="none" w:sz="0" w:space="0" w:color="auto"/>
        <w:right w:val="none" w:sz="0" w:space="0" w:color="auto"/>
      </w:divBdr>
      <w:divsChild>
        <w:div w:id="1715619797">
          <w:marLeft w:val="547"/>
          <w:marRight w:val="0"/>
          <w:marTop w:val="0"/>
          <w:marBottom w:val="0"/>
          <w:divBdr>
            <w:top w:val="none" w:sz="0" w:space="0" w:color="auto"/>
            <w:left w:val="none" w:sz="0" w:space="0" w:color="auto"/>
            <w:bottom w:val="none" w:sz="0" w:space="0" w:color="auto"/>
            <w:right w:val="none" w:sz="0" w:space="0" w:color="auto"/>
          </w:divBdr>
        </w:div>
        <w:div w:id="1852379659">
          <w:marLeft w:val="547"/>
          <w:marRight w:val="0"/>
          <w:marTop w:val="0"/>
          <w:marBottom w:val="0"/>
          <w:divBdr>
            <w:top w:val="none" w:sz="0" w:space="0" w:color="auto"/>
            <w:left w:val="none" w:sz="0" w:space="0" w:color="auto"/>
            <w:bottom w:val="none" w:sz="0" w:space="0" w:color="auto"/>
            <w:right w:val="none" w:sz="0" w:space="0" w:color="auto"/>
          </w:divBdr>
        </w:div>
        <w:div w:id="153839863">
          <w:marLeft w:val="547"/>
          <w:marRight w:val="0"/>
          <w:marTop w:val="0"/>
          <w:marBottom w:val="0"/>
          <w:divBdr>
            <w:top w:val="none" w:sz="0" w:space="0" w:color="auto"/>
            <w:left w:val="none" w:sz="0" w:space="0" w:color="auto"/>
            <w:bottom w:val="none" w:sz="0" w:space="0" w:color="auto"/>
            <w:right w:val="none" w:sz="0" w:space="0" w:color="auto"/>
          </w:divBdr>
        </w:div>
      </w:divsChild>
    </w:div>
    <w:div w:id="1879317438">
      <w:bodyDiv w:val="1"/>
      <w:marLeft w:val="0"/>
      <w:marRight w:val="0"/>
      <w:marTop w:val="0"/>
      <w:marBottom w:val="0"/>
      <w:divBdr>
        <w:top w:val="none" w:sz="0" w:space="0" w:color="auto"/>
        <w:left w:val="none" w:sz="0" w:space="0" w:color="auto"/>
        <w:bottom w:val="none" w:sz="0" w:space="0" w:color="auto"/>
        <w:right w:val="none" w:sz="0" w:space="0" w:color="auto"/>
      </w:divBdr>
      <w:divsChild>
        <w:div w:id="2127692176">
          <w:marLeft w:val="446"/>
          <w:marRight w:val="0"/>
          <w:marTop w:val="0"/>
          <w:marBottom w:val="0"/>
          <w:divBdr>
            <w:top w:val="none" w:sz="0" w:space="0" w:color="auto"/>
            <w:left w:val="none" w:sz="0" w:space="0" w:color="auto"/>
            <w:bottom w:val="none" w:sz="0" w:space="0" w:color="auto"/>
            <w:right w:val="none" w:sz="0" w:space="0" w:color="auto"/>
          </w:divBdr>
        </w:div>
      </w:divsChild>
    </w:div>
    <w:div w:id="1897618983">
      <w:bodyDiv w:val="1"/>
      <w:marLeft w:val="0"/>
      <w:marRight w:val="0"/>
      <w:marTop w:val="0"/>
      <w:marBottom w:val="0"/>
      <w:divBdr>
        <w:top w:val="none" w:sz="0" w:space="0" w:color="auto"/>
        <w:left w:val="none" w:sz="0" w:space="0" w:color="auto"/>
        <w:bottom w:val="none" w:sz="0" w:space="0" w:color="auto"/>
        <w:right w:val="none" w:sz="0" w:space="0" w:color="auto"/>
      </w:divBdr>
      <w:divsChild>
        <w:div w:id="1810248065">
          <w:marLeft w:val="446"/>
          <w:marRight w:val="0"/>
          <w:marTop w:val="200"/>
          <w:marBottom w:val="0"/>
          <w:divBdr>
            <w:top w:val="none" w:sz="0" w:space="0" w:color="auto"/>
            <w:left w:val="none" w:sz="0" w:space="0" w:color="auto"/>
            <w:bottom w:val="none" w:sz="0" w:space="0" w:color="auto"/>
            <w:right w:val="none" w:sz="0" w:space="0" w:color="auto"/>
          </w:divBdr>
        </w:div>
        <w:div w:id="505487739">
          <w:marLeft w:val="446"/>
          <w:marRight w:val="0"/>
          <w:marTop w:val="200"/>
          <w:marBottom w:val="0"/>
          <w:divBdr>
            <w:top w:val="none" w:sz="0" w:space="0" w:color="auto"/>
            <w:left w:val="none" w:sz="0" w:space="0" w:color="auto"/>
            <w:bottom w:val="none" w:sz="0" w:space="0" w:color="auto"/>
            <w:right w:val="none" w:sz="0" w:space="0" w:color="auto"/>
          </w:divBdr>
        </w:div>
      </w:divsChild>
    </w:div>
    <w:div w:id="1898661026">
      <w:bodyDiv w:val="1"/>
      <w:marLeft w:val="0"/>
      <w:marRight w:val="0"/>
      <w:marTop w:val="0"/>
      <w:marBottom w:val="0"/>
      <w:divBdr>
        <w:top w:val="none" w:sz="0" w:space="0" w:color="auto"/>
        <w:left w:val="none" w:sz="0" w:space="0" w:color="auto"/>
        <w:bottom w:val="none" w:sz="0" w:space="0" w:color="auto"/>
        <w:right w:val="none" w:sz="0" w:space="0" w:color="auto"/>
      </w:divBdr>
    </w:div>
    <w:div w:id="1916082872">
      <w:bodyDiv w:val="1"/>
      <w:marLeft w:val="0"/>
      <w:marRight w:val="0"/>
      <w:marTop w:val="0"/>
      <w:marBottom w:val="0"/>
      <w:divBdr>
        <w:top w:val="none" w:sz="0" w:space="0" w:color="auto"/>
        <w:left w:val="none" w:sz="0" w:space="0" w:color="auto"/>
        <w:bottom w:val="none" w:sz="0" w:space="0" w:color="auto"/>
        <w:right w:val="none" w:sz="0" w:space="0" w:color="auto"/>
      </w:divBdr>
    </w:div>
    <w:div w:id="20300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14.80.154.45/FundResearchWeb/PublicFundF9/index.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14.80.154.45/FundResearchWeb/PublicFundF9/index.html" TargetMode="External"/><Relationship Id="rId5" Type="http://schemas.openxmlformats.org/officeDocument/2006/relationships/webSettings" Target="webSettings.xml"/><Relationship Id="rId15" Type="http://schemas.openxmlformats.org/officeDocument/2006/relationships/hyperlink" Target="http://www.gffunds.com.cn" TargetMode="Externa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F1EC0-E1DF-4E85-96F4-1BC2ED24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刘芷姗</dc:creator>
  <cp:keywords/>
  <dc:description/>
  <cp:lastModifiedBy>刘芷姗</cp:lastModifiedBy>
  <cp:revision>250</cp:revision>
  <cp:lastPrinted>2020-01-10T02:55:00Z</cp:lastPrinted>
  <dcterms:created xsi:type="dcterms:W3CDTF">2020-12-09T06:58:00Z</dcterms:created>
  <dcterms:modified xsi:type="dcterms:W3CDTF">2021-03-23T06:51:00Z</dcterms:modified>
</cp:coreProperties>
</file>