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0"/>
          <w:szCs w:val="40"/>
        </w:rPr>
        <w:t xml:space="preserve">INCIDENT INVESTIGATION REPORT</w:t>
      </w:r>
    </w:p>
    <w:p>
      <w:pPr>
        <w:spacing w:after="260"/>
      </w:pPr>
      <w:r>
        <w:rPr>
          <w:i/>
          <w:iCs/>
          <w:color w:val="7A1F2B"/>
          <w:sz w:val="24"/>
          <w:szCs w:val="24"/>
        </w:rPr>
        <w:t xml:space="preserve">Proxy Telemetry Analysis — HaveIBeenPwned / VirusTotal / zone-h.org Activity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6600"/>
      </w:tblGrid>
      <w:tr>
        <w:tc>
          <w:tcPr>
            <w:tcW w:type="dxa" w:w="3300"/>
            <w:shd w:fill="F3F4F6" w:val="clear"/>
            <w:tcMar>
              <w:top w:type="dxa" w:w="80"/>
              <w:left w:type="dxa" w:w="100"/>
              <w:bottom w:type="dxa" w:w="80"/>
              <w:right w:type="dxa" w:w="100"/>
            </w:tcMar>
          </w:tcPr>
          <w:p>
            <w:pPr>
              <w:jc w:val="left"/>
            </w:pPr>
            <w:r>
              <w:rPr>
                <w:b w:val="false"/>
                <w:bCs w:val="false"/>
                <w:color w:val="1F2937"/>
                <w:sz w:val="19"/>
                <w:szCs w:val="19"/>
              </w:rPr>
              <w:t xml:space="preserve">Classification</w:t>
            </w:r>
          </w:p>
        </w:tc>
        <w:tc>
          <w:tcPr>
            <w:tcW w:type="dxa" w:w="6600"/>
            <w:shd w:fill="F3F4F6" w:val="clear"/>
            <w:tcMar>
              <w:top w:type="dxa" w:w="80"/>
              <w:left w:type="dxa" w:w="100"/>
              <w:bottom w:type="dxa" w:w="80"/>
              <w:right w:type="dxa" w:w="100"/>
            </w:tcMar>
          </w:tcPr>
          <w:p>
            <w:pPr>
              <w:jc w:val="left"/>
            </w:pPr>
            <w:r>
              <w:rPr>
                <w:b w:val="false"/>
                <w:bCs w:val="false"/>
                <w:color w:val="1F2937"/>
                <w:sz w:val="19"/>
                <w:szCs w:val="19"/>
              </w:rPr>
              <w:t xml:space="preserve">Internal — Confidential</w:t>
            </w:r>
          </w:p>
        </w:tc>
      </w:tr>
      <w:tr>
        <w:tc>
          <w:tcPr>
            <w:tcW w:type="dxa" w:w="3300"/>
            <w:tcMar>
              <w:top w:type="dxa" w:w="80"/>
              <w:left w:type="dxa" w:w="100"/>
              <w:bottom w:type="dxa" w:w="80"/>
              <w:right w:type="dxa" w:w="100"/>
            </w:tcMar>
          </w:tcPr>
          <w:p>
            <w:pPr>
              <w:jc w:val="left"/>
            </w:pPr>
            <w:r>
              <w:rPr>
                <w:b w:val="false"/>
                <w:bCs w:val="false"/>
                <w:color w:val="1F2937"/>
                <w:sz w:val="19"/>
                <w:szCs w:val="19"/>
              </w:rPr>
              <w:t xml:space="preserve">Case Reference</w:t>
            </w:r>
          </w:p>
        </w:tc>
        <w:tc>
          <w:tcPr>
            <w:tcW w:type="dxa" w:w="6600"/>
            <w:tcMar>
              <w:top w:type="dxa" w:w="80"/>
              <w:left w:type="dxa" w:w="100"/>
              <w:bottom w:type="dxa" w:w="80"/>
              <w:right w:type="dxa" w:w="100"/>
            </w:tcMar>
          </w:tcPr>
          <w:p>
            <w:pPr>
              <w:jc w:val="left"/>
            </w:pPr>
            <w:r>
              <w:rPr>
                <w:b w:val="false"/>
                <w:bCs w:val="false"/>
                <w:color w:val="1F2937"/>
                <w:sz w:val="19"/>
                <w:szCs w:val="19"/>
              </w:rPr>
              <w:t xml:space="preserve">INC-2021-1116-01</w:t>
            </w:r>
          </w:p>
        </w:tc>
      </w:tr>
      <w:tr>
        <w:tc>
          <w:tcPr>
            <w:tcW w:type="dxa" w:w="3300"/>
            <w:shd w:fill="F3F4F6" w:val="clear"/>
            <w:tcMar>
              <w:top w:type="dxa" w:w="80"/>
              <w:left w:type="dxa" w:w="100"/>
              <w:bottom w:type="dxa" w:w="80"/>
              <w:right w:type="dxa" w:w="100"/>
            </w:tcMar>
          </w:tcPr>
          <w:p>
            <w:pPr>
              <w:jc w:val="left"/>
            </w:pPr>
            <w:r>
              <w:rPr>
                <w:b w:val="false"/>
                <w:bCs w:val="false"/>
                <w:color w:val="1F2937"/>
                <w:sz w:val="19"/>
                <w:szCs w:val="19"/>
              </w:rPr>
              <w:t xml:space="preserve">Report Type</w:t>
            </w:r>
          </w:p>
        </w:tc>
        <w:tc>
          <w:tcPr>
            <w:tcW w:type="dxa" w:w="6600"/>
            <w:shd w:fill="F3F4F6" w:val="clear"/>
            <w:tcMar>
              <w:top w:type="dxa" w:w="80"/>
              <w:left w:type="dxa" w:w="100"/>
              <w:bottom w:type="dxa" w:w="80"/>
              <w:right w:type="dxa" w:w="100"/>
            </w:tcMar>
          </w:tcPr>
          <w:p>
            <w:pPr>
              <w:jc w:val="left"/>
            </w:pPr>
            <w:r>
              <w:rPr>
                <w:b w:val="false"/>
                <w:bCs w:val="false"/>
                <w:color w:val="1F2937"/>
                <w:sz w:val="19"/>
                <w:szCs w:val="19"/>
              </w:rPr>
              <w:t xml:space="preserve">Digital Forensics &amp; Incident Response (DFIR) — Log-Based Findings</w:t>
            </w:r>
          </w:p>
        </w:tc>
      </w:tr>
      <w:tr>
        <w:tc>
          <w:tcPr>
            <w:tcW w:type="dxa" w:w="3300"/>
            <w:tcMar>
              <w:top w:type="dxa" w:w="80"/>
              <w:left w:type="dxa" w:w="100"/>
              <w:bottom w:type="dxa" w:w="80"/>
              <w:right w:type="dxa" w:w="100"/>
            </w:tcMar>
          </w:tcPr>
          <w:p>
            <w:pPr>
              <w:jc w:val="left"/>
            </w:pPr>
            <w:r>
              <w:rPr>
                <w:b w:val="false"/>
                <w:bCs w:val="false"/>
                <w:color w:val="1F2937"/>
                <w:sz w:val="19"/>
                <w:szCs w:val="19"/>
              </w:rPr>
              <w:t xml:space="preserve">Evidence Source</w:t>
            </w:r>
          </w:p>
        </w:tc>
        <w:tc>
          <w:tcPr>
            <w:tcW w:type="dxa" w:w="6600"/>
            <w:tcMar>
              <w:top w:type="dxa" w:w="80"/>
              <w:left w:type="dxa" w:w="100"/>
              <w:bottom w:type="dxa" w:w="80"/>
              <w:right w:type="dxa" w:w="100"/>
            </w:tcMar>
          </w:tcPr>
          <w:p>
            <w:pPr>
              <w:jc w:val="left"/>
            </w:pPr>
            <w:r>
              <w:rPr>
                <w:b w:val="false"/>
                <w:bCs w:val="false"/>
                <w:color w:val="1F2937"/>
                <w:sz w:val="19"/>
                <w:szCs w:val="19"/>
              </w:rPr>
              <w:t xml:space="preserve">Blue Coat ProxySG Web Access Logs (sourcetype: bluecoat:proxysg:access:file)</w:t>
            </w:r>
          </w:p>
        </w:tc>
      </w:tr>
      <w:tr>
        <w:tc>
          <w:tcPr>
            <w:tcW w:type="dxa" w:w="3300"/>
            <w:shd w:fill="F3F4F6" w:val="clear"/>
            <w:tcMar>
              <w:top w:type="dxa" w:w="80"/>
              <w:left w:type="dxa" w:w="100"/>
              <w:bottom w:type="dxa" w:w="80"/>
              <w:right w:type="dxa" w:w="100"/>
            </w:tcMar>
          </w:tcPr>
          <w:p>
            <w:pPr>
              <w:jc w:val="left"/>
            </w:pPr>
            <w:r>
              <w:rPr>
                <w:b w:val="false"/>
                <w:bCs w:val="false"/>
                <w:color w:val="1F2937"/>
                <w:sz w:val="19"/>
                <w:szCs w:val="19"/>
              </w:rPr>
              <w:t xml:space="preserve">Subject Account</w:t>
            </w:r>
          </w:p>
        </w:tc>
        <w:tc>
          <w:tcPr>
            <w:tcW w:type="dxa" w:w="6600"/>
            <w:shd w:fill="F3F4F6" w:val="clear"/>
            <w:tcMar>
              <w:top w:type="dxa" w:w="80"/>
              <w:left w:type="dxa" w:w="100"/>
              <w:bottom w:type="dxa" w:w="80"/>
              <w:right w:type="dxa" w:w="100"/>
            </w:tcMar>
          </w:tcPr>
          <w:p>
            <w:pPr>
              <w:jc w:val="left"/>
            </w:pPr>
            <w:r>
              <w:rPr>
                <w:b w:val="false"/>
                <w:bCs w:val="false"/>
                <w:color w:val="1F2937"/>
                <w:sz w:val="19"/>
                <w:szCs w:val="19"/>
              </w:rPr>
              <w:t xml:space="preserve">Fahad3315 (Recorded Source IP: 10.55.66.777)</w:t>
            </w:r>
          </w:p>
        </w:tc>
      </w:tr>
      <w:tr>
        <w:tc>
          <w:tcPr>
            <w:tcW w:type="dxa" w:w="3300"/>
            <w:tcMar>
              <w:top w:type="dxa" w:w="80"/>
              <w:left w:type="dxa" w:w="100"/>
              <w:bottom w:type="dxa" w:w="80"/>
              <w:right w:type="dxa" w:w="100"/>
            </w:tcMar>
          </w:tcPr>
          <w:p>
            <w:pPr>
              <w:jc w:val="left"/>
            </w:pPr>
            <w:r>
              <w:rPr>
                <w:b w:val="false"/>
                <w:bCs w:val="false"/>
                <w:color w:val="1F2937"/>
                <w:sz w:val="19"/>
                <w:szCs w:val="19"/>
              </w:rPr>
              <w:t xml:space="preserve">Analysis Period</w:t>
            </w:r>
          </w:p>
        </w:tc>
        <w:tc>
          <w:tcPr>
            <w:tcW w:type="dxa" w:w="6600"/>
            <w:tcMar>
              <w:top w:type="dxa" w:w="80"/>
              <w:left w:type="dxa" w:w="100"/>
              <w:bottom w:type="dxa" w:w="80"/>
              <w:right w:type="dxa" w:w="100"/>
            </w:tcMar>
          </w:tcPr>
          <w:p>
            <w:pPr>
              <w:jc w:val="left"/>
            </w:pPr>
            <w:r>
              <w:rPr>
                <w:b w:val="false"/>
                <w:bCs w:val="false"/>
                <w:color w:val="1F2937"/>
                <w:sz w:val="19"/>
                <w:szCs w:val="19"/>
              </w:rPr>
              <w:t xml:space="preserve">2021-11-16, 09:52:33 – 11:42:38 (Asia/Riyadh, UTC+3)</w:t>
            </w:r>
          </w:p>
        </w:tc>
      </w:tr>
      <w:tr>
        <w:tc>
          <w:tcPr>
            <w:tcW w:type="dxa" w:w="3300"/>
            <w:shd w:fill="F3F4F6" w:val="clear"/>
            <w:tcMar>
              <w:top w:type="dxa" w:w="80"/>
              <w:left w:type="dxa" w:w="100"/>
              <w:bottom w:type="dxa" w:w="80"/>
              <w:right w:type="dxa" w:w="100"/>
            </w:tcMar>
          </w:tcPr>
          <w:p>
            <w:pPr>
              <w:jc w:val="left"/>
            </w:pPr>
            <w:r>
              <w:rPr>
                <w:b w:val="false"/>
                <w:bCs w:val="false"/>
                <w:color w:val="1F2937"/>
                <w:sz w:val="19"/>
                <w:szCs w:val="19"/>
              </w:rPr>
              <w:t xml:space="preserve">Investigator</w:t>
            </w:r>
          </w:p>
        </w:tc>
        <w:tc>
          <w:tcPr>
            <w:tcW w:type="dxa" w:w="6600"/>
            <w:shd w:fill="F3F4F6" w:val="clear"/>
            <w:tcMar>
              <w:top w:type="dxa" w:w="80"/>
              <w:left w:type="dxa" w:w="100"/>
              <w:bottom w:type="dxa" w:w="80"/>
              <w:right w:type="dxa" w:w="100"/>
            </w:tcMar>
          </w:tcPr>
          <w:p>
            <w:pPr>
              <w:jc w:val="left"/>
            </w:pPr>
            <w:r>
              <w:rPr>
                <w:b w:val="false"/>
                <w:bCs w:val="false"/>
                <w:color w:val="1F2937"/>
                <w:sz w:val="19"/>
                <w:szCs w:val="19"/>
              </w:rPr>
              <w:t xml:space="preserve">Aljoharah Alqahtani (Cybersecurity Analyst)</w:t>
            </w:r>
          </w:p>
        </w:tc>
      </w:tr>
      <w:tr>
        <w:tc>
          <w:tcPr>
            <w:tcW w:type="dxa" w:w="3300"/>
            <w:tcMar>
              <w:top w:type="dxa" w:w="80"/>
              <w:left w:type="dxa" w:w="100"/>
              <w:bottom w:type="dxa" w:w="80"/>
              <w:right w:type="dxa" w:w="100"/>
            </w:tcMar>
          </w:tcPr>
          <w:p>
            <w:pPr>
              <w:jc w:val="left"/>
            </w:pPr>
            <w:r>
              <w:rPr>
                <w:b w:val="false"/>
                <w:bCs w:val="false"/>
                <w:color w:val="1F2937"/>
                <w:sz w:val="19"/>
                <w:szCs w:val="19"/>
              </w:rPr>
              <w:t xml:space="preserve">Prepared For</w:t>
            </w:r>
          </w:p>
        </w:tc>
        <w:tc>
          <w:tcPr>
            <w:tcW w:type="dxa" w:w="6600"/>
            <w:tcMar>
              <w:top w:type="dxa" w:w="80"/>
              <w:left w:type="dxa" w:w="100"/>
              <w:bottom w:type="dxa" w:w="80"/>
              <w:right w:type="dxa" w:w="100"/>
            </w:tcMar>
          </w:tcPr>
          <w:p>
            <w:pPr>
              <w:jc w:val="left"/>
            </w:pPr>
            <w:r>
              <w:rPr>
                <w:b w:val="false"/>
                <w:bCs w:val="false"/>
                <w:color w:val="1F2937"/>
                <w:sz w:val="19"/>
                <w:szCs w:val="19"/>
              </w:rPr>
              <w:t xml:space="preserve">Cybersecurity Incident Response Team &amp; Investigation Committee</w:t>
            </w:r>
          </w:p>
        </w:tc>
      </w:tr>
      <w:tr>
        <w:tc>
          <w:tcPr>
            <w:tcW w:type="dxa" w:w="3300"/>
            <w:shd w:fill="F3F4F6" w:val="clear"/>
            <w:tcMar>
              <w:top w:type="dxa" w:w="80"/>
              <w:left w:type="dxa" w:w="100"/>
              <w:bottom w:type="dxa" w:w="80"/>
              <w:right w:type="dxa" w:w="100"/>
            </w:tcMar>
          </w:tcPr>
          <w:p>
            <w:pPr>
              <w:jc w:val="left"/>
            </w:pPr>
            <w:r>
              <w:rPr>
                <w:b w:val="false"/>
                <w:bCs w:val="false"/>
                <w:color w:val="1F2937"/>
                <w:sz w:val="19"/>
                <w:szCs w:val="19"/>
              </w:rPr>
              <w:t xml:space="preserve">Report Status</w:t>
            </w:r>
          </w:p>
        </w:tc>
        <w:tc>
          <w:tcPr>
            <w:tcW w:type="dxa" w:w="6600"/>
            <w:shd w:fill="F3F4F6" w:val="clear"/>
            <w:tcMar>
              <w:top w:type="dxa" w:w="80"/>
              <w:left w:type="dxa" w:w="100"/>
              <w:bottom w:type="dxa" w:w="80"/>
              <w:right w:type="dxa" w:w="100"/>
            </w:tcMar>
          </w:tcPr>
          <w:p>
            <w:pPr>
              <w:jc w:val="left"/>
            </w:pPr>
            <w:r>
              <w:rPr>
                <w:b w:val="false"/>
                <w:bCs w:val="false"/>
                <w:color w:val="1F2937"/>
                <w:sz w:val="19"/>
                <w:szCs w:val="19"/>
              </w:rPr>
              <w:t xml:space="preserve">Final — Log-Source-Limited Analysis</w:t>
            </w:r>
          </w:p>
        </w:tc>
      </w:tr>
    </w:tbl>
    <w:p>
      <w:pPr>
        <w:pStyle w:val="Heading1"/>
        <w:pBdr>
          <w:bottom w:val="single" w:color="7A1F2B" w:sz="8" w:space="4"/>
        </w:pBdr>
        <w:spacing w:after="160" w:before="360"/>
      </w:pPr>
      <w:r>
        <w:rPr>
          <w:b/>
          <w:bCs/>
          <w:color w:val="1F2937"/>
          <w:sz w:val="26"/>
          <w:szCs w:val="26"/>
        </w:rPr>
        <w:t xml:space="preserve">1. Executive Summary</w:t>
      </w:r>
    </w:p>
    <w:p>
      <w:pPr>
        <w:spacing w:after="160" w:line="300"/>
      </w:pPr>
      <w:r>
        <w:rPr>
          <w:color w:val="1F2937"/>
          <w:sz w:val="21"/>
          <w:szCs w:val="21"/>
        </w:rPr>
        <w:t xml:space="preserve">Proxy telemetry for user Fahad3315 on 2021-11-16 reveals an active security-verification pattern between 10:03 and 11:42 (UTC+3), characterized by repeated queries to VirusTotal and HaveIBeenPwned (HIBP), interleaved with a perimeter-blocked attempt to access a known defacement repository (zone-h.org).</w:t>
      </w:r>
    </w:p>
    <w:p>
      <w:pPr>
        <w:spacing w:after="160" w:line="300"/>
      </w:pPr>
      <w:r>
        <w:rPr>
          <w:color w:val="1F2937"/>
          <w:sz w:val="21"/>
          <w:szCs w:val="21"/>
        </w:rPr>
        <w:t xml:space="preserve">This telemetry establishes an observable timeline of user activity connecting the account to the broader incident window. Because this dataset is restricted strictly to outbound web-proxy logs, it cannot confirm or refute claims of identity impersonation or outbound phishing emails — attribution of unauthorized email activity requires the supplementary mail-gateway and identity audit records detailed in Section 7.</w:t>
      </w:r>
    </w:p>
    <w:p>
      <w:pPr>
        <w:pStyle w:val="Heading1"/>
        <w:pBdr>
          <w:bottom w:val="single" w:color="7A1F2B" w:sz="8" w:space="4"/>
        </w:pBdr>
        <w:spacing w:after="160" w:before="360"/>
      </w:pPr>
      <w:r>
        <w:rPr>
          <w:b/>
          <w:bCs/>
          <w:color w:val="1F2937"/>
          <w:sz w:val="26"/>
          <w:szCs w:val="26"/>
        </w:rPr>
        <w:t xml:space="preserve">2. Scope and Evidence Source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6600"/>
      </w:tblGrid>
      <w:tr>
        <w:tc>
          <w:tcPr>
            <w:tcW w:type="dxa" w:w="3300"/>
            <w:shd w:fill="F3F4F6" w:val="clear"/>
            <w:tcMar>
              <w:top w:type="dxa" w:w="80"/>
              <w:left w:type="dxa" w:w="100"/>
              <w:bottom w:type="dxa" w:w="80"/>
              <w:right w:type="dxa" w:w="100"/>
            </w:tcMar>
          </w:tcPr>
          <w:p>
            <w:pPr>
              <w:jc w:val="left"/>
            </w:pPr>
            <w:r>
              <w:rPr>
                <w:b w:val="false"/>
                <w:bCs w:val="false"/>
                <w:color w:val="1F2937"/>
                <w:sz w:val="19"/>
                <w:szCs w:val="19"/>
              </w:rPr>
              <w:t xml:space="preserve">Total records analyzed</w:t>
            </w:r>
          </w:p>
        </w:tc>
        <w:tc>
          <w:tcPr>
            <w:tcW w:type="dxa" w:w="6600"/>
            <w:shd w:fill="F3F4F6" w:val="clear"/>
            <w:tcMar>
              <w:top w:type="dxa" w:w="80"/>
              <w:left w:type="dxa" w:w="100"/>
              <w:bottom w:type="dxa" w:w="80"/>
              <w:right w:type="dxa" w:w="100"/>
            </w:tcMar>
          </w:tcPr>
          <w:p>
            <w:pPr>
              <w:jc w:val="left"/>
            </w:pPr>
            <w:r>
              <w:rPr>
                <w:b w:val="false"/>
                <w:bCs w:val="false"/>
                <w:color w:val="1F2937"/>
                <w:sz w:val="19"/>
                <w:szCs w:val="19"/>
              </w:rPr>
              <w:t xml:space="preserve">26 log entries (bluecoat:proxysg:access:file)</w:t>
            </w:r>
          </w:p>
        </w:tc>
      </w:tr>
      <w:tr>
        <w:tc>
          <w:tcPr>
            <w:tcW w:type="dxa" w:w="3300"/>
            <w:tcMar>
              <w:top w:type="dxa" w:w="80"/>
              <w:left w:type="dxa" w:w="100"/>
              <w:bottom w:type="dxa" w:w="80"/>
              <w:right w:type="dxa" w:w="100"/>
            </w:tcMar>
          </w:tcPr>
          <w:p>
            <w:pPr>
              <w:jc w:val="left"/>
            </w:pPr>
            <w:r>
              <w:rPr>
                <w:b w:val="false"/>
                <w:bCs w:val="false"/>
                <w:color w:val="1F2937"/>
                <w:sz w:val="19"/>
                <w:szCs w:val="19"/>
              </w:rPr>
              <w:t xml:space="preserve">User &amp; source host</w:t>
            </w:r>
          </w:p>
        </w:tc>
        <w:tc>
          <w:tcPr>
            <w:tcW w:type="dxa" w:w="6600"/>
            <w:tcMar>
              <w:top w:type="dxa" w:w="80"/>
              <w:left w:type="dxa" w:w="100"/>
              <w:bottom w:type="dxa" w:w="80"/>
              <w:right w:type="dxa" w:w="100"/>
            </w:tcMar>
          </w:tcPr>
          <w:p>
            <w:pPr>
              <w:jc w:val="left"/>
            </w:pPr>
            <w:r>
              <w:rPr>
                <w:b w:val="false"/>
                <w:bCs w:val="false"/>
                <w:color w:val="1F2937"/>
                <w:sz w:val="19"/>
                <w:szCs w:val="19"/>
              </w:rPr>
              <w:t xml:space="preserve">Single authenticated user (Fahad3315) mapped to source IP 10.55.66.777</w:t>
            </w:r>
          </w:p>
        </w:tc>
      </w:tr>
      <w:tr>
        <w:tc>
          <w:tcPr>
            <w:tcW w:type="dxa" w:w="3300"/>
            <w:shd w:fill="F3F4F6" w:val="clear"/>
            <w:tcMar>
              <w:top w:type="dxa" w:w="80"/>
              <w:left w:type="dxa" w:w="100"/>
              <w:bottom w:type="dxa" w:w="80"/>
              <w:right w:type="dxa" w:w="100"/>
            </w:tcMar>
          </w:tcPr>
          <w:p>
            <w:pPr>
              <w:jc w:val="left"/>
            </w:pPr>
            <w:r>
              <w:rPr>
                <w:b w:val="false"/>
                <w:bCs w:val="false"/>
                <w:color w:val="1F2937"/>
                <w:sz w:val="19"/>
                <w:szCs w:val="19"/>
              </w:rPr>
              <w:t xml:space="preserve">Proxy collector / auth group</w:t>
            </w:r>
          </w:p>
        </w:tc>
        <w:tc>
          <w:tcPr>
            <w:tcW w:type="dxa" w:w="6600"/>
            <w:shd w:fill="F3F4F6" w:val="clear"/>
            <w:tcMar>
              <w:top w:type="dxa" w:w="80"/>
              <w:left w:type="dxa" w:w="100"/>
              <w:bottom w:type="dxa" w:w="80"/>
              <w:right w:type="dxa" w:w="100"/>
            </w:tcMar>
          </w:tcPr>
          <w:p>
            <w:pPr>
              <w:jc w:val="left"/>
            </w:pPr>
            <w:r>
              <w:rPr>
                <w:b w:val="false"/>
                <w:bCs w:val="false"/>
                <w:color w:val="1F2937"/>
                <w:sz w:val="19"/>
                <w:szCs w:val="19"/>
              </w:rPr>
              <w:t xml:space="preserve">Collector 10.20.30.40  |  Group: stc\proxylanusers</w:t>
            </w:r>
          </w:p>
        </w:tc>
      </w:tr>
      <w:tr>
        <w:tc>
          <w:tcPr>
            <w:tcW w:type="dxa" w:w="3300"/>
            <w:tcMar>
              <w:top w:type="dxa" w:w="80"/>
              <w:left w:type="dxa" w:w="100"/>
              <w:bottom w:type="dxa" w:w="80"/>
              <w:right w:type="dxa" w:w="100"/>
            </w:tcMar>
          </w:tcPr>
          <w:p>
            <w:pPr>
              <w:jc w:val="left"/>
            </w:pPr>
            <w:r>
              <w:rPr>
                <w:b w:val="false"/>
                <w:bCs w:val="false"/>
                <w:color w:val="1F2937"/>
                <w:sz w:val="19"/>
                <w:szCs w:val="19"/>
              </w:rPr>
              <w:t xml:space="preserve">Distinct destinations</w:t>
            </w:r>
          </w:p>
        </w:tc>
        <w:tc>
          <w:tcPr>
            <w:tcW w:type="dxa" w:w="6600"/>
            <w:tcMar>
              <w:top w:type="dxa" w:w="80"/>
              <w:left w:type="dxa" w:w="100"/>
              <w:bottom w:type="dxa" w:w="80"/>
              <w:right w:type="dxa" w:w="100"/>
            </w:tcMar>
          </w:tcPr>
          <w:p>
            <w:pPr>
              <w:jc w:val="left"/>
            </w:pPr>
            <w:r>
              <w:rPr>
                <w:b w:val="false"/>
                <w:bCs w:val="false"/>
                <w:color w:val="1F2937"/>
                <w:sz w:val="19"/>
                <w:szCs w:val="19"/>
              </w:rPr>
              <w:t xml:space="preserve">haveibeenpwned.com, www.virustotal.com, www.zone-h.org, youtube.com, www.youtube.com</w:t>
            </w:r>
          </w:p>
        </w:tc>
      </w:tr>
    </w:tbl>
    <w:p>
      <w:pPr>
        <w:spacing w:after="160" w:line="300"/>
      </w:pPr>
      <w:r>
        <w:rPr>
          <w:color w:val="1F2937"/>
          <w:sz w:val="21"/>
          <w:szCs w:val="21"/>
        </w:rPr>
        <w:t xml:space="preserve"/>
      </w:r>
    </w:p>
    <w:p>
      <w:pPr>
        <w:spacing w:after="160" w:line="300"/>
      </w:pPr>
      <w:r>
        <w:rPr>
          <w:b/>
          <w:bCs/>
          <w:color w:val="7A1F2B"/>
          <w:sz w:val="21"/>
          <w:szCs w:val="21"/>
        </w:rPr>
        <w:t xml:space="preserve">Background Traffic Excluded: </w:t>
      </w:r>
      <w:r>
        <w:rPr>
          <w:color w:val="1F2937"/>
          <w:sz w:val="21"/>
          <w:szCs w:val="21"/>
        </w:rPr>
        <w:t xml:space="preserve">12 of the 26 records correspond to routine YouTube streaming sessions (09:52–09:56 and 11:18–11:22). This activity was evaluated as non-malicious background browsing, bears no relation to the security-verification pattern, and is excluded from the incident timeline in Section 3 to keep the analysis focused.</w:t>
      </w:r>
    </w:p>
    <w:p>
      <w:pPr>
        <w:spacing w:after="160" w:line="300"/>
      </w:pPr>
      <w:r>
        <w:rPr>
          <w:b/>
          <w:bCs/>
          <w:color w:val="7A1F2B"/>
          <w:sz w:val="21"/>
          <w:szCs w:val="21"/>
        </w:rPr>
        <w:t xml:space="preserve">Data Integrity Flag: </w:t>
      </w:r>
      <w:r>
        <w:rPr>
          <w:color w:val="1F2937"/>
          <w:sz w:val="21"/>
          <w:szCs w:val="21"/>
        </w:rPr>
        <w:t xml:space="preserve">The recorded source IP (10.55.66.777) is an invalid IPv4 address (octet “777” exceeds 255). This must be flagged to log engineering — it suggests log scrubbing, an export artifact, or network-level masking, and reduces confidence in host-level attribution.</w:t>
      </w:r>
    </w:p>
    <w:p>
      <w:pPr>
        <w:spacing w:after="160" w:line="300"/>
      </w:pPr>
      <w:r>
        <w:rPr>
          <w:color w:val="1F2937"/>
          <w:sz w:val="21"/>
          <w:szCs w:val="21"/>
        </w:rPr>
        <w:t xml:space="preserve">Inspection constraints: with the exception of zone-h.org, all sessions were TLS-tunneled (CONNECT/TUNNELED on TCP 443). The proxy captured session metadata, transfer volumes, and timestamps, but payload content, search queries, and submitted hashes/URLs remained encrypted.</w:t>
      </w:r>
    </w:p>
    <w:p>
      <w:pPr>
        <w:pStyle w:val="Heading1"/>
        <w:pBdr>
          <w:bottom w:val="single" w:color="7A1F2B" w:sz="8" w:space="4"/>
        </w:pBdr>
        <w:spacing w:after="160" w:before="360"/>
      </w:pPr>
      <w:r>
        <w:rPr>
          <w:b/>
          <w:bCs/>
          <w:color w:val="1F2937"/>
          <w:sz w:val="26"/>
          <w:szCs w:val="26"/>
        </w:rPr>
        <w:t xml:space="preserve">3. Incident Timeline of Events</w:t>
      </w:r>
    </w:p>
    <w:p>
      <w:pPr>
        <w:spacing w:after="160" w:line="300"/>
      </w:pPr>
      <w:r>
        <w:rPr>
          <w:i/>
          <w:iCs/>
          <w:color w:val="6B7280"/>
          <w:sz w:val="19"/>
          <w:szCs w:val="19"/>
        </w:rPr>
        <w:t xml:space="preserve">Restricted to security-relevant queries and policy-violation events; routine background browsing is excluded per Section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200"/>
        <w:gridCol w:w="2700"/>
        <w:gridCol w:w="1300"/>
        <w:gridCol w:w="1700"/>
      </w:tblGrid>
      <w:tr>
        <w:trPr>
          <w:tblHeader/>
        </w:trPr>
        <w:tc>
          <w:tcPr>
            <w:tcW w:type="dxa" w:w="500"/>
            <w:shd w:fill="1F2937" w:val="clear"/>
            <w:tcMar>
              <w:top w:type="dxa" w:w="80"/>
              <w:left w:type="dxa" w:w="100"/>
              <w:bottom w:type="dxa" w:w="80"/>
              <w:right w:type="dxa" w:w="100"/>
            </w:tcMar>
          </w:tcPr>
          <w:p>
            <w:pPr>
              <w:jc w:val="left"/>
            </w:pPr>
            <w:r>
              <w:rPr>
                <w:b/>
                <w:bCs/>
                <w:color w:val="FFFFFF"/>
                <w:sz w:val="19"/>
                <w:szCs w:val="19"/>
              </w:rPr>
              <w:t xml:space="preserve">#</w:t>
            </w:r>
          </w:p>
        </w:tc>
        <w:tc>
          <w:tcPr>
            <w:tcW w:type="dxa" w:w="1500"/>
            <w:shd w:fill="1F2937" w:val="clear"/>
            <w:tcMar>
              <w:top w:type="dxa" w:w="80"/>
              <w:left w:type="dxa" w:w="100"/>
              <w:bottom w:type="dxa" w:w="80"/>
              <w:right w:type="dxa" w:w="100"/>
            </w:tcMar>
          </w:tcPr>
          <w:p>
            <w:pPr>
              <w:jc w:val="left"/>
            </w:pPr>
            <w:r>
              <w:rPr>
                <w:b/>
                <w:bCs/>
                <w:color w:val="FFFFFF"/>
                <w:sz w:val="19"/>
                <w:szCs w:val="19"/>
              </w:rPr>
              <w:t xml:space="preserve">Time (UTC+3)</w:t>
            </w:r>
          </w:p>
        </w:tc>
        <w:tc>
          <w:tcPr>
            <w:tcW w:type="dxa" w:w="2200"/>
            <w:shd w:fill="1F2937" w:val="clear"/>
            <w:tcMar>
              <w:top w:type="dxa" w:w="80"/>
              <w:left w:type="dxa" w:w="100"/>
              <w:bottom w:type="dxa" w:w="80"/>
              <w:right w:type="dxa" w:w="100"/>
            </w:tcMar>
          </w:tcPr>
          <w:p>
            <w:pPr>
              <w:jc w:val="left"/>
            </w:pPr>
            <w:r>
              <w:rPr>
                <w:b/>
                <w:bCs/>
                <w:color w:val="FFFFFF"/>
                <w:sz w:val="19"/>
                <w:szCs w:val="19"/>
              </w:rPr>
              <w:t xml:space="preserve">Destination</w:t>
            </w:r>
          </w:p>
        </w:tc>
        <w:tc>
          <w:tcPr>
            <w:tcW w:type="dxa" w:w="2700"/>
            <w:shd w:fill="1F2937" w:val="clear"/>
            <w:tcMar>
              <w:top w:type="dxa" w:w="80"/>
              <w:left w:type="dxa" w:w="100"/>
              <w:bottom w:type="dxa" w:w="80"/>
              <w:right w:type="dxa" w:w="100"/>
            </w:tcMar>
          </w:tcPr>
          <w:p>
            <w:pPr>
              <w:jc w:val="left"/>
            </w:pPr>
            <w:r>
              <w:rPr>
                <w:b/>
                <w:bCs/>
                <w:color w:val="FFFFFF"/>
                <w:sz w:val="19"/>
                <w:szCs w:val="19"/>
              </w:rPr>
              <w:t xml:space="preserve">Method / Result</w:t>
            </w:r>
          </w:p>
        </w:tc>
        <w:tc>
          <w:tcPr>
            <w:tcW w:type="dxa" w:w="1300"/>
            <w:shd w:fill="1F2937" w:val="clear"/>
            <w:tcMar>
              <w:top w:type="dxa" w:w="80"/>
              <w:left w:type="dxa" w:w="100"/>
              <w:bottom w:type="dxa" w:w="80"/>
              <w:right w:type="dxa" w:w="100"/>
            </w:tcMar>
          </w:tcPr>
          <w:p>
            <w:pPr>
              <w:jc w:val="left"/>
            </w:pPr>
            <w:r>
              <w:rPr>
                <w:b/>
                <w:bCs/>
                <w:color w:val="FFFFFF"/>
                <w:sz w:val="19"/>
                <w:szCs w:val="19"/>
              </w:rPr>
              <w:t xml:space="preserve">Bytes In</w:t>
            </w:r>
          </w:p>
        </w:tc>
        <w:tc>
          <w:tcPr>
            <w:tcW w:type="dxa" w:w="1700"/>
            <w:shd w:fill="1F2937" w:val="clear"/>
            <w:tcMar>
              <w:top w:type="dxa" w:w="80"/>
              <w:left w:type="dxa" w:w="100"/>
              <w:bottom w:type="dxa" w:w="80"/>
              <w:right w:type="dxa" w:w="100"/>
            </w:tcMar>
          </w:tcPr>
          <w:p>
            <w:pPr>
              <w:jc w:val="left"/>
            </w:pPr>
            <w:r>
              <w:rPr>
                <w:b/>
                <w:bCs/>
                <w:color w:val="FFFFFF"/>
                <w:sz w:val="19"/>
                <w:szCs w:val="19"/>
              </w:rPr>
              <w:t xml:space="preserve">Category</w:t>
            </w:r>
          </w:p>
        </w:tc>
      </w:tr>
      <w:tr>
        <w:tc>
          <w:tcPr>
            <w:tcW w:type="dxa" w:w="500"/>
            <w:shd w:fill="F3F4F6" w:val="clear"/>
            <w:tcMar>
              <w:top w:type="dxa" w:w="80"/>
              <w:left w:type="dxa" w:w="100"/>
              <w:bottom w:type="dxa" w:w="80"/>
              <w:right w:type="dxa" w:w="100"/>
            </w:tcMar>
          </w:tcPr>
          <w:p>
            <w:pPr>
              <w:jc w:val="left"/>
            </w:pPr>
            <w:r>
              <w:rPr>
                <w:b w:val="false"/>
                <w:bCs w:val="false"/>
                <w:color w:val="1F2937"/>
                <w:sz w:val="19"/>
                <w:szCs w:val="19"/>
              </w:rPr>
              <w:t xml:space="preserve">1</w:t>
            </w:r>
          </w:p>
        </w:tc>
        <w:tc>
          <w:tcPr>
            <w:tcW w:type="dxa" w:w="1500"/>
            <w:shd w:fill="F3F4F6" w:val="clear"/>
            <w:tcMar>
              <w:top w:type="dxa" w:w="80"/>
              <w:left w:type="dxa" w:w="100"/>
              <w:bottom w:type="dxa" w:w="80"/>
              <w:right w:type="dxa" w:w="100"/>
            </w:tcMar>
          </w:tcPr>
          <w:p>
            <w:pPr>
              <w:jc w:val="left"/>
            </w:pPr>
            <w:r>
              <w:rPr>
                <w:b w:val="false"/>
                <w:bCs w:val="false"/>
                <w:color w:val="1F2937"/>
                <w:sz w:val="19"/>
                <w:szCs w:val="19"/>
              </w:rPr>
              <w:t xml:space="preserve">10:03:34–36</w:t>
            </w:r>
          </w:p>
        </w:tc>
        <w:tc>
          <w:tcPr>
            <w:tcW w:type="dxa" w:w="2200"/>
            <w:shd w:fill="F3F4F6" w:val="clear"/>
            <w:tcMar>
              <w:top w:type="dxa" w:w="80"/>
              <w:left w:type="dxa" w:w="100"/>
              <w:bottom w:type="dxa" w:w="80"/>
              <w:right w:type="dxa" w:w="100"/>
            </w:tcMar>
          </w:tcPr>
          <w:p>
            <w:pPr>
              <w:jc w:val="left"/>
            </w:pPr>
            <w:r>
              <w:rPr>
                <w:b w:val="false"/>
                <w:bCs w:val="false"/>
                <w:color w:val="1F2937"/>
                <w:sz w:val="19"/>
                <w:szCs w:val="19"/>
              </w:rPr>
              <w:t xml:space="preserve">www.virustotal.com</w:t>
            </w:r>
          </w:p>
        </w:tc>
        <w:tc>
          <w:tcPr>
            <w:tcW w:type="dxa" w:w="2700"/>
            <w:shd w:fill="F3F4F6" w:val="clear"/>
            <w:tcMar>
              <w:top w:type="dxa" w:w="80"/>
              <w:left w:type="dxa" w:w="100"/>
              <w:bottom w:type="dxa" w:w="80"/>
              <w:right w:type="dxa" w:w="100"/>
            </w:tcMar>
          </w:tcPr>
          <w:p>
            <w:pPr>
              <w:jc w:val="left"/>
            </w:pPr>
            <w:r>
              <w:rPr>
                <w:b w:val="false"/>
                <w:bCs w:val="false"/>
                <w:color w:val="1F2937"/>
                <w:sz w:val="19"/>
                <w:szCs w:val="19"/>
              </w:rPr>
              <w:t xml:space="preserve">Allowed / CONNECT (×3) &amp; TUNNELED</w:t>
            </w:r>
          </w:p>
        </w:tc>
        <w:tc>
          <w:tcPr>
            <w:tcW w:type="dxa" w:w="1300"/>
            <w:shd w:fill="F3F4F6" w:val="clear"/>
            <w:tcMar>
              <w:top w:type="dxa" w:w="80"/>
              <w:left w:type="dxa" w:w="100"/>
              <w:bottom w:type="dxa" w:w="80"/>
              <w:right w:type="dxa" w:w="100"/>
            </w:tcMar>
          </w:tcPr>
          <w:p>
            <w:pPr>
              <w:jc w:val="left"/>
            </w:pPr>
            <w:r>
              <w:rPr>
                <w:b w:val="false"/>
                <w:bCs w:val="false"/>
                <w:color w:val="1F2937"/>
                <w:sz w:val="19"/>
                <w:szCs w:val="19"/>
              </w:rPr>
              <w:t xml:space="preserve">2,051</w:t>
            </w:r>
          </w:p>
        </w:tc>
        <w:tc>
          <w:tcPr>
            <w:tcW w:type="dxa" w:w="1700"/>
            <w:shd w:fill="F3F4F6" w:val="clear"/>
            <w:tcMar>
              <w:top w:type="dxa" w:w="80"/>
              <w:left w:type="dxa" w:w="100"/>
              <w:bottom w:type="dxa" w:w="80"/>
              <w:right w:type="dxa" w:w="100"/>
            </w:tcMar>
          </w:tcPr>
          <w:p>
            <w:pPr>
              <w:jc w:val="left"/>
            </w:pPr>
            <w:r>
              <w:rPr>
                <w:b w:val="false"/>
                <w:bCs w:val="false"/>
                <w:color w:val="1F2937"/>
                <w:sz w:val="19"/>
                <w:szCs w:val="19"/>
              </w:rPr>
              <w:t xml:space="preserve">Online Services</w:t>
            </w:r>
          </w:p>
        </w:tc>
      </w:tr>
      <w:tr>
        <w:tc>
          <w:tcPr>
            <w:tcW w:type="dxa" w:w="500"/>
            <w:tcMar>
              <w:top w:type="dxa" w:w="80"/>
              <w:left w:type="dxa" w:w="100"/>
              <w:bottom w:type="dxa" w:w="80"/>
              <w:right w:type="dxa" w:w="100"/>
            </w:tcMar>
          </w:tcPr>
          <w:p>
            <w:pPr>
              <w:jc w:val="left"/>
            </w:pPr>
            <w:r>
              <w:rPr>
                <w:b w:val="false"/>
                <w:bCs w:val="false"/>
                <w:color w:val="1F2937"/>
                <w:sz w:val="19"/>
                <w:szCs w:val="19"/>
              </w:rPr>
              <w:t xml:space="preserve">2</w:t>
            </w:r>
          </w:p>
        </w:tc>
        <w:tc>
          <w:tcPr>
            <w:tcW w:type="dxa" w:w="1500"/>
            <w:tcMar>
              <w:top w:type="dxa" w:w="80"/>
              <w:left w:type="dxa" w:w="100"/>
              <w:bottom w:type="dxa" w:w="80"/>
              <w:right w:type="dxa" w:w="100"/>
            </w:tcMar>
          </w:tcPr>
          <w:p>
            <w:pPr>
              <w:jc w:val="left"/>
            </w:pPr>
            <w:r>
              <w:rPr>
                <w:b w:val="false"/>
                <w:bCs w:val="false"/>
                <w:color w:val="1F2937"/>
                <w:sz w:val="19"/>
                <w:szCs w:val="19"/>
              </w:rPr>
              <w:t xml:space="preserve">10:07:37</w:t>
            </w:r>
          </w:p>
        </w:tc>
        <w:tc>
          <w:tcPr>
            <w:tcW w:type="dxa" w:w="2200"/>
            <w:tcMar>
              <w:top w:type="dxa" w:w="80"/>
              <w:left w:type="dxa" w:w="100"/>
              <w:bottom w:type="dxa" w:w="80"/>
              <w:right w:type="dxa" w:w="100"/>
            </w:tcMar>
          </w:tcPr>
          <w:p>
            <w:pPr>
              <w:jc w:val="left"/>
            </w:pPr>
            <w:r>
              <w:rPr>
                <w:b w:val="false"/>
                <w:bCs w:val="false"/>
                <w:color w:val="1F2937"/>
                <w:sz w:val="19"/>
                <w:szCs w:val="19"/>
              </w:rPr>
              <w:t xml:space="preserve">www.virustotal.com</w:t>
            </w:r>
          </w:p>
        </w:tc>
        <w:tc>
          <w:tcPr>
            <w:tcW w:type="dxa" w:w="2700"/>
            <w:tcMar>
              <w:top w:type="dxa" w:w="80"/>
              <w:left w:type="dxa" w:w="100"/>
              <w:bottom w:type="dxa" w:w="80"/>
              <w:right w:type="dxa" w:w="100"/>
            </w:tcMar>
          </w:tcPr>
          <w:p>
            <w:pPr>
              <w:jc w:val="left"/>
            </w:pPr>
            <w:r>
              <w:rPr>
                <w:b w:val="false"/>
                <w:bCs w:val="false"/>
                <w:color w:val="1F2937"/>
                <w:sz w:val="19"/>
                <w:szCs w:val="19"/>
              </w:rPr>
              <w:t xml:space="preserve">Allowed / TUNNELED</w:t>
            </w:r>
          </w:p>
        </w:tc>
        <w:tc>
          <w:tcPr>
            <w:tcW w:type="dxa" w:w="1300"/>
            <w:tcMar>
              <w:top w:type="dxa" w:w="80"/>
              <w:left w:type="dxa" w:w="100"/>
              <w:bottom w:type="dxa" w:w="80"/>
              <w:right w:type="dxa" w:w="100"/>
            </w:tcMar>
          </w:tcPr>
          <w:p>
            <w:pPr>
              <w:jc w:val="left"/>
            </w:pPr>
            <w:r>
              <w:rPr>
                <w:b w:val="false"/>
                <w:bCs w:val="false"/>
                <w:color w:val="1F2937"/>
                <w:sz w:val="19"/>
                <w:szCs w:val="19"/>
              </w:rPr>
              <w:t xml:space="preserve">3,152</w:t>
            </w:r>
          </w:p>
        </w:tc>
        <w:tc>
          <w:tcPr>
            <w:tcW w:type="dxa" w:w="1700"/>
            <w:tcMar>
              <w:top w:type="dxa" w:w="80"/>
              <w:left w:type="dxa" w:w="100"/>
              <w:bottom w:type="dxa" w:w="80"/>
              <w:right w:type="dxa" w:w="100"/>
            </w:tcMar>
          </w:tcPr>
          <w:p>
            <w:pPr>
              <w:jc w:val="left"/>
            </w:pPr>
            <w:r>
              <w:rPr>
                <w:b w:val="false"/>
                <w:bCs w:val="false"/>
                <w:color w:val="1F2937"/>
                <w:sz w:val="19"/>
                <w:szCs w:val="19"/>
              </w:rPr>
              <w:t xml:space="preserve">Online Services</w:t>
            </w:r>
          </w:p>
        </w:tc>
      </w:tr>
      <w:tr>
        <w:tc>
          <w:tcPr>
            <w:tcW w:type="dxa" w:w="500"/>
            <w:shd w:fill="FDF3D8" w:val="clear"/>
            <w:tcMar>
              <w:top w:type="dxa" w:w="80"/>
              <w:left w:type="dxa" w:w="100"/>
              <w:bottom w:type="dxa" w:w="80"/>
              <w:right w:type="dxa" w:w="100"/>
            </w:tcMar>
          </w:tcPr>
          <w:p>
            <w:pPr>
              <w:jc w:val="left"/>
            </w:pPr>
            <w:r>
              <w:rPr>
                <w:b w:val="false"/>
                <w:bCs w:val="false"/>
                <w:color w:val="1F2937"/>
                <w:sz w:val="19"/>
                <w:szCs w:val="19"/>
              </w:rPr>
              <w:t xml:space="preserve">3</w:t>
            </w:r>
          </w:p>
        </w:tc>
        <w:tc>
          <w:tcPr>
            <w:tcW w:type="dxa" w:w="1500"/>
            <w:shd w:fill="FDF3D8" w:val="clear"/>
            <w:tcMar>
              <w:top w:type="dxa" w:w="80"/>
              <w:left w:type="dxa" w:w="100"/>
              <w:bottom w:type="dxa" w:w="80"/>
              <w:right w:type="dxa" w:w="100"/>
            </w:tcMar>
          </w:tcPr>
          <w:p>
            <w:pPr>
              <w:jc w:val="left"/>
            </w:pPr>
            <w:r>
              <w:rPr>
                <w:b w:val="false"/>
                <w:bCs w:val="false"/>
                <w:color w:val="1F2937"/>
                <w:sz w:val="19"/>
                <w:szCs w:val="19"/>
              </w:rPr>
              <w:t xml:space="preserve">10:08:08</w:t>
            </w:r>
          </w:p>
        </w:tc>
        <w:tc>
          <w:tcPr>
            <w:tcW w:type="dxa" w:w="2200"/>
            <w:shd w:fill="FDF3D8" w:val="clear"/>
            <w:tcMar>
              <w:top w:type="dxa" w:w="80"/>
              <w:left w:type="dxa" w:w="100"/>
              <w:bottom w:type="dxa" w:w="80"/>
              <w:right w:type="dxa" w:w="100"/>
            </w:tcMar>
          </w:tcPr>
          <w:p>
            <w:pPr>
              <w:jc w:val="left"/>
            </w:pPr>
            <w:r>
              <w:rPr>
                <w:b w:val="false"/>
                <w:bCs w:val="false"/>
                <w:color w:val="1F2937"/>
                <w:sz w:val="19"/>
                <w:szCs w:val="19"/>
              </w:rPr>
              <w:t xml:space="preserve">www.virustotal.com</w:t>
            </w:r>
          </w:p>
        </w:tc>
        <w:tc>
          <w:tcPr>
            <w:tcW w:type="dxa" w:w="2700"/>
            <w:shd w:fill="FDF3D8" w:val="clear"/>
            <w:tcMar>
              <w:top w:type="dxa" w:w="80"/>
              <w:left w:type="dxa" w:w="100"/>
              <w:bottom w:type="dxa" w:w="80"/>
              <w:right w:type="dxa" w:w="100"/>
            </w:tcMar>
          </w:tcPr>
          <w:p>
            <w:pPr>
              <w:jc w:val="left"/>
            </w:pPr>
            <w:r>
              <w:rPr>
                <w:b w:val="false"/>
                <w:bCs w:val="false"/>
                <w:color w:val="1F2937"/>
                <w:sz w:val="19"/>
                <w:szCs w:val="19"/>
              </w:rPr>
              <w:t xml:space="preserve">Allowed / TUNNELED</w:t>
            </w:r>
          </w:p>
        </w:tc>
        <w:tc>
          <w:tcPr>
            <w:tcW w:type="dxa" w:w="1300"/>
            <w:shd w:fill="FDF3D8" w:val="clear"/>
            <w:tcMar>
              <w:top w:type="dxa" w:w="80"/>
              <w:left w:type="dxa" w:w="100"/>
              <w:bottom w:type="dxa" w:w="80"/>
              <w:right w:type="dxa" w:w="100"/>
            </w:tcMar>
          </w:tcPr>
          <w:p>
            <w:pPr>
              <w:jc w:val="left"/>
            </w:pPr>
            <w:r>
              <w:rPr>
                <w:b w:val="false"/>
                <w:bCs w:val="false"/>
                <w:color w:val="1F2937"/>
                <w:sz w:val="19"/>
                <w:szCs w:val="19"/>
              </w:rPr>
              <w:t xml:space="preserve">644,251</w:t>
            </w:r>
          </w:p>
        </w:tc>
        <w:tc>
          <w:tcPr>
            <w:tcW w:type="dxa" w:w="1700"/>
            <w:shd w:fill="FDF3D8" w:val="clear"/>
            <w:tcMar>
              <w:top w:type="dxa" w:w="80"/>
              <w:left w:type="dxa" w:w="100"/>
              <w:bottom w:type="dxa" w:w="80"/>
              <w:right w:type="dxa" w:w="100"/>
            </w:tcMar>
          </w:tcPr>
          <w:p>
            <w:pPr>
              <w:jc w:val="left"/>
            </w:pPr>
            <w:r>
              <w:rPr>
                <w:b w:val="false"/>
                <w:bCs w:val="false"/>
                <w:color w:val="1F2937"/>
                <w:sz w:val="19"/>
                <w:szCs w:val="19"/>
              </w:rPr>
              <w:t xml:space="preserve">Online Services</w:t>
            </w:r>
          </w:p>
        </w:tc>
      </w:tr>
      <w:tr>
        <w:tc>
          <w:tcPr>
            <w:tcW w:type="dxa" w:w="500"/>
            <w:shd w:fill="FDF3D8" w:val="clear"/>
            <w:tcMar>
              <w:top w:type="dxa" w:w="80"/>
              <w:left w:type="dxa" w:w="100"/>
              <w:bottom w:type="dxa" w:w="80"/>
              <w:right w:type="dxa" w:w="100"/>
            </w:tcMar>
          </w:tcPr>
          <w:p>
            <w:pPr>
              <w:jc w:val="left"/>
            </w:pPr>
            <w:r>
              <w:rPr>
                <w:b w:val="false"/>
                <w:bCs w:val="false"/>
                <w:color w:val="1F2937"/>
                <w:sz w:val="19"/>
                <w:szCs w:val="19"/>
              </w:rPr>
              <w:t xml:space="preserve">4</w:t>
            </w:r>
          </w:p>
        </w:tc>
        <w:tc>
          <w:tcPr>
            <w:tcW w:type="dxa" w:w="1500"/>
            <w:shd w:fill="FDF3D8" w:val="clear"/>
            <w:tcMar>
              <w:top w:type="dxa" w:w="80"/>
              <w:left w:type="dxa" w:w="100"/>
              <w:bottom w:type="dxa" w:w="80"/>
              <w:right w:type="dxa" w:w="100"/>
            </w:tcMar>
          </w:tcPr>
          <w:p>
            <w:pPr>
              <w:jc w:val="left"/>
            </w:pPr>
            <w:r>
              <w:rPr>
                <w:b w:val="false"/>
                <w:bCs w:val="false"/>
                <w:color w:val="1F2937"/>
                <w:sz w:val="19"/>
                <w:szCs w:val="19"/>
              </w:rPr>
              <w:t xml:space="preserve">11:37:32</w:t>
            </w:r>
          </w:p>
        </w:tc>
        <w:tc>
          <w:tcPr>
            <w:tcW w:type="dxa" w:w="2200"/>
            <w:shd w:fill="FDF3D8" w:val="clear"/>
            <w:tcMar>
              <w:top w:type="dxa" w:w="80"/>
              <w:left w:type="dxa" w:w="100"/>
              <w:bottom w:type="dxa" w:w="80"/>
              <w:right w:type="dxa" w:w="100"/>
            </w:tcMar>
          </w:tcPr>
          <w:p>
            <w:pPr>
              <w:jc w:val="left"/>
            </w:pPr>
            <w:r>
              <w:rPr>
                <w:b w:val="false"/>
                <w:bCs w:val="false"/>
                <w:color w:val="1F2937"/>
                <w:sz w:val="19"/>
                <w:szCs w:val="19"/>
              </w:rPr>
              <w:t xml:space="preserve">haveibeenpwned.com</w:t>
            </w:r>
          </w:p>
        </w:tc>
        <w:tc>
          <w:tcPr>
            <w:tcW w:type="dxa" w:w="2700"/>
            <w:shd w:fill="FDF3D8" w:val="clear"/>
            <w:tcMar>
              <w:top w:type="dxa" w:w="80"/>
              <w:left w:type="dxa" w:w="100"/>
              <w:bottom w:type="dxa" w:w="80"/>
              <w:right w:type="dxa" w:w="100"/>
            </w:tcMar>
          </w:tcPr>
          <w:p>
            <w:pPr>
              <w:jc w:val="left"/>
            </w:pPr>
            <w:r>
              <w:rPr>
                <w:b w:val="false"/>
                <w:bCs w:val="false"/>
                <w:color w:val="1F2937"/>
                <w:sz w:val="19"/>
                <w:szCs w:val="19"/>
              </w:rPr>
              <w:t xml:space="preserve">Allowed / CONNECT</w:t>
            </w:r>
          </w:p>
        </w:tc>
        <w:tc>
          <w:tcPr>
            <w:tcW w:type="dxa" w:w="1300"/>
            <w:shd w:fill="FDF3D8" w:val="clear"/>
            <w:tcMar>
              <w:top w:type="dxa" w:w="80"/>
              <w:left w:type="dxa" w:w="100"/>
              <w:bottom w:type="dxa" w:w="80"/>
              <w:right w:type="dxa" w:w="100"/>
            </w:tcMar>
          </w:tcPr>
          <w:p>
            <w:pPr>
              <w:jc w:val="left"/>
            </w:pPr>
            <w:r>
              <w:rPr>
                <w:b w:val="false"/>
                <w:bCs w:val="false"/>
                <w:color w:val="1F2937"/>
                <w:sz w:val="19"/>
                <w:szCs w:val="19"/>
              </w:rPr>
              <w:t xml:space="preserve">39</w:t>
            </w:r>
          </w:p>
        </w:tc>
        <w:tc>
          <w:tcPr>
            <w:tcW w:type="dxa" w:w="1700"/>
            <w:shd w:fill="FDF3D8" w:val="clear"/>
            <w:tcMar>
              <w:top w:type="dxa" w:w="80"/>
              <w:left w:type="dxa" w:w="100"/>
              <w:bottom w:type="dxa" w:w="80"/>
              <w:right w:type="dxa" w:w="100"/>
            </w:tcMar>
          </w:tcPr>
          <w:p>
            <w:pPr>
              <w:jc w:val="left"/>
            </w:pPr>
            <w:r>
              <w:rPr>
                <w:b w:val="false"/>
                <w:bCs w:val="false"/>
                <w:color w:val="1F2937"/>
                <w:sz w:val="19"/>
                <w:szCs w:val="19"/>
              </w:rPr>
              <w:t xml:space="preserve">Technology/Internet</w:t>
            </w:r>
          </w:p>
        </w:tc>
      </w:tr>
      <w:tr>
        <w:tc>
          <w:tcPr>
            <w:tcW w:type="dxa" w:w="500"/>
            <w:tcMar>
              <w:top w:type="dxa" w:w="80"/>
              <w:left w:type="dxa" w:w="100"/>
              <w:bottom w:type="dxa" w:w="80"/>
              <w:right w:type="dxa" w:w="100"/>
            </w:tcMar>
          </w:tcPr>
          <w:p>
            <w:pPr>
              <w:jc w:val="left"/>
            </w:pPr>
            <w:r>
              <w:rPr>
                <w:b w:val="false"/>
                <w:bCs w:val="false"/>
                <w:color w:val="1F2937"/>
                <w:sz w:val="19"/>
                <w:szCs w:val="19"/>
              </w:rPr>
              <w:t xml:space="preserve">5</w:t>
            </w:r>
          </w:p>
        </w:tc>
        <w:tc>
          <w:tcPr>
            <w:tcW w:type="dxa" w:w="1500"/>
            <w:tcMar>
              <w:top w:type="dxa" w:w="80"/>
              <w:left w:type="dxa" w:w="100"/>
              <w:bottom w:type="dxa" w:w="80"/>
              <w:right w:type="dxa" w:w="100"/>
            </w:tcMar>
          </w:tcPr>
          <w:p>
            <w:pPr>
              <w:jc w:val="left"/>
            </w:pPr>
            <w:r>
              <w:rPr>
                <w:b w:val="false"/>
                <w:bCs w:val="false"/>
                <w:color w:val="1F2937"/>
                <w:sz w:val="19"/>
                <w:szCs w:val="19"/>
              </w:rPr>
              <w:t xml:space="preserve">11:38:06–08</w:t>
            </w:r>
          </w:p>
        </w:tc>
        <w:tc>
          <w:tcPr>
            <w:tcW w:type="dxa" w:w="2200"/>
            <w:tcMar>
              <w:top w:type="dxa" w:w="80"/>
              <w:left w:type="dxa" w:w="100"/>
              <w:bottom w:type="dxa" w:w="80"/>
              <w:right w:type="dxa" w:w="100"/>
            </w:tcMar>
          </w:tcPr>
          <w:p>
            <w:pPr>
              <w:jc w:val="left"/>
            </w:pPr>
            <w:r>
              <w:rPr>
                <w:b w:val="false"/>
                <w:bCs w:val="false"/>
                <w:color w:val="1F2937"/>
                <w:sz w:val="19"/>
                <w:szCs w:val="19"/>
              </w:rPr>
              <w:t xml:space="preserve">www.virustotal.com</w:t>
            </w:r>
          </w:p>
        </w:tc>
        <w:tc>
          <w:tcPr>
            <w:tcW w:type="dxa" w:w="2700"/>
            <w:tcMar>
              <w:top w:type="dxa" w:w="80"/>
              <w:left w:type="dxa" w:w="100"/>
              <w:bottom w:type="dxa" w:w="80"/>
              <w:right w:type="dxa" w:w="100"/>
            </w:tcMar>
          </w:tcPr>
          <w:p>
            <w:pPr>
              <w:jc w:val="left"/>
            </w:pPr>
            <w:r>
              <w:rPr>
                <w:b w:val="false"/>
                <w:bCs w:val="false"/>
                <w:color w:val="1F2937"/>
                <w:sz w:val="19"/>
                <w:szCs w:val="19"/>
              </w:rPr>
              <w:t xml:space="preserve">Allowed / CONNECT (×2)</w:t>
            </w:r>
          </w:p>
        </w:tc>
        <w:tc>
          <w:tcPr>
            <w:tcW w:type="dxa" w:w="1300"/>
            <w:tcMar>
              <w:top w:type="dxa" w:w="80"/>
              <w:left w:type="dxa" w:w="100"/>
              <w:bottom w:type="dxa" w:w="80"/>
              <w:right w:type="dxa" w:w="100"/>
            </w:tcMar>
          </w:tcPr>
          <w:p>
            <w:pPr>
              <w:jc w:val="left"/>
            </w:pPr>
            <w:r>
              <w:rPr>
                <w:b w:val="false"/>
                <w:bCs w:val="false"/>
                <w:color w:val="1F2937"/>
                <w:sz w:val="19"/>
                <w:szCs w:val="19"/>
              </w:rPr>
              <w:t xml:space="preserve">78</w:t>
            </w:r>
          </w:p>
        </w:tc>
        <w:tc>
          <w:tcPr>
            <w:tcW w:type="dxa" w:w="1700"/>
            <w:tcMar>
              <w:top w:type="dxa" w:w="80"/>
              <w:left w:type="dxa" w:w="100"/>
              <w:bottom w:type="dxa" w:w="80"/>
              <w:right w:type="dxa" w:w="100"/>
            </w:tcMar>
          </w:tcPr>
          <w:p>
            <w:pPr>
              <w:jc w:val="left"/>
            </w:pPr>
            <w:r>
              <w:rPr>
                <w:b w:val="false"/>
                <w:bCs w:val="false"/>
                <w:color w:val="1F2937"/>
                <w:sz w:val="19"/>
                <w:szCs w:val="19"/>
              </w:rPr>
              <w:t xml:space="preserve">Online Services</w:t>
            </w:r>
          </w:p>
        </w:tc>
      </w:tr>
      <w:tr>
        <w:tc>
          <w:tcPr>
            <w:tcW w:type="dxa" w:w="500"/>
            <w:shd w:fill="FBE4E4" w:val="clear"/>
            <w:tcMar>
              <w:top w:type="dxa" w:w="80"/>
              <w:left w:type="dxa" w:w="100"/>
              <w:bottom w:type="dxa" w:w="80"/>
              <w:right w:type="dxa" w:w="100"/>
            </w:tcMar>
          </w:tcPr>
          <w:p>
            <w:pPr>
              <w:jc w:val="left"/>
            </w:pPr>
            <w:r>
              <w:rPr>
                <w:b w:val="false"/>
                <w:bCs w:val="false"/>
                <w:color w:val="1F2937"/>
                <w:sz w:val="19"/>
                <w:szCs w:val="19"/>
              </w:rPr>
              <w:t xml:space="preserve">6</w:t>
            </w:r>
          </w:p>
        </w:tc>
        <w:tc>
          <w:tcPr>
            <w:tcW w:type="dxa" w:w="1500"/>
            <w:shd w:fill="FBE4E4" w:val="clear"/>
            <w:tcMar>
              <w:top w:type="dxa" w:w="80"/>
              <w:left w:type="dxa" w:w="100"/>
              <w:bottom w:type="dxa" w:w="80"/>
              <w:right w:type="dxa" w:w="100"/>
            </w:tcMar>
          </w:tcPr>
          <w:p>
            <w:pPr>
              <w:jc w:val="left"/>
            </w:pPr>
            <w:r>
              <w:rPr>
                <w:b w:val="false"/>
                <w:bCs w:val="false"/>
                <w:color w:val="1F2937"/>
                <w:sz w:val="19"/>
                <w:szCs w:val="19"/>
              </w:rPr>
              <w:t xml:space="preserve">11:39:24–26</w:t>
            </w:r>
          </w:p>
        </w:tc>
        <w:tc>
          <w:tcPr>
            <w:tcW w:type="dxa" w:w="2200"/>
            <w:shd w:fill="FBE4E4" w:val="clear"/>
            <w:tcMar>
              <w:top w:type="dxa" w:w="80"/>
              <w:left w:type="dxa" w:w="100"/>
              <w:bottom w:type="dxa" w:w="80"/>
              <w:right w:type="dxa" w:w="100"/>
            </w:tcMar>
          </w:tcPr>
          <w:p>
            <w:pPr>
              <w:jc w:val="left"/>
            </w:pPr>
            <w:r>
              <w:rPr>
                <w:b w:val="false"/>
                <w:bCs w:val="false"/>
                <w:color w:val="1F2937"/>
                <w:sz w:val="19"/>
                <w:szCs w:val="19"/>
              </w:rPr>
              <w:t xml:space="preserve">www.zone-h.org (incl. /favicon.ico)</w:t>
            </w:r>
          </w:p>
        </w:tc>
        <w:tc>
          <w:tcPr>
            <w:tcW w:type="dxa" w:w="2700"/>
            <w:shd w:fill="FBE4E4" w:val="clear"/>
            <w:tcMar>
              <w:top w:type="dxa" w:w="80"/>
              <w:left w:type="dxa" w:w="100"/>
              <w:bottom w:type="dxa" w:w="80"/>
              <w:right w:type="dxa" w:w="100"/>
            </w:tcMar>
          </w:tcPr>
          <w:p>
            <w:pPr>
              <w:jc w:val="left"/>
            </w:pPr>
            <w:r>
              <w:rPr>
                <w:b w:val="false"/>
                <w:bCs w:val="false"/>
                <w:color w:val="1F2937"/>
                <w:sz w:val="19"/>
                <w:szCs w:val="19"/>
              </w:rPr>
              <w:t xml:space="preserve">BLOCKED / TCP_DENIED (403)</w:t>
            </w:r>
          </w:p>
        </w:tc>
        <w:tc>
          <w:tcPr>
            <w:tcW w:type="dxa" w:w="1300"/>
            <w:shd w:fill="FBE4E4" w:val="clear"/>
            <w:tcMar>
              <w:top w:type="dxa" w:w="80"/>
              <w:left w:type="dxa" w:w="100"/>
              <w:bottom w:type="dxa" w:w="80"/>
              <w:right w:type="dxa" w:w="100"/>
            </w:tcMar>
          </w:tcPr>
          <w:p>
            <w:pPr>
              <w:jc w:val="left"/>
            </w:pPr>
            <w:r>
              <w:rPr>
                <w:b w:val="false"/>
                <w:bCs w:val="false"/>
                <w:color w:val="1F2937"/>
                <w:sz w:val="19"/>
                <w:szCs w:val="19"/>
              </w:rPr>
              <w:t xml:space="preserve">1,842</w:t>
            </w:r>
          </w:p>
        </w:tc>
        <w:tc>
          <w:tcPr>
            <w:tcW w:type="dxa" w:w="1700"/>
            <w:shd w:fill="FBE4E4" w:val="clear"/>
            <w:tcMar>
              <w:top w:type="dxa" w:w="80"/>
              <w:left w:type="dxa" w:w="100"/>
              <w:bottom w:type="dxa" w:w="80"/>
              <w:right w:type="dxa" w:w="100"/>
            </w:tcMar>
          </w:tcPr>
          <w:p>
            <w:pPr>
              <w:jc w:val="left"/>
            </w:pPr>
            <w:r>
              <w:rPr>
                <w:b w:val="false"/>
                <w:bCs w:val="false"/>
                <w:color w:val="1F2937"/>
                <w:sz w:val="19"/>
                <w:szCs w:val="19"/>
              </w:rPr>
              <w:t xml:space="preserve">Hacking</w:t>
            </w:r>
          </w:p>
        </w:tc>
      </w:tr>
      <w:tr>
        <w:tc>
          <w:tcPr>
            <w:tcW w:type="dxa" w:w="500"/>
            <w:shd w:fill="F3F4F6" w:val="clear"/>
            <w:tcMar>
              <w:top w:type="dxa" w:w="80"/>
              <w:left w:type="dxa" w:w="100"/>
              <w:bottom w:type="dxa" w:w="80"/>
              <w:right w:type="dxa" w:w="100"/>
            </w:tcMar>
          </w:tcPr>
          <w:p>
            <w:pPr>
              <w:jc w:val="left"/>
            </w:pPr>
            <w:r>
              <w:rPr>
                <w:b w:val="false"/>
                <w:bCs w:val="false"/>
                <w:color w:val="1F2937"/>
                <w:sz w:val="19"/>
                <w:szCs w:val="19"/>
              </w:rPr>
              <w:t xml:space="preserve">7</w:t>
            </w:r>
          </w:p>
        </w:tc>
        <w:tc>
          <w:tcPr>
            <w:tcW w:type="dxa" w:w="1500"/>
            <w:shd w:fill="F3F4F6" w:val="clear"/>
            <w:tcMar>
              <w:top w:type="dxa" w:w="80"/>
              <w:left w:type="dxa" w:w="100"/>
              <w:bottom w:type="dxa" w:w="80"/>
              <w:right w:type="dxa" w:w="100"/>
            </w:tcMar>
          </w:tcPr>
          <w:p>
            <w:pPr>
              <w:jc w:val="left"/>
            </w:pPr>
            <w:r>
              <w:rPr>
                <w:b w:val="false"/>
                <w:bCs w:val="false"/>
                <w:color w:val="1F2937"/>
                <w:sz w:val="19"/>
                <w:szCs w:val="19"/>
              </w:rPr>
              <w:t xml:space="preserve">11:42:08</w:t>
            </w:r>
          </w:p>
        </w:tc>
        <w:tc>
          <w:tcPr>
            <w:tcW w:type="dxa" w:w="2200"/>
            <w:shd w:fill="F3F4F6" w:val="clear"/>
            <w:tcMar>
              <w:top w:type="dxa" w:w="80"/>
              <w:left w:type="dxa" w:w="100"/>
              <w:bottom w:type="dxa" w:w="80"/>
              <w:right w:type="dxa" w:w="100"/>
            </w:tcMar>
          </w:tcPr>
          <w:p>
            <w:pPr>
              <w:jc w:val="left"/>
            </w:pPr>
            <w:r>
              <w:rPr>
                <w:b w:val="false"/>
                <w:bCs w:val="false"/>
                <w:color w:val="1F2937"/>
                <w:sz w:val="19"/>
                <w:szCs w:val="19"/>
              </w:rPr>
              <w:t xml:space="preserve">www.virustotal.com</w:t>
            </w:r>
          </w:p>
        </w:tc>
        <w:tc>
          <w:tcPr>
            <w:tcW w:type="dxa" w:w="2700"/>
            <w:shd w:fill="F3F4F6" w:val="clear"/>
            <w:tcMar>
              <w:top w:type="dxa" w:w="80"/>
              <w:left w:type="dxa" w:w="100"/>
              <w:bottom w:type="dxa" w:w="80"/>
              <w:right w:type="dxa" w:w="100"/>
            </w:tcMar>
          </w:tcPr>
          <w:p>
            <w:pPr>
              <w:jc w:val="left"/>
            </w:pPr>
            <w:r>
              <w:rPr>
                <w:b w:val="false"/>
                <w:bCs w:val="false"/>
                <w:color w:val="1F2937"/>
                <w:sz w:val="19"/>
                <w:szCs w:val="19"/>
              </w:rPr>
              <w:t xml:space="preserve">Allowed / TUNNELED</w:t>
            </w:r>
          </w:p>
        </w:tc>
        <w:tc>
          <w:tcPr>
            <w:tcW w:type="dxa" w:w="1300"/>
            <w:shd w:fill="F3F4F6" w:val="clear"/>
            <w:tcMar>
              <w:top w:type="dxa" w:w="80"/>
              <w:left w:type="dxa" w:w="100"/>
              <w:bottom w:type="dxa" w:w="80"/>
              <w:right w:type="dxa" w:w="100"/>
            </w:tcMar>
          </w:tcPr>
          <w:p>
            <w:pPr>
              <w:jc w:val="left"/>
            </w:pPr>
            <w:r>
              <w:rPr>
                <w:b w:val="false"/>
                <w:bCs w:val="false"/>
                <w:color w:val="1F2937"/>
                <w:sz w:val="19"/>
                <w:szCs w:val="19"/>
              </w:rPr>
              <w:t xml:space="preserve">2,169</w:t>
            </w:r>
          </w:p>
        </w:tc>
        <w:tc>
          <w:tcPr>
            <w:tcW w:type="dxa" w:w="1700"/>
            <w:shd w:fill="F3F4F6" w:val="clear"/>
            <w:tcMar>
              <w:top w:type="dxa" w:w="80"/>
              <w:left w:type="dxa" w:w="100"/>
              <w:bottom w:type="dxa" w:w="80"/>
              <w:right w:type="dxa" w:w="100"/>
            </w:tcMar>
          </w:tcPr>
          <w:p>
            <w:pPr>
              <w:jc w:val="left"/>
            </w:pPr>
            <w:r>
              <w:rPr>
                <w:b w:val="false"/>
                <w:bCs w:val="false"/>
                <w:color w:val="1F2937"/>
                <w:sz w:val="19"/>
                <w:szCs w:val="19"/>
              </w:rPr>
              <w:t xml:space="preserve">Online Services</w:t>
            </w:r>
          </w:p>
        </w:tc>
      </w:tr>
      <w:tr>
        <w:tc>
          <w:tcPr>
            <w:tcW w:type="dxa" w:w="500"/>
            <w:shd w:fill="FDF3D8" w:val="clear"/>
            <w:tcMar>
              <w:top w:type="dxa" w:w="80"/>
              <w:left w:type="dxa" w:w="100"/>
              <w:bottom w:type="dxa" w:w="80"/>
              <w:right w:type="dxa" w:w="100"/>
            </w:tcMar>
          </w:tcPr>
          <w:p>
            <w:pPr>
              <w:jc w:val="left"/>
            </w:pPr>
            <w:r>
              <w:rPr>
                <w:b w:val="false"/>
                <w:bCs w:val="false"/>
                <w:color w:val="1F2937"/>
                <w:sz w:val="19"/>
                <w:szCs w:val="19"/>
              </w:rPr>
              <w:t xml:space="preserve">8</w:t>
            </w:r>
          </w:p>
        </w:tc>
        <w:tc>
          <w:tcPr>
            <w:tcW w:type="dxa" w:w="1500"/>
            <w:shd w:fill="FDF3D8" w:val="clear"/>
            <w:tcMar>
              <w:top w:type="dxa" w:w="80"/>
              <w:left w:type="dxa" w:w="100"/>
              <w:bottom w:type="dxa" w:w="80"/>
              <w:right w:type="dxa" w:w="100"/>
            </w:tcMar>
          </w:tcPr>
          <w:p>
            <w:pPr>
              <w:jc w:val="left"/>
            </w:pPr>
            <w:r>
              <w:rPr>
                <w:b w:val="false"/>
                <w:bCs w:val="false"/>
                <w:color w:val="1F2937"/>
                <w:sz w:val="19"/>
                <w:szCs w:val="19"/>
              </w:rPr>
              <w:t xml:space="preserve">11:42:19</w:t>
            </w:r>
          </w:p>
        </w:tc>
        <w:tc>
          <w:tcPr>
            <w:tcW w:type="dxa" w:w="2200"/>
            <w:shd w:fill="FDF3D8" w:val="clear"/>
            <w:tcMar>
              <w:top w:type="dxa" w:w="80"/>
              <w:left w:type="dxa" w:w="100"/>
              <w:bottom w:type="dxa" w:w="80"/>
              <w:right w:type="dxa" w:w="100"/>
            </w:tcMar>
          </w:tcPr>
          <w:p>
            <w:pPr>
              <w:jc w:val="left"/>
            </w:pPr>
            <w:r>
              <w:rPr>
                <w:b w:val="false"/>
                <w:bCs w:val="false"/>
                <w:color w:val="1F2937"/>
                <w:sz w:val="19"/>
                <w:szCs w:val="19"/>
              </w:rPr>
              <w:t xml:space="preserve">www.virustotal.com</w:t>
            </w:r>
          </w:p>
        </w:tc>
        <w:tc>
          <w:tcPr>
            <w:tcW w:type="dxa" w:w="2700"/>
            <w:shd w:fill="FDF3D8" w:val="clear"/>
            <w:tcMar>
              <w:top w:type="dxa" w:w="80"/>
              <w:left w:type="dxa" w:w="100"/>
              <w:bottom w:type="dxa" w:w="80"/>
              <w:right w:type="dxa" w:w="100"/>
            </w:tcMar>
          </w:tcPr>
          <w:p>
            <w:pPr>
              <w:jc w:val="left"/>
            </w:pPr>
            <w:r>
              <w:rPr>
                <w:b w:val="false"/>
                <w:bCs w:val="false"/>
                <w:color w:val="1F2937"/>
                <w:sz w:val="19"/>
                <w:szCs w:val="19"/>
              </w:rPr>
              <w:t xml:space="preserve">Allowed / TUNNELED</w:t>
            </w:r>
          </w:p>
        </w:tc>
        <w:tc>
          <w:tcPr>
            <w:tcW w:type="dxa" w:w="1300"/>
            <w:shd w:fill="FDF3D8" w:val="clear"/>
            <w:tcMar>
              <w:top w:type="dxa" w:w="80"/>
              <w:left w:type="dxa" w:w="100"/>
              <w:bottom w:type="dxa" w:w="80"/>
              <w:right w:type="dxa" w:w="100"/>
            </w:tcMar>
          </w:tcPr>
          <w:p>
            <w:pPr>
              <w:jc w:val="left"/>
            </w:pPr>
            <w:r>
              <w:rPr>
                <w:b w:val="false"/>
                <w:bCs w:val="false"/>
                <w:color w:val="1F2937"/>
                <w:sz w:val="19"/>
                <w:szCs w:val="19"/>
              </w:rPr>
              <w:t xml:space="preserve">26,571</w:t>
            </w:r>
          </w:p>
        </w:tc>
        <w:tc>
          <w:tcPr>
            <w:tcW w:type="dxa" w:w="1700"/>
            <w:shd w:fill="FDF3D8" w:val="clear"/>
            <w:tcMar>
              <w:top w:type="dxa" w:w="80"/>
              <w:left w:type="dxa" w:w="100"/>
              <w:bottom w:type="dxa" w:w="80"/>
              <w:right w:type="dxa" w:w="100"/>
            </w:tcMar>
          </w:tcPr>
          <w:p>
            <w:pPr>
              <w:jc w:val="left"/>
            </w:pPr>
            <w:r>
              <w:rPr>
                <w:b w:val="false"/>
                <w:bCs w:val="false"/>
                <w:color w:val="1F2937"/>
                <w:sz w:val="19"/>
                <w:szCs w:val="19"/>
              </w:rPr>
              <w:t xml:space="preserve">Online Services</w:t>
            </w:r>
          </w:p>
        </w:tc>
      </w:tr>
      <w:tr>
        <w:tc>
          <w:tcPr>
            <w:tcW w:type="dxa" w:w="500"/>
            <w:shd w:fill="FDF3D8" w:val="clear"/>
            <w:tcMar>
              <w:top w:type="dxa" w:w="80"/>
              <w:left w:type="dxa" w:w="100"/>
              <w:bottom w:type="dxa" w:w="80"/>
              <w:right w:type="dxa" w:w="100"/>
            </w:tcMar>
          </w:tcPr>
          <w:p>
            <w:pPr>
              <w:jc w:val="left"/>
            </w:pPr>
            <w:r>
              <w:rPr>
                <w:b w:val="false"/>
                <w:bCs w:val="false"/>
                <w:color w:val="1F2937"/>
                <w:sz w:val="19"/>
                <w:szCs w:val="19"/>
              </w:rPr>
              <w:t xml:space="preserve">9</w:t>
            </w:r>
          </w:p>
        </w:tc>
        <w:tc>
          <w:tcPr>
            <w:tcW w:type="dxa" w:w="1500"/>
            <w:shd w:fill="FDF3D8" w:val="clear"/>
            <w:tcMar>
              <w:top w:type="dxa" w:w="80"/>
              <w:left w:type="dxa" w:w="100"/>
              <w:bottom w:type="dxa" w:w="80"/>
              <w:right w:type="dxa" w:w="100"/>
            </w:tcMar>
          </w:tcPr>
          <w:p>
            <w:pPr>
              <w:jc w:val="left"/>
            </w:pPr>
            <w:r>
              <w:rPr>
                <w:b w:val="false"/>
                <w:bCs w:val="false"/>
                <w:color w:val="1F2937"/>
                <w:sz w:val="19"/>
                <w:szCs w:val="19"/>
              </w:rPr>
              <w:t xml:space="preserve">11:42:38</w:t>
            </w:r>
          </w:p>
        </w:tc>
        <w:tc>
          <w:tcPr>
            <w:tcW w:type="dxa" w:w="2200"/>
            <w:shd w:fill="FDF3D8" w:val="clear"/>
            <w:tcMar>
              <w:top w:type="dxa" w:w="80"/>
              <w:left w:type="dxa" w:w="100"/>
              <w:bottom w:type="dxa" w:w="80"/>
              <w:right w:type="dxa" w:w="100"/>
            </w:tcMar>
          </w:tcPr>
          <w:p>
            <w:pPr>
              <w:jc w:val="left"/>
            </w:pPr>
            <w:r>
              <w:rPr>
                <w:b w:val="false"/>
                <w:bCs w:val="false"/>
                <w:color w:val="1F2937"/>
                <w:sz w:val="19"/>
                <w:szCs w:val="19"/>
              </w:rPr>
              <w:t xml:space="preserve">haveibeenpwned.com</w:t>
            </w:r>
          </w:p>
        </w:tc>
        <w:tc>
          <w:tcPr>
            <w:tcW w:type="dxa" w:w="2700"/>
            <w:shd w:fill="FDF3D8" w:val="clear"/>
            <w:tcMar>
              <w:top w:type="dxa" w:w="80"/>
              <w:left w:type="dxa" w:w="100"/>
              <w:bottom w:type="dxa" w:w="80"/>
              <w:right w:type="dxa" w:w="100"/>
            </w:tcMar>
          </w:tcPr>
          <w:p>
            <w:pPr>
              <w:jc w:val="left"/>
            </w:pPr>
            <w:r>
              <w:rPr>
                <w:b w:val="false"/>
                <w:bCs w:val="false"/>
                <w:color w:val="1F2937"/>
                <w:sz w:val="19"/>
                <w:szCs w:val="19"/>
              </w:rPr>
              <w:t xml:space="preserve">Allowed / TUNNELED</w:t>
            </w:r>
          </w:p>
        </w:tc>
        <w:tc>
          <w:tcPr>
            <w:tcW w:type="dxa" w:w="1300"/>
            <w:shd w:fill="FDF3D8" w:val="clear"/>
            <w:tcMar>
              <w:top w:type="dxa" w:w="80"/>
              <w:left w:type="dxa" w:w="100"/>
              <w:bottom w:type="dxa" w:w="80"/>
              <w:right w:type="dxa" w:w="100"/>
            </w:tcMar>
          </w:tcPr>
          <w:p>
            <w:pPr>
              <w:jc w:val="left"/>
            </w:pPr>
            <w:r>
              <w:rPr>
                <w:b w:val="false"/>
                <w:bCs w:val="false"/>
                <w:color w:val="1F2937"/>
                <w:sz w:val="19"/>
                <w:szCs w:val="19"/>
              </w:rPr>
              <w:t xml:space="preserve">106,910</w:t>
            </w:r>
          </w:p>
        </w:tc>
        <w:tc>
          <w:tcPr>
            <w:tcW w:type="dxa" w:w="1700"/>
            <w:shd w:fill="FDF3D8" w:val="clear"/>
            <w:tcMar>
              <w:top w:type="dxa" w:w="80"/>
              <w:left w:type="dxa" w:w="100"/>
              <w:bottom w:type="dxa" w:w="80"/>
              <w:right w:type="dxa" w:w="100"/>
            </w:tcMar>
          </w:tcPr>
          <w:p>
            <w:pPr>
              <w:jc w:val="left"/>
            </w:pPr>
            <w:r>
              <w:rPr>
                <w:b w:val="false"/>
                <w:bCs w:val="false"/>
                <w:color w:val="1F2937"/>
                <w:sz w:val="19"/>
                <w:szCs w:val="19"/>
              </w:rPr>
              <w:t xml:space="preserve">Technology/Internet</w:t>
            </w:r>
          </w:p>
        </w:tc>
      </w:tr>
    </w:tbl>
    <w:p>
      <w:pPr>
        <w:pStyle w:val="Heading1"/>
        <w:pBdr>
          <w:bottom w:val="single" w:color="7A1F2B" w:sz="8" w:space="4"/>
        </w:pBdr>
        <w:spacing w:after="160" w:before="360"/>
      </w:pPr>
      <w:r>
        <w:rPr>
          <w:b/>
          <w:bCs/>
          <w:color w:val="1F2937"/>
          <w:sz w:val="26"/>
          <w:szCs w:val="26"/>
        </w:rPr>
        <w:t xml:space="preserve">4. Technical Analysis &amp; Findings</w:t>
      </w:r>
    </w:p>
    <w:p>
      <w:pPr>
        <w:spacing w:after="160" w:line="300"/>
      </w:pPr>
      <w:r>
        <w:rPr>
          <w:i/>
          <w:iCs/>
          <w:color w:val="6B7280"/>
          <w:sz w:val="19"/>
          <w:szCs w:val="19"/>
        </w:rPr>
        <w:t xml:space="preserve">Confidence levels below reflect confidence in the behavioral interpretation drawn from the evidence, not the certainty of the underlying log data — all cited figures (byte counts, timestamps, categories) are verified as recorded.</w:t>
      </w:r>
    </w:p>
    <w:p>
      <w:pPr>
        <w:spacing w:after="80" w:before="220"/>
      </w:pPr>
      <w:r>
        <w:rPr>
          <w:b/>
          <w:bCs/>
          <w:color w:val="7A1F2B"/>
          <w:sz w:val="21"/>
          <w:szCs w:val="21"/>
        </w:rPr>
        <w:t xml:space="preserve">Finding 1 — </w:t>
      </w:r>
      <w:r>
        <w:rPr>
          <w:b/>
          <w:bCs/>
          <w:color w:val="1F2937"/>
          <w:sz w:val="21"/>
          <w:szCs w:val="21"/>
        </w:rPr>
        <w:t xml:space="preserve">Sequential Cross-Verification Between HIBP and VirusTotal</w:t>
      </w:r>
    </w:p>
    <w:p>
      <w:pPr>
        <w:spacing w:after="60"/>
      </w:pPr>
      <w:r>
        <w:rPr>
          <w:b/>
          <w:bCs/>
          <w:color w:val="1F2937"/>
          <w:sz w:val="19"/>
          <w:szCs w:val="19"/>
        </w:rPr>
        <w:t xml:space="preserve">Interpretation Confidence: </w:t>
      </w:r>
      <w:r>
        <w:rPr>
          <w:b/>
          <w:bCs/>
          <w:color w:val="9A6A00"/>
          <w:sz w:val="19"/>
          <w:szCs w:val="19"/>
        </w:rPr>
        <w:t xml:space="preserve">Medium</w:t>
      </w:r>
    </w:p>
    <w:p>
      <w:pPr>
        <w:spacing w:after="60" w:line="290"/>
      </w:pPr>
      <w:r>
        <w:rPr>
          <w:b/>
          <w:bCs/>
          <w:color w:val="1F2937"/>
          <w:sz w:val="20"/>
          <w:szCs w:val="20"/>
        </w:rPr>
        <w:t xml:space="preserve">Evidence: </w:t>
      </w:r>
      <w:r>
        <w:rPr>
          <w:color w:val="1F2937"/>
          <w:sz w:val="20"/>
          <w:szCs w:val="20"/>
        </w:rPr>
        <w:t xml:space="preserve">Timeline entries #4 through #9 (11:37:32–11:42:38).</w:t>
      </w:r>
    </w:p>
    <w:p>
      <w:pPr>
        <w:spacing w:after="140" w:line="290"/>
      </w:pPr>
      <w:r>
        <w:rPr>
          <w:b/>
          <w:bCs/>
          <w:color w:val="1F2937"/>
          <w:sz w:val="20"/>
          <w:szCs w:val="20"/>
        </w:rPr>
        <w:t xml:space="preserve">Analysis: </w:t>
      </w:r>
      <w:r>
        <w:rPr>
          <w:color w:val="1F2937"/>
          <w:sz w:val="20"/>
          <w:szCs w:val="20"/>
        </w:rPr>
        <w:t xml:space="preserve">Within a 5-minute window, the user initiated multiple queries to VirusTotal bracketed by two distinct sessions to HaveIBeenPwned. This behavior is characteristic of an individual checking whether an account or credential was breached while simultaneously inspecting potentially malicious URLs or files. The pattern supports two competing hypotheses: (a) a user actively responding to a perceived security scare or phishing attempt, or (b) an unauthorized operator running situational reconnaissance.</w:t>
      </w:r>
    </w:p>
    <w:p>
      <w:pPr>
        <w:spacing w:after="80" w:before="220"/>
      </w:pPr>
      <w:r>
        <w:rPr>
          <w:b/>
          <w:bCs/>
          <w:color w:val="7A1F2B"/>
          <w:sz w:val="21"/>
          <w:szCs w:val="21"/>
        </w:rPr>
        <w:t xml:space="preserve">Finding 2 — </w:t>
      </w:r>
      <w:r>
        <w:rPr>
          <w:b/>
          <w:bCs/>
          <w:color w:val="1F2937"/>
          <w:sz w:val="21"/>
          <w:szCs w:val="21"/>
        </w:rPr>
        <w:t xml:space="preserve">Blocked Cleartext HTTP Request to a Hacking/Defacement Portal (zone-h.org)</w:t>
      </w:r>
    </w:p>
    <w:p>
      <w:pPr>
        <w:spacing w:after="60"/>
      </w:pPr>
      <w:r>
        <w:rPr>
          <w:b/>
          <w:bCs/>
          <w:color w:val="1F2937"/>
          <w:sz w:val="19"/>
          <w:szCs w:val="19"/>
        </w:rPr>
        <w:t xml:space="preserve">Interpretation Confidence: </w:t>
      </w:r>
      <w:r>
        <w:rPr>
          <w:b/>
          <w:bCs/>
          <w:color w:val="7A1F2B"/>
          <w:sz w:val="19"/>
          <w:szCs w:val="19"/>
        </w:rPr>
        <w:t xml:space="preserve">Low–Medium</w:t>
      </w:r>
    </w:p>
    <w:p>
      <w:pPr>
        <w:spacing w:after="60" w:line="290"/>
      </w:pPr>
      <w:r>
        <w:rPr>
          <w:b/>
          <w:bCs/>
          <w:color w:val="1F2937"/>
          <w:sz w:val="20"/>
          <w:szCs w:val="20"/>
        </w:rPr>
        <w:t xml:space="preserve">Evidence: </w:t>
      </w:r>
      <w:r>
        <w:rPr>
          <w:color w:val="1F2937"/>
          <w:sz w:val="20"/>
          <w:szCs w:val="20"/>
        </w:rPr>
        <w:t xml:space="preserve">Timeline entry #6 (11:39:24–26): two consecutive denied requests (403 Forbidden), successfully blocked under the Hacking policy category.</w:t>
      </w:r>
    </w:p>
    <w:p>
      <w:pPr>
        <w:spacing w:after="140" w:line="290"/>
      </w:pPr>
      <w:r>
        <w:rPr>
          <w:b/>
          <w:bCs/>
          <w:color w:val="1F2937"/>
          <w:sz w:val="20"/>
          <w:szCs w:val="20"/>
        </w:rPr>
        <w:t xml:space="preserve">Analysis: </w:t>
      </w:r>
      <w:r>
        <w:rPr>
          <w:color w:val="1F2937"/>
          <w:sz w:val="20"/>
          <w:szCs w:val="20"/>
        </w:rPr>
        <w:t xml:space="preserve">These are the only cleartext HTTP (port 80) requests in the entire dataset — every other session used HTTPS (port 443) — which is why the full request path and referer header are visible for this destination alone. The initial request carried cs_Referer = https://www.google.com/, indicating navigation via a search-engine result rather than a direct link embedded in an email or document.</w:t>
      </w:r>
    </w:p>
    <w:p>
      <w:pPr>
        <w:spacing w:after="80" w:before="220"/>
      </w:pPr>
      <w:r>
        <w:rPr>
          <w:b/>
          <w:bCs/>
          <w:color w:val="7A1F2B"/>
          <w:sz w:val="21"/>
          <w:szCs w:val="21"/>
        </w:rPr>
        <w:t xml:space="preserve">Finding 3 — </w:t>
      </w:r>
      <w:r>
        <w:rPr>
          <w:b/>
          <w:bCs/>
          <w:color w:val="1F2937"/>
          <w:sz w:val="21"/>
          <w:szCs w:val="21"/>
        </w:rPr>
        <w:t xml:space="preserve">Anomalous VirusTotal Response Volume at 10:08:08</w:t>
      </w:r>
    </w:p>
    <w:p>
      <w:pPr>
        <w:spacing w:after="60"/>
      </w:pPr>
      <w:r>
        <w:rPr>
          <w:b/>
          <w:bCs/>
          <w:color w:val="1F2937"/>
          <w:sz w:val="19"/>
          <w:szCs w:val="19"/>
        </w:rPr>
        <w:t xml:space="preserve">Interpretation Confidence: </w:t>
      </w:r>
      <w:r>
        <w:rPr>
          <w:b/>
          <w:bCs/>
          <w:color w:val="6B7280"/>
          <w:sz w:val="19"/>
          <w:szCs w:val="19"/>
        </w:rPr>
        <w:t xml:space="preserve">Low</w:t>
      </w:r>
    </w:p>
    <w:p>
      <w:pPr>
        <w:spacing w:after="60" w:line="290"/>
      </w:pPr>
      <w:r>
        <w:rPr>
          <w:b/>
          <w:bCs/>
          <w:color w:val="1F2937"/>
          <w:sz w:val="20"/>
          <w:szCs w:val="20"/>
        </w:rPr>
        <w:t xml:space="preserve">Evidence: </w:t>
      </w:r>
      <w:r>
        <w:rPr>
          <w:color w:val="1F2937"/>
          <w:sz w:val="20"/>
          <w:szCs w:val="20"/>
        </w:rPr>
        <w:t xml:space="preserve">Timeline entry #3: bytes_in = 644,251, versus a 1.9–26.5 KB range for other VirusTotal sessions in the dataset.</w:t>
      </w:r>
    </w:p>
    <w:p>
      <w:pPr>
        <w:spacing w:after="140" w:line="290"/>
      </w:pPr>
      <w:r>
        <w:rPr>
          <w:b/>
          <w:bCs/>
          <w:color w:val="1F2937"/>
          <w:sz w:val="20"/>
          <w:szCs w:val="20"/>
        </w:rPr>
        <w:t xml:space="preserve">Analysis: </w:t>
      </w:r>
      <w:r>
        <w:rPr>
          <w:color w:val="1F2937"/>
          <w:sz w:val="20"/>
          <w:szCs w:val="20"/>
        </w:rPr>
        <w:t xml:space="preserve">This payload volume is technically consistent with downloading an extensive multi-engine scan report or detailed threat-intelligence summary rather than an empty landing page. Because the session was TLS-encrypted, the specific hash, domain, or IP evaluated cannot be extracted from this log source alone.</w:t>
      </w:r>
    </w:p>
    <w:p>
      <w:pPr>
        <w:spacing w:after="80" w:before="220"/>
      </w:pPr>
      <w:r>
        <w:rPr>
          <w:b/>
          <w:bCs/>
          <w:color w:val="7A1F2B"/>
          <w:sz w:val="21"/>
          <w:szCs w:val="21"/>
        </w:rPr>
        <w:t xml:space="preserve">Finding 4 — </w:t>
      </w:r>
      <w:r>
        <w:rPr>
          <w:b/>
          <w:bCs/>
          <w:color w:val="1F2937"/>
          <w:sz w:val="21"/>
          <w:szCs w:val="21"/>
        </w:rPr>
        <w:t xml:space="preserve">Rapid Service Transitions with a Consistent Interactive Browser Fingerprint</w:t>
      </w:r>
    </w:p>
    <w:p>
      <w:pPr>
        <w:spacing w:after="60"/>
      </w:pPr>
      <w:r>
        <w:rPr>
          <w:b/>
          <w:bCs/>
          <w:color w:val="1F2937"/>
          <w:sz w:val="19"/>
          <w:szCs w:val="19"/>
        </w:rPr>
        <w:t xml:space="preserve">Interpretation Confidence: </w:t>
      </w:r>
      <w:r>
        <w:rPr>
          <w:b/>
          <w:bCs/>
          <w:color w:val="6B7280"/>
          <w:sz w:val="19"/>
          <w:szCs w:val="19"/>
        </w:rPr>
        <w:t xml:space="preserve">Low</w:t>
      </w:r>
    </w:p>
    <w:p>
      <w:pPr>
        <w:spacing w:after="60" w:line="290"/>
      </w:pPr>
      <w:r>
        <w:rPr>
          <w:b/>
          <w:bCs/>
          <w:color w:val="1F2937"/>
          <w:sz w:val="20"/>
          <w:szCs w:val="20"/>
        </w:rPr>
        <w:t xml:space="preserve">Evidence: </w:t>
      </w:r>
      <w:r>
        <w:rPr>
          <w:color w:val="1F2937"/>
          <w:sz w:val="20"/>
          <w:szCs w:val="20"/>
        </w:rPr>
        <w:t xml:space="preserve">Timeline entries #8–9: a 19-second gap between VirusTotal (11:42:19) and HIBP (11:42:38). All 12 records in the dataset carrying a User-Agent header show an identical signature — standard Chrome 95 on Windows 10 x64 — with no variation anywhere.</w:t>
      </w:r>
    </w:p>
    <w:p>
      <w:pPr>
        <w:spacing w:after="140" w:line="290"/>
      </w:pPr>
      <w:r>
        <w:rPr>
          <w:b/>
          <w:bCs/>
          <w:color w:val="1F2937"/>
          <w:sz w:val="20"/>
          <w:szCs w:val="20"/>
        </w:rPr>
        <w:t xml:space="preserve">Analysis: </w:t>
      </w:r>
      <w:r>
        <w:rPr>
          <w:color w:val="1F2937"/>
          <w:sz w:val="20"/>
          <w:szCs w:val="20"/>
        </w:rPr>
        <w:t xml:space="preserve">The short transition interval points to rapid, manual tab-switching by an interactive user reacting to unfolding events. The uniform browser signature across all sessions, with no automated-scripting indicators (e.g., Python-requests, cURL, headless browsers), corroborates manual operation from a standard workstation rather than a scripted process, though a User-Agent string alone can be spoofed and is not conclusive proof.</w:t>
      </w:r>
    </w:p>
    <w:p>
      <w:pPr>
        <w:pStyle w:val="Heading1"/>
        <w:pBdr>
          <w:bottom w:val="single" w:color="7A1F2B" w:sz="8" w:space="4"/>
        </w:pBdr>
        <w:spacing w:after="160" w:before="360"/>
      </w:pPr>
      <w:r>
        <w:rPr>
          <w:b/>
          <w:bCs/>
          <w:color w:val="1F2937"/>
          <w:sz w:val="26"/>
          <w:szCs w:val="26"/>
        </w:rPr>
        <w:t xml:space="preserve">5. Incident Hypothesis &amp; Claim Verification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900"/>
      </w:tblGrid>
      <w:tr>
        <w:trPr>
          <w:tblHeader/>
        </w:trPr>
        <w:tc>
          <w:tcPr>
            <w:tcW w:type="dxa" w:w="3200"/>
            <w:shd w:fill="1F2937" w:val="clear"/>
            <w:tcMar>
              <w:top w:type="dxa" w:w="80"/>
              <w:left w:type="dxa" w:w="100"/>
              <w:bottom w:type="dxa" w:w="80"/>
              <w:right w:type="dxa" w:w="100"/>
            </w:tcMar>
          </w:tcPr>
          <w:p>
            <w:pPr>
              <w:jc w:val="left"/>
            </w:pPr>
            <w:r>
              <w:rPr>
                <w:b/>
                <w:bCs/>
                <w:color w:val="FFFFFF"/>
                <w:sz w:val="19"/>
                <w:szCs w:val="19"/>
              </w:rPr>
              <w:t xml:space="preserve">Reported Claim</w:t>
            </w:r>
          </w:p>
        </w:tc>
        <w:tc>
          <w:tcPr>
            <w:tcW w:type="dxa" w:w="1700"/>
            <w:shd w:fill="1F2937" w:val="clear"/>
            <w:tcMar>
              <w:top w:type="dxa" w:w="80"/>
              <w:left w:type="dxa" w:w="100"/>
              <w:bottom w:type="dxa" w:w="80"/>
              <w:right w:type="dxa" w:w="100"/>
            </w:tcMar>
          </w:tcPr>
          <w:p>
            <w:pPr>
              <w:jc w:val="left"/>
            </w:pPr>
            <w:r>
              <w:rPr>
                <w:b/>
                <w:bCs/>
                <w:color w:val="FFFFFF"/>
                <w:sz w:val="19"/>
                <w:szCs w:val="19"/>
              </w:rPr>
              <w:t xml:space="preserve">Investigative Assessment</w:t>
            </w:r>
          </w:p>
        </w:tc>
        <w:tc>
          <w:tcPr>
            <w:tcW w:type="dxa" w:w="4900"/>
            <w:shd w:fill="1F2937" w:val="clear"/>
            <w:tcMar>
              <w:top w:type="dxa" w:w="80"/>
              <w:left w:type="dxa" w:w="100"/>
              <w:bottom w:type="dxa" w:w="80"/>
              <w:right w:type="dxa" w:w="100"/>
            </w:tcMar>
          </w:tcPr>
          <w:p>
            <w:pPr>
              <w:jc w:val="left"/>
            </w:pPr>
            <w:r>
              <w:rPr>
                <w:b/>
                <w:bCs/>
                <w:color w:val="FFFFFF"/>
                <w:sz w:val="19"/>
                <w:szCs w:val="19"/>
              </w:rPr>
              <w:t xml:space="preserve">Telemetry Basis &amp; Rationale</w:t>
            </w:r>
          </w:p>
        </w:tc>
      </w:tr>
      <w:tr>
        <w:tc>
          <w:tcPr>
            <w:tcW w:type="dxa" w:w="3200"/>
            <w:shd w:fill="F3F4F6" w:val="clear"/>
            <w:tcMar>
              <w:top w:type="dxa" w:w="80"/>
              <w:left w:type="dxa" w:w="100"/>
              <w:bottom w:type="dxa" w:w="80"/>
              <w:right w:type="dxa" w:w="100"/>
            </w:tcMar>
          </w:tcPr>
          <w:p>
            <w:pPr>
              <w:jc w:val="left"/>
            </w:pPr>
            <w:r>
              <w:rPr>
                <w:b w:val="false"/>
                <w:bCs w:val="false"/>
                <w:color w:val="1F2937"/>
                <w:sz w:val="19"/>
                <w:szCs w:val="19"/>
              </w:rPr>
              <w:t xml:space="preserve">Fahad visited HIBP twice, with VirusTotal activity in between</w:t>
            </w:r>
          </w:p>
        </w:tc>
        <w:tc>
          <w:tcPr>
            <w:tcW w:type="dxa" w:w="1700"/>
            <w:shd w:fill="F3F4F6" w:val="clear"/>
            <w:tcMar>
              <w:top w:type="dxa" w:w="80"/>
              <w:left w:type="dxa" w:w="100"/>
              <w:bottom w:type="dxa" w:w="80"/>
              <w:right w:type="dxa" w:w="100"/>
            </w:tcMar>
          </w:tcPr>
          <w:p>
            <w:pPr>
              <w:jc w:val="left"/>
            </w:pPr>
            <w:r>
              <w:rPr>
                <w:b w:val="false"/>
                <w:bCs w:val="false"/>
                <w:color w:val="1F2937"/>
                <w:sz w:val="19"/>
                <w:szCs w:val="19"/>
              </w:rPr>
              <w:t xml:space="preserve">Confirmed</w:t>
            </w:r>
          </w:p>
        </w:tc>
        <w:tc>
          <w:tcPr>
            <w:tcW w:type="dxa" w:w="4900"/>
            <w:shd w:fill="F3F4F6" w:val="clear"/>
            <w:tcMar>
              <w:top w:type="dxa" w:w="80"/>
              <w:left w:type="dxa" w:w="100"/>
              <w:bottom w:type="dxa" w:w="80"/>
              <w:right w:type="dxa" w:w="100"/>
            </w:tcMar>
          </w:tcPr>
          <w:p>
            <w:pPr>
              <w:jc w:val="left"/>
            </w:pPr>
            <w:r>
              <w:rPr>
                <w:b w:val="false"/>
                <w:bCs w:val="false"/>
                <w:color w:val="1F2937"/>
                <w:sz w:val="19"/>
                <w:szCs w:val="19"/>
              </w:rPr>
              <w:t xml:space="preserve">Directly recorded in telemetry — Timeline entries #4–9 (11:37:32–11:42:38)</w:t>
            </w:r>
          </w:p>
        </w:tc>
      </w:tr>
      <w:tr>
        <w:tc>
          <w:tcPr>
            <w:tcW w:type="dxa" w:w="3200"/>
            <w:tcMar>
              <w:top w:type="dxa" w:w="80"/>
              <w:left w:type="dxa" w:w="100"/>
              <w:bottom w:type="dxa" w:w="80"/>
              <w:right w:type="dxa" w:w="100"/>
            </w:tcMar>
          </w:tcPr>
          <w:p>
            <w:pPr>
              <w:jc w:val="left"/>
            </w:pPr>
            <w:r>
              <w:rPr>
                <w:b w:val="false"/>
                <w:bCs w:val="false"/>
                <w:color w:val="1F2937"/>
                <w:sz w:val="19"/>
                <w:szCs w:val="19"/>
              </w:rPr>
              <w:t xml:space="preserve">Account sent phishing emails impersonating Fahad</w:t>
            </w:r>
          </w:p>
        </w:tc>
        <w:tc>
          <w:tcPr>
            <w:tcW w:type="dxa" w:w="1700"/>
            <w:tcMar>
              <w:top w:type="dxa" w:w="80"/>
              <w:left w:type="dxa" w:w="100"/>
              <w:bottom w:type="dxa" w:w="80"/>
              <w:right w:type="dxa" w:w="100"/>
            </w:tcMar>
          </w:tcPr>
          <w:p>
            <w:pPr>
              <w:jc w:val="left"/>
            </w:pPr>
            <w:r>
              <w:rPr>
                <w:b w:val="false"/>
                <w:bCs w:val="false"/>
                <w:color w:val="1F2937"/>
                <w:sz w:val="19"/>
                <w:szCs w:val="19"/>
              </w:rPr>
              <w:t xml:space="preserve">Unaddressed by Log Source</w:t>
            </w:r>
          </w:p>
        </w:tc>
        <w:tc>
          <w:tcPr>
            <w:tcW w:type="dxa" w:w="4900"/>
            <w:tcMar>
              <w:top w:type="dxa" w:w="80"/>
              <w:left w:type="dxa" w:w="100"/>
              <w:bottom w:type="dxa" w:w="80"/>
              <w:right w:type="dxa" w:w="100"/>
            </w:tcMar>
          </w:tcPr>
          <w:p>
            <w:pPr>
              <w:jc w:val="left"/>
            </w:pPr>
            <w:r>
              <w:rPr>
                <w:b w:val="false"/>
                <w:bCs w:val="false"/>
                <w:color w:val="1F2937"/>
                <w:sz w:val="19"/>
                <w:szCs w:val="19"/>
              </w:rPr>
              <w:t xml:space="preserve">Dataset is limited to web-proxy traffic. Validating outbound email transmission requires Exchange/M365 message tracing and SMTP headers</w:t>
            </w:r>
          </w:p>
        </w:tc>
      </w:tr>
      <w:tr>
        <w:tc>
          <w:tcPr>
            <w:tcW w:type="dxa" w:w="3200"/>
            <w:shd w:fill="F3F4F6" w:val="clear"/>
            <w:tcMar>
              <w:top w:type="dxa" w:w="80"/>
              <w:left w:type="dxa" w:w="100"/>
              <w:bottom w:type="dxa" w:w="80"/>
              <w:right w:type="dxa" w:w="100"/>
            </w:tcMar>
          </w:tcPr>
          <w:p>
            <w:pPr>
              <w:jc w:val="left"/>
            </w:pPr>
            <w:r>
              <w:rPr>
                <w:b w:val="false"/>
                <w:bCs w:val="false"/>
                <w:color w:val="1F2937"/>
                <w:sz w:val="19"/>
                <w:szCs w:val="19"/>
              </w:rPr>
              <w:t xml:space="preserve">Other employees interacted with malicious messages</w:t>
            </w:r>
          </w:p>
        </w:tc>
        <w:tc>
          <w:tcPr>
            <w:tcW w:type="dxa" w:w="1700"/>
            <w:shd w:fill="F3F4F6" w:val="clear"/>
            <w:tcMar>
              <w:top w:type="dxa" w:w="80"/>
              <w:left w:type="dxa" w:w="100"/>
              <w:bottom w:type="dxa" w:w="80"/>
              <w:right w:type="dxa" w:w="100"/>
            </w:tcMar>
          </w:tcPr>
          <w:p>
            <w:pPr>
              <w:jc w:val="left"/>
            </w:pPr>
            <w:r>
              <w:rPr>
                <w:b w:val="false"/>
                <w:bCs w:val="false"/>
                <w:color w:val="1F2937"/>
                <w:sz w:val="19"/>
                <w:szCs w:val="19"/>
              </w:rPr>
              <w:t xml:space="preserve">Unaddressed by Log Source</w:t>
            </w:r>
          </w:p>
        </w:tc>
        <w:tc>
          <w:tcPr>
            <w:tcW w:type="dxa" w:w="4900"/>
            <w:shd w:fill="F3F4F6" w:val="clear"/>
            <w:tcMar>
              <w:top w:type="dxa" w:w="80"/>
              <w:left w:type="dxa" w:w="100"/>
              <w:bottom w:type="dxa" w:w="80"/>
              <w:right w:type="dxa" w:w="100"/>
            </w:tcMar>
          </w:tcPr>
          <w:p>
            <w:pPr>
              <w:jc w:val="left"/>
            </w:pPr>
            <w:r>
              <w:rPr>
                <w:b w:val="false"/>
                <w:bCs w:val="false"/>
                <w:color w:val="1F2937"/>
                <w:sz w:val="19"/>
                <w:szCs w:val="19"/>
              </w:rPr>
              <w:t xml:space="preserve">Dataset contains telemetry for a single host/account only; interaction by other organizational users cannot be measured here</w:t>
            </w:r>
          </w:p>
        </w:tc>
      </w:tr>
      <w:tr>
        <w:tc>
          <w:tcPr>
            <w:tcW w:type="dxa" w:w="3200"/>
            <w:tcMar>
              <w:top w:type="dxa" w:w="80"/>
              <w:left w:type="dxa" w:w="100"/>
              <w:bottom w:type="dxa" w:w="80"/>
              <w:right w:type="dxa" w:w="100"/>
            </w:tcMar>
          </w:tcPr>
          <w:p>
            <w:pPr>
              <w:jc w:val="left"/>
            </w:pPr>
            <w:r>
              <w:rPr>
                <w:b w:val="false"/>
                <w:bCs w:val="false"/>
                <w:color w:val="1F2937"/>
                <w:sz w:val="19"/>
                <w:szCs w:val="19"/>
              </w:rPr>
              <w:t xml:space="preserve">Host or account compromise</w:t>
            </w:r>
          </w:p>
        </w:tc>
        <w:tc>
          <w:tcPr>
            <w:tcW w:type="dxa" w:w="1700"/>
            <w:tcMar>
              <w:top w:type="dxa" w:w="80"/>
              <w:left w:type="dxa" w:w="100"/>
              <w:bottom w:type="dxa" w:w="80"/>
              <w:right w:type="dxa" w:w="100"/>
            </w:tcMar>
          </w:tcPr>
          <w:p>
            <w:pPr>
              <w:jc w:val="left"/>
            </w:pPr>
            <w:r>
              <w:rPr>
                <w:b w:val="false"/>
                <w:bCs w:val="false"/>
                <w:color w:val="1F2937"/>
                <w:sz w:val="19"/>
                <w:szCs w:val="19"/>
              </w:rPr>
              <w:t xml:space="preserve">Indeterminate</w:t>
            </w:r>
          </w:p>
        </w:tc>
        <w:tc>
          <w:tcPr>
            <w:tcW w:type="dxa" w:w="4900"/>
            <w:tcMar>
              <w:top w:type="dxa" w:w="80"/>
              <w:left w:type="dxa" w:w="100"/>
              <w:bottom w:type="dxa" w:w="80"/>
              <w:right w:type="dxa" w:w="100"/>
            </w:tcMar>
          </w:tcPr>
          <w:p>
            <w:pPr>
              <w:jc w:val="left"/>
            </w:pPr>
            <w:r>
              <w:rPr>
                <w:b w:val="false"/>
                <w:bCs w:val="false"/>
                <w:color w:val="1F2937"/>
                <w:sz w:val="19"/>
                <w:szCs w:val="19"/>
              </w:rPr>
              <w:t xml:space="preserve">Web telemetry captures security-verification activity and one blocked request, which are circumstantial and equally indicative of legitimate user self-investigation</w:t>
            </w:r>
          </w:p>
        </w:tc>
      </w:tr>
    </w:tbl>
    <w:p>
      <w:pPr>
        <w:pStyle w:val="Heading1"/>
        <w:pBdr>
          <w:bottom w:val="single" w:color="7A1F2B" w:sz="8" w:space="4"/>
        </w:pBdr>
        <w:spacing w:after="160" w:before="360"/>
      </w:pPr>
      <w:r>
        <w:rPr>
          <w:b/>
          <w:bCs/>
          <w:color w:val="1F2937"/>
          <w:sz w:val="26"/>
          <w:szCs w:val="26"/>
        </w:rPr>
        <w:t xml:space="preserve">6. Data Limitations</w:t>
      </w:r>
    </w:p>
    <w:p>
      <w:pPr>
        <w:pStyle w:val="ListParagraph"/>
        <w:numPr>
          <w:ilvl w:val="0"/>
          <w:numId w:val="2"/>
        </w:numPr>
        <w:spacing w:after="80" w:line="280"/>
      </w:pPr>
      <w:r>
        <w:rPr>
          <w:color w:val="1F2937"/>
          <w:sz w:val="21"/>
          <w:szCs w:val="21"/>
        </w:rPr>
        <w:t xml:space="preserve">Scope restriction: only 26 records covering ~1 hour 50 minutes for a single user; no baseline period exists for behavioral anomaly comparison.</w:t>
      </w:r>
    </w:p>
    <w:p>
      <w:pPr>
        <w:pStyle w:val="ListParagraph"/>
        <w:numPr>
          <w:ilvl w:val="0"/>
          <w:numId w:val="2"/>
        </w:numPr>
        <w:spacing w:after="80" w:line="280"/>
      </w:pPr>
      <w:r>
        <w:rPr>
          <w:color w:val="1F2937"/>
          <w:sz w:val="21"/>
          <w:szCs w:val="21"/>
        </w:rPr>
        <w:t xml:space="preserve">Payload blindness: TLS-tunneled traffic (port 443) prevents visibility into queried hashes, URLs, search terms, and VirusTotal detection scores.</w:t>
      </w:r>
    </w:p>
    <w:p>
      <w:pPr>
        <w:pStyle w:val="ListParagraph"/>
        <w:numPr>
          <w:ilvl w:val="0"/>
          <w:numId w:val="2"/>
        </w:numPr>
        <w:spacing w:after="80" w:line="280"/>
      </w:pPr>
      <w:r>
        <w:rPr>
          <w:color w:val="1F2937"/>
          <w:sz w:val="21"/>
          <w:szCs w:val="21"/>
        </w:rPr>
        <w:t xml:space="preserve">Missing telemetry disciplines: complete absence of EDR telemetry, Active Directory / Entra ID sign-in logs, and mail-gateway tracking.</w:t>
      </w:r>
    </w:p>
    <w:p>
      <w:pPr>
        <w:pStyle w:val="ListParagraph"/>
        <w:numPr>
          <w:ilvl w:val="0"/>
          <w:numId w:val="2"/>
        </w:numPr>
        <w:spacing w:after="80" w:line="280"/>
      </w:pPr>
      <w:r>
        <w:rPr>
          <w:color w:val="1F2937"/>
          <w:sz w:val="21"/>
          <w:szCs w:val="21"/>
        </w:rPr>
        <w:t xml:space="preserve">Source IP malformation: the invalid IP format (10.55.66.777) prevents definitive physical network-jack or DHCP-lease binding.</w:t>
      </w:r>
    </w:p>
    <w:p>
      <w:pPr>
        <w:pStyle w:val="Heading1"/>
        <w:pBdr>
          <w:bottom w:val="single" w:color="7A1F2B" w:sz="8" w:space="4"/>
        </w:pBdr>
        <w:spacing w:after="160" w:before="360"/>
      </w:pPr>
      <w:r>
        <w:rPr>
          <w:b/>
          <w:bCs/>
          <w:color w:val="1F2937"/>
          <w:sz w:val="26"/>
          <w:szCs w:val="26"/>
        </w:rPr>
        <w:t xml:space="preserve">7. Actionable Recommendations</w:t>
      </w:r>
    </w:p>
    <w:p>
      <w:pPr>
        <w:pStyle w:val="ListParagraph"/>
        <w:numPr>
          <w:ilvl w:val="0"/>
          <w:numId w:val="2"/>
        </w:numPr>
        <w:spacing w:after="80" w:line="280"/>
      </w:pPr>
      <w:r>
        <w:rPr>
          <w:color w:val="1F2937"/>
          <w:sz w:val="21"/>
          <w:szCs w:val="21"/>
        </w:rPr>
        <w:t xml:space="preserve">Mail Gateway &amp; Message Trace: pull Exchange / M365 Message Trace logs for Fahad3315 across 2021-11-16 to identify actual outbound message timestamps, sender IP, recipient lists, and SPF/DKIM validation results.</w:t>
      </w:r>
    </w:p>
    <w:p>
      <w:pPr>
        <w:pStyle w:val="ListParagraph"/>
        <w:numPr>
          <w:ilvl w:val="0"/>
          <w:numId w:val="2"/>
        </w:numPr>
        <w:spacing w:after="80" w:line="280"/>
      </w:pPr>
      <w:r>
        <w:rPr>
          <w:color w:val="1F2937"/>
          <w:sz w:val="21"/>
          <w:szCs w:val="21"/>
        </w:rPr>
        <w:t xml:space="preserve">Identity &amp; Authentication Audit: review Azure AD / Entra ID sign-in logs and Unified Audit Logs (UAL) for Fahad3315 to detect unauthorized concurrent logins, impossible-travel alerts, or new inbox-forwarding rules.</w:t>
      </w:r>
    </w:p>
    <w:p>
      <w:pPr>
        <w:pStyle w:val="ListParagraph"/>
        <w:numPr>
          <w:ilvl w:val="0"/>
          <w:numId w:val="2"/>
        </w:numPr>
        <w:spacing w:after="80" w:line="280"/>
      </w:pPr>
      <w:r>
        <w:rPr>
          <w:color w:val="1F2937"/>
          <w:sz w:val="21"/>
          <w:szCs w:val="21"/>
        </w:rPr>
        <w:t xml:space="preserve">Attachment / IOC Correlation: extract file hashes or URLs identified from the reported phishing emails and correlate them against the VirusTotal session timing identified in this report (10:03–10:08 and 11:38–11:42).</w:t>
      </w:r>
    </w:p>
    <w:p>
      <w:pPr>
        <w:pStyle w:val="ListParagraph"/>
        <w:numPr>
          <w:ilvl w:val="0"/>
          <w:numId w:val="2"/>
        </w:numPr>
        <w:spacing w:after="80" w:line="280"/>
      </w:pPr>
      <w:r>
        <w:rPr>
          <w:color w:val="1F2937"/>
          <w:sz w:val="21"/>
          <w:szCs w:val="21"/>
        </w:rPr>
        <w:t xml:space="preserve">Log Pipeline Remediation: escalate the 10.55.66.777 octet anomaly to SIEM/log engineering to identify root cause (e.g., regex error, log masking, or synthetic staging).</w:t>
      </w:r>
    </w:p>
    <w:p>
      <w:pPr>
        <w:spacing w:after="160" w:line="300"/>
      </w:pPr>
      <w:r>
        <w:rPr>
          <w:color w:val="1F2937"/>
          <w:sz w:val="21"/>
          <w:szCs w:val="21"/>
        </w:rPr>
        <w:t xml:space="preserve"/>
      </w:r>
    </w:p>
    <w:p>
      <w:pPr>
        <w:spacing w:after="160" w:line="300"/>
      </w:pPr>
      <w:r>
        <w:rPr>
          <w:i/>
          <w:iCs/>
          <w:color w:val="1F2937"/>
          <w:sz w:val="21"/>
          <w:szCs w:val="21"/>
        </w:rPr>
        <w:t xml:space="preserve">In summary, this telemetry substantiates that user Fahad3315 was actively conducting security-checking procedures within a tight timeframe, alongside an isolated, blocked attempt to reach an external defacement database via a search-engine result. These artifacts establish investigative activity on the endpoint but do not, on their own, constitute forensic proof of malicious intent or account takeover; formal incident attribution should remain bounded until the cross-telemetry correlations above are completed.</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Internal — 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7280" w:sz="4" w:space="4"/>
      </w:pBdr>
      <w:jc w:val="right"/>
    </w:pPr>
    <w:r>
      <w:rPr>
        <w:color w:val="6B7280"/>
        <w:sz w:val="16"/>
        <w:szCs w:val="16"/>
      </w:rPr>
      <w:t xml:space="preserve">DFIR Report — INC-2021-1116-01 — Fahad3315 Proxy Telemetry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2026-09-06T15:48:29.481Z</dcterms:created>
  <dcterms:modified xsi:type="dcterms:W3CDTF">2026-09-06T15:48:29.492Z</dcterms:modified>
</cp:coreProperties>
</file>

<file path=docProps/custom.xml><?xml version="1.0" encoding="utf-8"?>
<Properties xmlns="http://schemas.openxmlformats.org/officeDocument/2006/custom-properties" xmlns:vt="http://schemas.openxmlformats.org/officeDocument/2006/docPropsVTypes"/>
</file>