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Acme API Guide</w:t>
      </w:r>
    </w:p>
    <w:p>
      <w:r>
        <w:t xml:space="preserve">Acme API authentication uses bearer tokens sent in the Authorization header. Tokens expire after 24 hours and must be refreshed via the /oauth/token endpoint. Rate limits are 100 requests per minute per key. Rotate API keys every quarter for security.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2026-07-05T21:40:38.476Z</dcterms:created>
  <dcterms:modified xsi:type="dcterms:W3CDTF">2026-07-05T21:40:38.478Z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