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Times New Roman" w:hAnsi="Times New Roman" w:eastAsia="宋体"/>
          <w:b/>
          <w:sz w:val="44"/>
        </w:rPr>
        <w:t>毕业设计（论文）</w:t>
      </w:r>
    </w:p>
    <w:p/>
    <w:p>
      <w:pPr>
        <w:spacing w:line="360" w:lineRule="auto" w:before="0" w:after="120"/>
        <w:jc w:val="center"/>
      </w:pPr>
      <w:r>
        <w:rPr>
          <w:rFonts w:ascii="Times New Roman" w:hAnsi="Times New Roman" w:eastAsia="宋体"/>
          <w:b/>
          <w:sz w:val="36"/>
        </w:rPr>
        <w:t>基于 ATMR 问卷与视频多模态分析的智能心理测评系统设计与实现</w:t>
      </w:r>
    </w:p>
    <w:p/>
    <w:p>
      <w:pPr>
        <w:spacing w:line="360" w:lineRule="auto" w:before="0" w:after="120"/>
        <w:jc w:val="center"/>
      </w:pPr>
      <w:r>
        <w:rPr>
          <w:rFonts w:ascii="Times New Roman" w:hAnsi="Times New Roman" w:eastAsia="宋体"/>
          <w:b w:val="0"/>
          <w:sz w:val="24"/>
        </w:rPr>
        <w:t>学生姓名：待补充</w:t>
      </w:r>
    </w:p>
    <w:p>
      <w:pPr>
        <w:spacing w:line="360" w:lineRule="auto" w:before="0" w:after="120"/>
        <w:jc w:val="center"/>
      </w:pPr>
      <w:r>
        <w:rPr>
          <w:rFonts w:ascii="Times New Roman" w:hAnsi="Times New Roman" w:eastAsia="宋体"/>
          <w:b w:val="0"/>
          <w:sz w:val="24"/>
        </w:rPr>
        <w:t>专业：计算机科学与技术（待确认）</w:t>
      </w:r>
    </w:p>
    <w:p>
      <w:pPr>
        <w:spacing w:line="360" w:lineRule="auto" w:before="0" w:after="120"/>
        <w:jc w:val="center"/>
      </w:pPr>
      <w:r>
        <w:rPr>
          <w:rFonts w:ascii="Times New Roman" w:hAnsi="Times New Roman" w:eastAsia="宋体"/>
          <w:b w:val="0"/>
          <w:sz w:val="24"/>
        </w:rPr>
        <w:t>学院：待补充</w:t>
      </w:r>
    </w:p>
    <w:p>
      <w:pPr>
        <w:spacing w:line="360" w:lineRule="auto" w:before="0" w:after="120"/>
        <w:jc w:val="center"/>
      </w:pPr>
      <w:r>
        <w:rPr>
          <w:rFonts w:ascii="Times New Roman" w:hAnsi="Times New Roman" w:eastAsia="宋体"/>
          <w:b w:val="0"/>
          <w:sz w:val="24"/>
        </w:rPr>
        <w:t>指导教师：待补充</w:t>
      </w:r>
    </w:p>
    <w:p>
      <w:pPr>
        <w:spacing w:line="360" w:lineRule="auto" w:before="0" w:after="120"/>
        <w:jc w:val="center"/>
      </w:pPr>
      <w:r>
        <w:rPr>
          <w:rFonts w:ascii="Times New Roman" w:hAnsi="Times New Roman" w:eastAsia="宋体"/>
          <w:b w:val="0"/>
          <w:sz w:val="24"/>
        </w:rPr>
        <w:t>完成日期：待补充</w:t>
      </w:r>
    </w:p>
    <w:p>
      <w:r>
        <w:br w:type="page"/>
      </w:r>
    </w:p>
    <w:p>
      <w:pPr>
        <w:pStyle w:val="Heading1"/>
      </w:pPr>
      <w:r>
        <w:t>摘  要</w:t>
      </w:r>
    </w:p>
    <w:p>
      <w:pPr>
        <w:spacing w:line="360" w:lineRule="auto" w:before="0" w:after="120"/>
        <w:ind w:firstLine="480"/>
      </w:pPr>
      <w:r>
        <w:rPr>
          <w:rFonts w:ascii="Times New Roman" w:hAnsi="Times New Roman" w:eastAsia="宋体"/>
          <w:sz w:val="24"/>
        </w:rPr>
        <w:t>本文以本人在 TestAgent 仓库中完成的 ATMR 智能心理测评系统为研究对象，围绕“问卷测评主线如何闭环、视频多模态人格预测如何接入、两类证据如何在报告和咨询中并列呈现”三个问题展开。系统后端采用 FastAPI，前端采用 Vue 3，已实现注册登录、测评会话、断点续答、阶段提交、历史报告和测评后咨询等功能；在智能分析部分，系统实现了基于贝叶斯能力估计和题目特征向量的自适应选题、明显过快作答检测、多智能体辩论以及基于 PageIndex 的RAG 知识检索。多模态部分独立放置在 multimodal_personality 目录中，完成了 CFI-V2 manifest 构建、视频抽帧、音频提取、Whisper 转写、CLIP 视觉/文本特征、wav2clip 音频特征、feature bundle 组装、AGTN-MTL baseline 训练、评估和在线推理接入。当前在线默认 checkpoint 为 reports/night_lr1e4_drop02/agtn_mtl_lr1e4_drop02.pt，测试集结果为 MSE=0.011543、MAE=0.086074、PCC=0.7062、CCC=0.6327、R²=0.4881。论文没有把 ATMR 与 Big Five 直接数值融合，而是将 ATMR 报告和大五人格视频报告作为两条来源不同的证据链管理。实践表明，该方案能够支撑一次完整的毕业设计演示，但多任务损失、bg_features 重训、消融实验、后台任务队列和隐私治理仍需继续完善。</w:t>
      </w:r>
    </w:p>
    <w:p>
      <w:pPr>
        <w:spacing w:line="360" w:lineRule="auto" w:before="0" w:after="120"/>
        <w:ind w:firstLine="480"/>
      </w:pPr>
      <w:r>
        <w:rPr>
          <w:rFonts w:ascii="Times New Roman" w:hAnsi="Times New Roman" w:eastAsia="宋体"/>
          <w:sz w:val="24"/>
        </w:rPr>
        <w:t>关键词：ATMR；智能心理测评；多智能体辩论；RAG；多模态人格预测；AGTN-MTL</w:t>
      </w:r>
    </w:p>
    <w:p>
      <w:r>
        <w:br w:type="page"/>
      </w:r>
    </w:p>
    <w:p>
      <w:pPr>
        <w:pStyle w:val="Heading1"/>
      </w:pPr>
      <w:r>
        <w:t>Abstract</w:t>
      </w:r>
    </w:p>
    <w:p>
      <w:pPr>
        <w:spacing w:line="360" w:lineRule="auto" w:before="0" w:after="120"/>
        <w:ind w:firstLine="480"/>
      </w:pPr>
      <w:r>
        <w:rPr>
          <w:rFonts w:ascii="Times New Roman" w:hAnsi="Times New Roman" w:eastAsia="宋体"/>
          <w:sz w:val="24"/>
        </w:rPr>
        <w:t>This thesis is based on the TestAgent project implemented during the graduation design. It focuses on three practical issues: how to close the ATMR questionnaire workflow, how to connect video-based multimodal personality prediction to the online system, and how to present the questionnaire report and the Big Five video report as two separate evidence chains. The backend is implemented with FastAPI and the frontend with Vue 3. The system supports user authentication, resumable assessment sessions, staged submission, historical reports, and post-assessment consultation. It also includes adaptive question selection, fast-answer anomaly detection, multi-agent debate, and PageIndex-based RAG retrieval. The multimodal branch is isolated under the multimodal_personality directory and covers CFI-V2 manifest construction, frame extraction, audio extraction, Whisper transcription, CLIP visual/text features, wav2clip audio features, feature bundle construction, AGTN-MTL baseline training, evaluation, and online inference. The current online checkpoint reports MSE 0.011543, MAE 0.086074, PCC 0.7062, CCC 0.6327, and R2 0.4881 on the test split. The two reports are not numerically merged; instead, they are shown and used in chat as independent sources of evidence.</w:t>
      </w:r>
    </w:p>
    <w:p>
      <w:pPr>
        <w:spacing w:line="360" w:lineRule="auto" w:before="0" w:after="120"/>
        <w:ind w:firstLine="480"/>
      </w:pPr>
      <w:r>
        <w:rPr>
          <w:rFonts w:ascii="Times New Roman" w:hAnsi="Times New Roman" w:eastAsia="宋体"/>
          <w:sz w:val="24"/>
        </w:rPr>
        <w:t>Keywords: ATMR; intelligent psychological assessment; multi-agent debate; RAG; multimodal personality prediction; AGTN-MTL</w:t>
      </w:r>
    </w:p>
    <w:p>
      <w:r>
        <w:br w:type="page"/>
      </w:r>
    </w:p>
    <w:p>
      <w:pPr>
        <w:pStyle w:val="Heading1"/>
      </w:pPr>
      <w:r>
        <w:t>目  录</w:t>
      </w:r>
    </w:p>
    <w:p>
      <w:pPr>
        <w:spacing w:line="360" w:lineRule="auto" w:before="0" w:after="120"/>
      </w:pPr>
      <w:r>
        <w:rPr>
          <w:rFonts w:ascii="Times New Roman" w:hAnsi="Times New Roman" w:eastAsia="宋体"/>
          <w:b/>
          <w:sz w:val="24"/>
        </w:rPr>
        <w:t>第1章 绪论</w:t>
      </w:r>
    </w:p>
    <w:p>
      <w:pPr>
        <w:spacing w:line="360" w:lineRule="auto" w:before="0" w:after="120"/>
        <w:ind w:left="360"/>
      </w:pPr>
      <w:r>
        <w:rPr>
          <w:rFonts w:ascii="Times New Roman" w:hAnsi="Times New Roman" w:eastAsia="宋体"/>
          <w:sz w:val="22"/>
        </w:rPr>
        <w:t>1.1 研究背景</w:t>
      </w:r>
    </w:p>
    <w:p>
      <w:pPr>
        <w:spacing w:line="360" w:lineRule="auto" w:before="0" w:after="120"/>
        <w:ind w:left="360"/>
      </w:pPr>
      <w:r>
        <w:rPr>
          <w:rFonts w:ascii="Times New Roman" w:hAnsi="Times New Roman" w:eastAsia="宋体"/>
          <w:sz w:val="22"/>
        </w:rPr>
        <w:t>1.2 研究意义</w:t>
      </w:r>
    </w:p>
    <w:p>
      <w:pPr>
        <w:spacing w:line="360" w:lineRule="auto" w:before="0" w:after="120"/>
        <w:ind w:left="360"/>
      </w:pPr>
      <w:r>
        <w:rPr>
          <w:rFonts w:ascii="Times New Roman" w:hAnsi="Times New Roman" w:eastAsia="宋体"/>
          <w:sz w:val="22"/>
        </w:rPr>
        <w:t>1.3 国内外研究现状</w:t>
      </w:r>
    </w:p>
    <w:p>
      <w:pPr>
        <w:spacing w:line="360" w:lineRule="auto" w:before="0" w:after="120"/>
        <w:ind w:left="360"/>
      </w:pPr>
      <w:r>
        <w:rPr>
          <w:rFonts w:ascii="Times New Roman" w:hAnsi="Times New Roman" w:eastAsia="宋体"/>
          <w:sz w:val="22"/>
        </w:rPr>
        <w:t>1.4 本文主要工作</w:t>
      </w:r>
    </w:p>
    <w:p>
      <w:pPr>
        <w:spacing w:line="360" w:lineRule="auto" w:before="0" w:after="120"/>
        <w:ind w:left="360"/>
      </w:pPr>
      <w:r>
        <w:rPr>
          <w:rFonts w:ascii="Times New Roman" w:hAnsi="Times New Roman" w:eastAsia="宋体"/>
          <w:sz w:val="22"/>
        </w:rPr>
        <w:t>1.5 论文结构安排</w:t>
      </w:r>
    </w:p>
    <w:p>
      <w:pPr>
        <w:spacing w:line="360" w:lineRule="auto" w:before="0" w:after="120"/>
      </w:pPr>
      <w:r>
        <w:rPr>
          <w:rFonts w:ascii="Times New Roman" w:hAnsi="Times New Roman" w:eastAsia="宋体"/>
          <w:b/>
          <w:sz w:val="24"/>
        </w:rPr>
        <w:t>第2章 相关理论与关键技术</w:t>
      </w:r>
    </w:p>
    <w:p>
      <w:pPr>
        <w:spacing w:line="360" w:lineRule="auto" w:before="0" w:after="120"/>
        <w:ind w:left="360"/>
      </w:pPr>
      <w:r>
        <w:rPr>
          <w:rFonts w:ascii="Times New Roman" w:hAnsi="Times New Roman" w:eastAsia="宋体"/>
          <w:sz w:val="22"/>
        </w:rPr>
        <w:t>2.1 ATMR 测评模型与在线测评流程</w:t>
      </w:r>
    </w:p>
    <w:p>
      <w:pPr>
        <w:spacing w:line="360" w:lineRule="auto" w:before="0" w:after="120"/>
        <w:ind w:left="360"/>
      </w:pPr>
      <w:r>
        <w:rPr>
          <w:rFonts w:ascii="Times New Roman" w:hAnsi="Times New Roman" w:eastAsia="宋体"/>
          <w:sz w:val="22"/>
        </w:rPr>
        <w:t>2.2 自适应选题与贝叶斯能力估计</w:t>
      </w:r>
    </w:p>
    <w:p>
      <w:pPr>
        <w:spacing w:line="360" w:lineRule="auto" w:before="0" w:after="120"/>
        <w:ind w:left="360"/>
      </w:pPr>
      <w:r>
        <w:rPr>
          <w:rFonts w:ascii="Times New Roman" w:hAnsi="Times New Roman" w:eastAsia="宋体"/>
          <w:sz w:val="22"/>
        </w:rPr>
        <w:t>2.3 异常作答检测与解释边界</w:t>
      </w:r>
    </w:p>
    <w:p>
      <w:pPr>
        <w:spacing w:line="360" w:lineRule="auto" w:before="0" w:after="120"/>
        <w:ind w:left="360"/>
      </w:pPr>
      <w:r>
        <w:rPr>
          <w:rFonts w:ascii="Times New Roman" w:hAnsi="Times New Roman" w:eastAsia="宋体"/>
          <w:sz w:val="22"/>
        </w:rPr>
        <w:t>2.4 RAG 知识检索与多智能体辩论</w:t>
      </w:r>
    </w:p>
    <w:p>
      <w:pPr>
        <w:spacing w:line="360" w:lineRule="auto" w:before="0" w:after="120"/>
        <w:ind w:left="360"/>
      </w:pPr>
      <w:r>
        <w:rPr>
          <w:rFonts w:ascii="Times New Roman" w:hAnsi="Times New Roman" w:eastAsia="宋体"/>
          <w:sz w:val="22"/>
        </w:rPr>
        <w:t>2.5 Big Five 人格模型与视频多模态预测</w:t>
      </w:r>
    </w:p>
    <w:p>
      <w:pPr>
        <w:spacing w:line="360" w:lineRule="auto" w:before="0" w:after="120"/>
        <w:ind w:left="360"/>
      </w:pPr>
      <w:r>
        <w:rPr>
          <w:rFonts w:ascii="Times New Roman" w:hAnsi="Times New Roman" w:eastAsia="宋体"/>
          <w:sz w:val="22"/>
        </w:rPr>
        <w:t>2.6 系统开发技术基础</w:t>
      </w:r>
    </w:p>
    <w:p>
      <w:pPr>
        <w:spacing w:line="360" w:lineRule="auto" w:before="0" w:after="120"/>
        <w:ind w:left="360"/>
      </w:pPr>
      <w:r>
        <w:rPr>
          <w:rFonts w:ascii="Times New Roman" w:hAnsi="Times New Roman" w:eastAsia="宋体"/>
          <w:sz w:val="22"/>
        </w:rPr>
        <w:t>2.7 本项目对相关技术的选用边界</w:t>
      </w:r>
    </w:p>
    <w:p>
      <w:pPr>
        <w:spacing w:line="360" w:lineRule="auto" w:before="0" w:after="120"/>
      </w:pPr>
      <w:r>
        <w:rPr>
          <w:rFonts w:ascii="Times New Roman" w:hAnsi="Times New Roman" w:eastAsia="宋体"/>
          <w:b/>
          <w:sz w:val="24"/>
        </w:rPr>
        <w:t>第3章 系统需求分析与总体设计</w:t>
      </w:r>
    </w:p>
    <w:p>
      <w:pPr>
        <w:spacing w:line="360" w:lineRule="auto" w:before="0" w:after="120"/>
        <w:ind w:left="360"/>
      </w:pPr>
      <w:r>
        <w:rPr>
          <w:rFonts w:ascii="Times New Roman" w:hAnsi="Times New Roman" w:eastAsia="宋体"/>
          <w:sz w:val="22"/>
        </w:rPr>
        <w:t>3.1 需求分析</w:t>
      </w:r>
    </w:p>
    <w:p>
      <w:pPr>
        <w:spacing w:line="360" w:lineRule="auto" w:before="0" w:after="120"/>
        <w:ind w:left="360"/>
      </w:pPr>
      <w:r>
        <w:rPr>
          <w:rFonts w:ascii="Times New Roman" w:hAnsi="Times New Roman" w:eastAsia="宋体"/>
          <w:sz w:val="22"/>
        </w:rPr>
        <w:t>3.2 总体架构设计</w:t>
      </w:r>
    </w:p>
    <w:p>
      <w:pPr>
        <w:spacing w:line="360" w:lineRule="auto" w:before="0" w:after="120"/>
        <w:ind w:left="360"/>
      </w:pPr>
      <w:r>
        <w:rPr>
          <w:rFonts w:ascii="Times New Roman" w:hAnsi="Times New Roman" w:eastAsia="宋体"/>
          <w:sz w:val="22"/>
        </w:rPr>
        <w:t>3.3 ATMR 测评主流程设计</w:t>
      </w:r>
    </w:p>
    <w:p>
      <w:pPr>
        <w:spacing w:line="360" w:lineRule="auto" w:before="0" w:after="120"/>
        <w:ind w:left="360"/>
      </w:pPr>
      <w:r>
        <w:rPr>
          <w:rFonts w:ascii="Times New Roman" w:hAnsi="Times New Roman" w:eastAsia="宋体"/>
          <w:sz w:val="22"/>
        </w:rPr>
        <w:t>3.4 多模态人格预测子系统设计</w:t>
      </w:r>
    </w:p>
    <w:p>
      <w:pPr>
        <w:spacing w:line="360" w:lineRule="auto" w:before="0" w:after="120"/>
        <w:ind w:left="360"/>
      </w:pPr>
      <w:r>
        <w:rPr>
          <w:rFonts w:ascii="Times New Roman" w:hAnsi="Times New Roman" w:eastAsia="宋体"/>
          <w:sz w:val="22"/>
        </w:rPr>
        <w:t>3.5 数据库与文件组织设计</w:t>
      </w:r>
    </w:p>
    <w:p>
      <w:pPr>
        <w:spacing w:line="360" w:lineRule="auto" w:before="0" w:after="120"/>
        <w:ind w:left="360"/>
      </w:pPr>
      <w:r>
        <w:rPr>
          <w:rFonts w:ascii="Times New Roman" w:hAnsi="Times New Roman" w:eastAsia="宋体"/>
          <w:sz w:val="22"/>
        </w:rPr>
        <w:t>3.6 安全性与可靠性设计</w:t>
      </w:r>
    </w:p>
    <w:p>
      <w:pPr>
        <w:spacing w:line="360" w:lineRule="auto" w:before="0" w:after="120"/>
        <w:ind w:left="360"/>
      </w:pPr>
      <w:r>
        <w:rPr>
          <w:rFonts w:ascii="Times New Roman" w:hAnsi="Times New Roman" w:eastAsia="宋体"/>
          <w:sz w:val="22"/>
        </w:rPr>
        <w:t>3.7 前端交互与用户体验设计</w:t>
      </w:r>
    </w:p>
    <w:p>
      <w:pPr>
        <w:spacing w:line="360" w:lineRule="auto" w:before="0" w:after="120"/>
        <w:ind w:left="360"/>
      </w:pPr>
      <w:r>
        <w:rPr>
          <w:rFonts w:ascii="Times New Roman" w:hAnsi="Times New Roman" w:eastAsia="宋体"/>
          <w:sz w:val="22"/>
        </w:rPr>
        <w:t>3.8 架构取舍记录</w:t>
      </w:r>
    </w:p>
    <w:p>
      <w:pPr>
        <w:spacing w:line="360" w:lineRule="auto" w:before="0" w:after="120"/>
      </w:pPr>
      <w:r>
        <w:rPr>
          <w:rFonts w:ascii="Times New Roman" w:hAnsi="Times New Roman" w:eastAsia="宋体"/>
          <w:b/>
          <w:sz w:val="24"/>
        </w:rPr>
        <w:t>第4章 关键模块设计与实现</w:t>
      </w:r>
    </w:p>
    <w:p>
      <w:pPr>
        <w:spacing w:line="360" w:lineRule="auto" w:before="0" w:after="120"/>
        <w:ind w:left="360"/>
      </w:pPr>
      <w:r>
        <w:rPr>
          <w:rFonts w:ascii="Times New Roman" w:hAnsi="Times New Roman" w:eastAsia="宋体"/>
          <w:sz w:val="22"/>
        </w:rPr>
        <w:t>4.1 用户认证与测评会话实现</w:t>
      </w:r>
    </w:p>
    <w:p>
      <w:pPr>
        <w:spacing w:line="360" w:lineRule="auto" w:before="0" w:after="120"/>
        <w:ind w:left="360"/>
      </w:pPr>
      <w:r>
        <w:rPr>
          <w:rFonts w:ascii="Times New Roman" w:hAnsi="Times New Roman" w:eastAsia="宋体"/>
          <w:sz w:val="22"/>
        </w:rPr>
        <w:t>4.2 自适应选题模块实现</w:t>
      </w:r>
    </w:p>
    <w:p>
      <w:pPr>
        <w:spacing w:line="360" w:lineRule="auto" w:before="0" w:after="120"/>
        <w:ind w:left="360"/>
      </w:pPr>
      <w:r>
        <w:rPr>
          <w:rFonts w:ascii="Times New Roman" w:hAnsi="Times New Roman" w:eastAsia="宋体"/>
          <w:sz w:val="22"/>
        </w:rPr>
        <w:t>4.3 异常作答检测模块实现</w:t>
      </w:r>
    </w:p>
    <w:p>
      <w:pPr>
        <w:spacing w:line="360" w:lineRule="auto" w:before="0" w:after="120"/>
        <w:ind w:left="360"/>
      </w:pPr>
      <w:r>
        <w:rPr>
          <w:rFonts w:ascii="Times New Roman" w:hAnsi="Times New Roman" w:eastAsia="宋体"/>
          <w:sz w:val="22"/>
        </w:rPr>
        <w:t>4.4 多智能体辩论与 RAG 实现</w:t>
      </w:r>
    </w:p>
    <w:p>
      <w:pPr>
        <w:spacing w:line="360" w:lineRule="auto" w:before="0" w:after="120"/>
        <w:ind w:left="360"/>
      </w:pPr>
      <w:r>
        <w:rPr>
          <w:rFonts w:ascii="Times New Roman" w:hAnsi="Times New Roman" w:eastAsia="宋体"/>
          <w:sz w:val="22"/>
        </w:rPr>
        <w:t>4.5 多模态特征提取与 Feature Bundle 实现</w:t>
      </w:r>
    </w:p>
    <w:p>
      <w:pPr>
        <w:spacing w:line="360" w:lineRule="auto" w:before="0" w:after="120"/>
        <w:ind w:left="360"/>
      </w:pPr>
      <w:r>
        <w:rPr>
          <w:rFonts w:ascii="Times New Roman" w:hAnsi="Times New Roman" w:eastAsia="宋体"/>
          <w:sz w:val="22"/>
        </w:rPr>
        <w:t>4.6 AGTN-MTL Baseline 模型实现</w:t>
      </w:r>
    </w:p>
    <w:p>
      <w:pPr>
        <w:spacing w:line="360" w:lineRule="auto" w:before="0" w:after="120"/>
        <w:ind w:left="360"/>
      </w:pPr>
      <w:r>
        <w:rPr>
          <w:rFonts w:ascii="Times New Roman" w:hAnsi="Times New Roman" w:eastAsia="宋体"/>
          <w:sz w:val="22"/>
        </w:rPr>
        <w:t>4.7 大五人格报告与前端展示实现</w:t>
      </w:r>
    </w:p>
    <w:p>
      <w:pPr>
        <w:spacing w:line="360" w:lineRule="auto" w:before="0" w:after="120"/>
        <w:ind w:left="360"/>
      </w:pPr>
      <w:r>
        <w:rPr>
          <w:rFonts w:ascii="Times New Roman" w:hAnsi="Times New Roman" w:eastAsia="宋体"/>
          <w:sz w:val="22"/>
        </w:rPr>
        <w:t>4.8 本章小结</w:t>
      </w:r>
    </w:p>
    <w:p>
      <w:pPr>
        <w:spacing w:line="360" w:lineRule="auto" w:before="0" w:after="120"/>
        <w:ind w:left="360"/>
      </w:pPr>
      <w:r>
        <w:rPr>
          <w:rFonts w:ascii="Times New Roman" w:hAnsi="Times New Roman" w:eastAsia="宋体"/>
          <w:sz w:val="22"/>
        </w:rPr>
        <w:t>4.9 部署运行与工程治理实现</w:t>
      </w:r>
    </w:p>
    <w:p>
      <w:pPr>
        <w:spacing w:line="360" w:lineRule="auto" w:before="0" w:after="120"/>
        <w:ind w:left="360"/>
      </w:pPr>
      <w:r>
        <w:rPr>
          <w:rFonts w:ascii="Times New Roman" w:hAnsi="Times New Roman" w:eastAsia="宋体"/>
          <w:sz w:val="22"/>
        </w:rPr>
        <w:t>4.10 关键实现文件对应关系</w:t>
      </w:r>
    </w:p>
    <w:p>
      <w:pPr>
        <w:spacing w:line="360" w:lineRule="auto" w:before="0" w:after="120"/>
      </w:pPr>
      <w:r>
        <w:rPr>
          <w:rFonts w:ascii="Times New Roman" w:hAnsi="Times New Roman" w:eastAsia="宋体"/>
          <w:b/>
          <w:sz w:val="24"/>
        </w:rPr>
        <w:t>第5章 系统测试与实验分析</w:t>
      </w:r>
    </w:p>
    <w:p>
      <w:pPr>
        <w:spacing w:line="360" w:lineRule="auto" w:before="0" w:after="120"/>
        <w:ind w:left="360"/>
      </w:pPr>
      <w:r>
        <w:rPr>
          <w:rFonts w:ascii="Times New Roman" w:hAnsi="Times New Roman" w:eastAsia="宋体"/>
          <w:sz w:val="22"/>
        </w:rPr>
        <w:t>5.1 测试目标与测试环境</w:t>
      </w:r>
    </w:p>
    <w:p>
      <w:pPr>
        <w:spacing w:line="360" w:lineRule="auto" w:before="0" w:after="120"/>
        <w:ind w:left="360"/>
      </w:pPr>
      <w:r>
        <w:rPr>
          <w:rFonts w:ascii="Times New Roman" w:hAnsi="Times New Roman" w:eastAsia="宋体"/>
          <w:sz w:val="22"/>
        </w:rPr>
        <w:t>5.2 在线主系统功能测试</w:t>
      </w:r>
    </w:p>
    <w:p>
      <w:pPr>
        <w:spacing w:line="360" w:lineRule="auto" w:before="0" w:after="120"/>
        <w:ind w:left="360"/>
      </w:pPr>
      <w:r>
        <w:rPr>
          <w:rFonts w:ascii="Times New Roman" w:hAnsi="Times New Roman" w:eastAsia="宋体"/>
          <w:sz w:val="22"/>
        </w:rPr>
        <w:t>5.3 多模态实验设置</w:t>
      </w:r>
    </w:p>
    <w:p>
      <w:pPr>
        <w:spacing w:line="360" w:lineRule="auto" w:before="0" w:after="120"/>
        <w:ind w:left="360"/>
      </w:pPr>
      <w:r>
        <w:rPr>
          <w:rFonts w:ascii="Times New Roman" w:hAnsi="Times New Roman" w:eastAsia="宋体"/>
          <w:sz w:val="22"/>
        </w:rPr>
        <w:t>5.4 多模态实验结果</w:t>
      </w:r>
    </w:p>
    <w:p>
      <w:pPr>
        <w:spacing w:line="360" w:lineRule="auto" w:before="0" w:after="120"/>
        <w:ind w:left="360"/>
      </w:pPr>
      <w:r>
        <w:rPr>
          <w:rFonts w:ascii="Times New Roman" w:hAnsi="Times New Roman" w:eastAsia="宋体"/>
          <w:sz w:val="22"/>
        </w:rPr>
        <w:t>5.5 结果分析与讨论</w:t>
      </w:r>
    </w:p>
    <w:p>
      <w:pPr>
        <w:spacing w:line="360" w:lineRule="auto" w:before="0" w:after="120"/>
        <w:ind w:left="360"/>
      </w:pPr>
      <w:r>
        <w:rPr>
          <w:rFonts w:ascii="Times New Roman" w:hAnsi="Times New Roman" w:eastAsia="宋体"/>
          <w:sz w:val="22"/>
        </w:rPr>
        <w:t>5.6 系统不足与改进方向</w:t>
      </w:r>
    </w:p>
    <w:p>
      <w:pPr>
        <w:spacing w:line="360" w:lineRule="auto" w:before="0" w:after="120"/>
        <w:ind w:left="360"/>
      </w:pPr>
      <w:r>
        <w:rPr>
          <w:rFonts w:ascii="Times New Roman" w:hAnsi="Times New Roman" w:eastAsia="宋体"/>
          <w:sz w:val="22"/>
        </w:rPr>
        <w:t>5.7 本章小结</w:t>
      </w:r>
    </w:p>
    <w:p>
      <w:pPr>
        <w:spacing w:line="360" w:lineRule="auto" w:before="0" w:after="120"/>
        <w:ind w:left="360"/>
      </w:pPr>
      <w:r>
        <w:rPr>
          <w:rFonts w:ascii="Times New Roman" w:hAnsi="Times New Roman" w:eastAsia="宋体"/>
          <w:sz w:val="22"/>
        </w:rPr>
        <w:t>5.8 伦理边界与应用风险分析</w:t>
      </w:r>
    </w:p>
    <w:p>
      <w:pPr>
        <w:spacing w:line="360" w:lineRule="auto" w:before="0" w:after="120"/>
        <w:ind w:left="360"/>
      </w:pPr>
      <w:r>
        <w:rPr>
          <w:rFonts w:ascii="Times New Roman" w:hAnsi="Times New Roman" w:eastAsia="宋体"/>
          <w:sz w:val="22"/>
        </w:rPr>
        <w:t>5.9 本轮论文修订说明</w:t>
      </w:r>
    </w:p>
    <w:p>
      <w:pPr>
        <w:spacing w:line="360" w:lineRule="auto" w:before="0" w:after="120"/>
      </w:pPr>
      <w:r>
        <w:rPr>
          <w:rFonts w:ascii="Times New Roman" w:hAnsi="Times New Roman" w:eastAsia="宋体"/>
          <w:b/>
          <w:sz w:val="24"/>
        </w:rPr>
        <w:t>第6章 总结与展望</w:t>
      </w:r>
    </w:p>
    <w:p>
      <w:pPr>
        <w:spacing w:line="360" w:lineRule="auto" w:before="0" w:after="120"/>
        <w:ind w:left="360"/>
      </w:pPr>
      <w:r>
        <w:rPr>
          <w:rFonts w:ascii="Times New Roman" w:hAnsi="Times New Roman" w:eastAsia="宋体"/>
          <w:sz w:val="22"/>
        </w:rPr>
        <w:t>6.1 工作总结</w:t>
      </w:r>
    </w:p>
    <w:p>
      <w:pPr>
        <w:spacing w:line="360" w:lineRule="auto" w:before="0" w:after="120"/>
        <w:ind w:left="360"/>
      </w:pPr>
      <w:r>
        <w:rPr>
          <w:rFonts w:ascii="Times New Roman" w:hAnsi="Times New Roman" w:eastAsia="宋体"/>
          <w:sz w:val="22"/>
        </w:rPr>
        <w:t>6.2 创新点与工程价值</w:t>
      </w:r>
    </w:p>
    <w:p>
      <w:pPr>
        <w:spacing w:line="360" w:lineRule="auto" w:before="0" w:after="120"/>
        <w:ind w:left="360"/>
      </w:pPr>
      <w:r>
        <w:rPr>
          <w:rFonts w:ascii="Times New Roman" w:hAnsi="Times New Roman" w:eastAsia="宋体"/>
          <w:sz w:val="22"/>
        </w:rPr>
        <w:t>6.3 不足与展望</w:t>
      </w:r>
    </w:p>
    <w:p>
      <w:pPr>
        <w:spacing w:line="360" w:lineRule="auto" w:before="0" w:after="120"/>
        <w:ind w:left="360"/>
      </w:pPr>
      <w:r>
        <w:rPr>
          <w:rFonts w:ascii="Times New Roman" w:hAnsi="Times New Roman" w:eastAsia="宋体"/>
          <w:sz w:val="22"/>
        </w:rPr>
        <w:t>6.4 后续可执行清单</w:t>
      </w:r>
    </w:p>
    <w:p>
      <w:r>
        <w:br w:type="page"/>
      </w:r>
    </w:p>
    <w:p>
      <w:pPr>
        <w:pStyle w:val="Heading1"/>
      </w:pPr>
      <w:r>
        <w:t>第1章 绪论</w:t>
      </w:r>
    </w:p>
    <w:p>
      <w:pPr>
        <w:pStyle w:val="Heading2"/>
      </w:pPr>
      <w:r>
        <w:t>1.1 研究背景</w:t>
      </w:r>
    </w:p>
    <w:p>
      <w:pPr>
        <w:spacing w:line="360" w:lineRule="auto" w:before="0" w:after="120"/>
        <w:ind w:firstLine="480"/>
      </w:pPr>
      <w:r>
        <w:rPr>
          <w:rFonts w:ascii="Times New Roman" w:hAnsi="Times New Roman" w:eastAsia="宋体"/>
          <w:sz w:val="24"/>
        </w:rPr>
        <w:t>我最初做这个课题时，系统还比较像一个“能答题、能出报告”的问卷项目。随着功能逐步增加，问题也变得具体起来：用户中途退出后怎么办，阶段报告生成慢怎么办，题目是否只能固定顺序出现，视频分析结果能不能进入同一个咨询入口，报告里的结论有没有依据。后面几轮开发基本都是围绕这些问题展开的。到 2026 年 4 月底，仓库 README 和《毕设开发目标和进度》已经把项目状态整理为三条线：ATMR 在线主系统、大五人格视频报告线、离线多模态子系统</w:t>
      </w:r>
      <w:r>
        <w:rPr>
          <w:rFonts w:ascii="Times New Roman" w:hAnsi="Times New Roman" w:eastAsia="宋体"/>
          <w:sz w:val="20"/>
          <w:vertAlign w:val="superscript"/>
        </w:rPr>
        <w:t>[6]</w:t>
      </w:r>
      <w:r>
        <w:rPr>
          <w:rFonts w:ascii="Times New Roman" w:hAnsi="Times New Roman" w:eastAsia="宋体"/>
          <w:sz w:val="20"/>
          <w:vertAlign w:val="superscript"/>
        </w:rPr>
        <w:t>[8]</w:t>
      </w:r>
      <w:r>
        <w:rPr>
          <w:rFonts w:ascii="Times New Roman" w:hAnsi="Times New Roman" w:eastAsia="宋体"/>
          <w:sz w:val="24"/>
        </w:rPr>
        <w:t>。</w:t>
      </w:r>
    </w:p>
    <w:p>
      <w:pPr>
        <w:spacing w:line="360" w:lineRule="auto" w:before="0" w:after="120"/>
        <w:ind w:firstLine="480"/>
      </w:pPr>
      <w:r>
        <w:rPr>
          <w:rFonts w:ascii="Times New Roman" w:hAnsi="Times New Roman" w:eastAsia="宋体"/>
          <w:sz w:val="24"/>
        </w:rPr>
        <w:t>ATMR 主系统承担的是问卷测评流程。用户登录后可以创建测评草稿，按 intro、fixed、A、T、M、R 等阶段答题，系统记录每道题的选项、得分、作答时间和异常标记。阶段完成后，后台会组织模块评审和综合报告，历史页再把报告保存下来，聊天页可以继续读取这些报告作为咨询上下文。这个部分的难点不是单个接口，而是状态连续性：用户可能刷新页面、重新登录、修改答案，也可能在报告生成时离开页面。</w:t>
      </w:r>
    </w:p>
    <w:p>
      <w:pPr>
        <w:spacing w:line="360" w:lineRule="auto" w:before="0" w:after="120"/>
        <w:ind w:firstLine="480"/>
      </w:pPr>
      <w:r>
        <w:rPr>
          <w:rFonts w:ascii="Times New Roman" w:hAnsi="Times New Roman" w:eastAsia="宋体"/>
          <w:sz w:val="24"/>
        </w:rPr>
        <w:t>多模态部分是后来逐步接进来的。中期检查时，视频多模态人格测评仍主要是骨架和占位输出；后续才完成 CFI-V2 manifest、抽帧、音频提取、Whisper 转写、CLIP、wav2clip、feature bundle、AGTN-MTL baseline 和真实 checkpoint 接入。现在系统已经不是固定返回 0.50 的演示接口，而是可以用 reports/night_lr1e4_drop02/agtn_mtl_lr1e4_drop02.pt 做真实推理，并把结果落成独立的大五人格报告</w:t>
      </w:r>
      <w:r>
        <w:rPr>
          <w:rFonts w:ascii="Times New Roman" w:hAnsi="Times New Roman" w:eastAsia="宋体"/>
          <w:sz w:val="20"/>
          <w:vertAlign w:val="superscript"/>
        </w:rPr>
        <w:t>[7]</w:t>
      </w:r>
      <w:r>
        <w:rPr>
          <w:rFonts w:ascii="Times New Roman" w:hAnsi="Times New Roman" w:eastAsia="宋体"/>
          <w:sz w:val="24"/>
        </w:rPr>
        <w:t>。</w:t>
      </w:r>
    </w:p>
    <w:p>
      <w:pPr>
        <w:spacing w:line="360" w:lineRule="auto" w:before="0" w:after="120"/>
        <w:ind w:firstLine="480"/>
      </w:pPr>
      <w:r>
        <w:rPr>
          <w:rFonts w:ascii="Times New Roman" w:hAnsi="Times New Roman" w:eastAsia="宋体"/>
          <w:sz w:val="24"/>
        </w:rPr>
        <w:t>因此，本文讨论的不是一个单纯的心理问卷网页，也不是单纯复现一篇多模态论文。更准确地说，它是一个围绕“问卷自陈证据”和“视频外显行为线索”组织起来的工程系统。两条证据链都不完美，尤其视频结果受数据集、拍摄条件和模型版本影响较大，所以系统没有把 ATMR 和 Big Five 分数强行合并，而是在历史页、报告页和聊天页中并列呈现。</w:t>
      </w:r>
    </w:p>
    <w:p>
      <w:pPr>
        <w:pStyle w:val="Heading2"/>
      </w:pPr>
      <w:r>
        <w:t>1.2 研究意义</w:t>
      </w:r>
    </w:p>
    <w:p>
      <w:pPr>
        <w:spacing w:line="360" w:lineRule="auto" w:before="0" w:after="120"/>
        <w:ind w:firstLine="480"/>
      </w:pPr>
      <w:r>
        <w:rPr>
          <w:rFonts w:ascii="Times New Roman" w:hAnsi="Times New Roman" w:eastAsia="宋体"/>
          <w:sz w:val="24"/>
        </w:rPr>
        <w:t>本课题的意义首先在于把测评流程真正做成可运行闭环。普通问卷页面只需要展示题目和保存分数，但本系统还要处理草稿、恢复、阶段提交、历史报告、报告生成等待、聊天上下文和删除依赖记录等细节。比如 start-session 接口不会立即留下一个空会话，resume-session 会根据已有答题记录恢复当前阶段，删除会话时还要清理答题记录、模块辩论结果和聊天引用。这些细节写进论文，是因为它们决定了系统能不能被真实演示。</w:t>
      </w:r>
    </w:p>
    <w:p>
      <w:pPr>
        <w:spacing w:line="360" w:lineRule="auto" w:before="0" w:after="120"/>
        <w:ind w:firstLine="480"/>
      </w:pPr>
      <w:r>
        <w:rPr>
          <w:rFonts w:ascii="Times New Roman" w:hAnsi="Times New Roman" w:eastAsia="宋体"/>
          <w:sz w:val="24"/>
        </w:rPr>
        <w:t>其次，系统把“报告解释有没有依据”作为一个重点。ATMR 主线中的 RAG 并不是装饰功能，它通过 PageIndex 读取 ATMR 知识库和 Big Five 知识库，在报告和咨询中提供可追溯材料。多智能体辩论也不是简单让模型多说几段，而是把正方、反方和裁判的角色分开，让报告既能讲优势，也能讲风险和边界。这样生成的结果仍然需要人工判断，但比一次性生成整篇报告更容易控制。</w:t>
      </w:r>
    </w:p>
    <w:p>
      <w:pPr>
        <w:spacing w:line="360" w:lineRule="auto" w:before="0" w:after="120"/>
        <w:ind w:firstLine="480"/>
      </w:pPr>
      <w:r>
        <w:rPr>
          <w:rFonts w:ascii="Times New Roman" w:hAnsi="Times New Roman" w:eastAsia="宋体"/>
          <w:sz w:val="24"/>
        </w:rPr>
        <w:t>再次，多模态部分给系统提供了第二条证据来源。问卷答案来自用户自陈，视频人格预测来自视觉、音频和文本线索。两类数据来源、标签体系和误差来源都不同。如果把两个结果直接加权，很容易制造一种“很精确”的错觉。本文采用并列报告方式，是在当前工程成熟度下更稳妥的设计：ATMR 报告负责问卷解释，大五报告负责视频线索，聊天页让用户按需要选择是否同时关联。</w:t>
      </w:r>
    </w:p>
    <w:p>
      <w:pPr>
        <w:spacing w:line="360" w:lineRule="auto" w:before="0" w:after="120"/>
        <w:ind w:firstLine="480"/>
      </w:pPr>
      <w:r>
        <w:rPr>
          <w:rFonts w:ascii="Times New Roman" w:hAnsi="Times New Roman" w:eastAsia="宋体"/>
          <w:sz w:val="24"/>
        </w:rPr>
        <w:t>最后，这个课题也记录了一条比较真实的工程复现路径。多模态论文方法依赖 ffmpeg、Whisper、CLIP、wav2clip、PyTorch、CUDA 和较大的 CFI-V2 数据集，不能直接塞进主系统。本文将离线训练和在线服务拆开，先在 multimodal_personality 目录里跑通训练和评估，再把稳定 checkpoint 通过 app/services/multimodal_personality_service.py 接回在线系统。这个过程比直接描述“采用某模型”更能体现毕业设计的工作量。</w:t>
      </w:r>
    </w:p>
    <w:p>
      <w:pPr>
        <w:pStyle w:val="Heading2"/>
      </w:pPr>
      <w:r>
        <w:t>1.3 国内外研究现状</w:t>
      </w:r>
    </w:p>
    <w:p>
      <w:pPr>
        <w:spacing w:line="360" w:lineRule="auto" w:before="0" w:after="120"/>
        <w:ind w:firstLine="480"/>
      </w:pPr>
      <w:r>
        <w:rPr>
          <w:rFonts w:ascii="Times New Roman" w:hAnsi="Times New Roman" w:eastAsia="宋体"/>
          <w:sz w:val="24"/>
        </w:rPr>
        <w:t>现有在线心理测评系统大多从量表电子化开始，早期重点是题目展示、分数计算和报告生成。随着大模型和检索增强生成技术进入应用层，测评系统开始加入解释、追问和咨询能力。但这类系统容易出现两个问题：一是报告看起来完整，却说不清依据来自哪里；二是系统把模型生成文本包装得过于确定，忽略了测评数据本身的不稳定性。本文的 RAG 和异常作答记录，主要就是为了解决这两个实际问题。</w:t>
      </w:r>
    </w:p>
    <w:p>
      <w:pPr>
        <w:spacing w:line="360" w:lineRule="auto" w:before="0" w:after="120"/>
        <w:ind w:firstLine="480"/>
      </w:pPr>
      <w:r>
        <w:rPr>
          <w:rFonts w:ascii="Times New Roman" w:hAnsi="Times New Roman" w:eastAsia="宋体"/>
          <w:sz w:val="24"/>
        </w:rPr>
        <w:t>人格预测研究中，Big Five 是常用标签体系之一</w:t>
      </w:r>
      <w:r>
        <w:rPr>
          <w:rFonts w:ascii="Times New Roman" w:hAnsi="Times New Roman" w:eastAsia="宋体"/>
          <w:sz w:val="20"/>
          <w:vertAlign w:val="superscript"/>
        </w:rPr>
        <w:t>[5]</w:t>
      </w:r>
      <w:r>
        <w:rPr>
          <w:rFonts w:ascii="Times New Roman" w:hAnsi="Times New Roman" w:eastAsia="宋体"/>
          <w:sz w:val="24"/>
        </w:rPr>
        <w:t>。视频人格预测通常把短视频拆成画面、声音和转写文本，再预测开放性、尽责性、外向性、宜人性和神经质五个连续分数。Wang 等在 2025 年提出的多模态人格预测框架使用 CLIP、Wav2CLIP、自适应图 Transformer 和多任务学习，对 CFI-V2 与 UDIVA 数据集进行了实验</w:t>
      </w:r>
      <w:r>
        <w:rPr>
          <w:rFonts w:ascii="Times New Roman" w:hAnsi="Times New Roman" w:eastAsia="宋体"/>
          <w:sz w:val="20"/>
          <w:vertAlign w:val="superscript"/>
        </w:rPr>
        <w:t>[1]</w:t>
      </w:r>
      <w:r>
        <w:rPr>
          <w:rFonts w:ascii="Times New Roman" w:hAnsi="Times New Roman" w:eastAsia="宋体"/>
          <w:sz w:val="24"/>
        </w:rPr>
        <w:t>。这篇论文给本文多模态部分提供了主要参考，但本文实现更偏工程 baseline，而不是完整复刻所有细节。</w:t>
      </w:r>
    </w:p>
    <w:p>
      <w:pPr>
        <w:spacing w:line="360" w:lineRule="auto" w:before="0" w:after="120"/>
        <w:ind w:firstLine="480"/>
      </w:pPr>
      <w:r>
        <w:rPr>
          <w:rFonts w:ascii="Times New Roman" w:hAnsi="Times New Roman" w:eastAsia="宋体"/>
          <w:sz w:val="24"/>
        </w:rPr>
        <w:t>CLIP 和 Wav2CLIP 在本文中不是论文装饰名词，而是实际工程链路中的两个特征来源。CLIP 用于图像帧和转写文本特征，wav2clip 用于音频片段特征</w:t>
      </w:r>
      <w:r>
        <w:rPr>
          <w:rFonts w:ascii="Times New Roman" w:hAnsi="Times New Roman" w:eastAsia="宋体"/>
          <w:sz w:val="20"/>
          <w:vertAlign w:val="superscript"/>
        </w:rPr>
        <w:t>[2]</w:t>
      </w:r>
      <w:r>
        <w:rPr>
          <w:rFonts w:ascii="Times New Roman" w:hAnsi="Times New Roman" w:eastAsia="宋体"/>
          <w:sz w:val="20"/>
          <w:vertAlign w:val="superscript"/>
        </w:rPr>
        <w:t>[3]</w:t>
      </w:r>
      <w:r>
        <w:rPr>
          <w:rFonts w:ascii="Times New Roman" w:hAnsi="Times New Roman" w:eastAsia="宋体"/>
          <w:sz w:val="24"/>
        </w:rPr>
        <w:t>。为了让训练、评估和在线推理使用同一种输入格式，项目里单独写了 MultimodalFeatureBundle，把 clip_video、clip_text、wav2clip、bg_features 和可选 micro_expression_features 统一为 JSON 契约。</w:t>
      </w:r>
    </w:p>
    <w:p>
      <w:pPr>
        <w:spacing w:line="360" w:lineRule="auto" w:before="0" w:after="120"/>
        <w:ind w:firstLine="480"/>
      </w:pPr>
      <w:r>
        <w:rPr>
          <w:rFonts w:ascii="Times New Roman" w:hAnsi="Times New Roman" w:eastAsia="宋体"/>
          <w:sz w:val="24"/>
        </w:rPr>
        <w:t>Transformer 和图结构方法在多模态任务中常用于处理时序和关系信息</w:t>
      </w:r>
      <w:r>
        <w:rPr>
          <w:rFonts w:ascii="Times New Roman" w:hAnsi="Times New Roman" w:eastAsia="宋体"/>
          <w:sz w:val="20"/>
          <w:vertAlign w:val="superscript"/>
        </w:rPr>
        <w:t>[4]</w:t>
      </w:r>
      <w:r>
        <w:rPr>
          <w:rFonts w:ascii="Times New Roman" w:hAnsi="Times New Roman" w:eastAsia="宋体"/>
          <w:sz w:val="24"/>
        </w:rPr>
        <w:t>。本文没有照搬论文中的所有关联特征，而是在 AGTNMTLModel 中实现了位置编码、GraphConvBlock、TemporalAttention、ResidualChannelAttention 和余弦特征融合。这样的实现保留了“时序建模 + 跨模态融合”的核心思路，同时能在当前 Windows + CUDA 环境中训练、保存 checkpoint 并接入在线服务。</w:t>
      </w:r>
    </w:p>
    <w:p>
      <w:pPr>
        <w:pStyle w:val="Heading2"/>
      </w:pPr>
      <w:r>
        <w:t>1.4 本文主要工作</w:t>
      </w:r>
    </w:p>
    <w:p>
      <w:pPr>
        <w:spacing w:line="360" w:lineRule="auto" w:before="0" w:after="120"/>
        <w:ind w:firstLine="480"/>
      </w:pPr>
      <w:r>
        <w:rPr>
          <w:rFonts w:ascii="Times New Roman" w:hAnsi="Times New Roman" w:eastAsia="宋体"/>
          <w:sz w:val="24"/>
        </w:rPr>
        <w:t>本文完成的工作可以按实际开发顺序理解。第一，整理并完善 ATMR 在线主系统。这个部分包括 FastAPI 路由、SQLAlchemy 数据模型、Vue 3 测评页、历史页、报告页和聊天页。系统支持注册登录、测评草稿、断点续答、阶段提交、历史查询和报告详情，能够支撑完整演示。</w:t>
      </w:r>
    </w:p>
    <w:p>
      <w:pPr>
        <w:spacing w:line="360" w:lineRule="auto" w:before="0" w:after="120"/>
        <w:ind w:firstLine="480"/>
      </w:pPr>
      <w:r>
        <w:rPr>
          <w:rFonts w:ascii="Times New Roman" w:hAnsi="Times New Roman" w:eastAsia="宋体"/>
          <w:sz w:val="24"/>
        </w:rPr>
        <w:t>第二，完成测评过程中的智能分析逻辑。question_selection.py 中实现了基于题目特征向量、贝叶斯能力估计、Fisher 信息量、覆盖度、难度匹配和区分度的选题策略；ai_detector.py 中保留了明显过快作答检测，并把异常记录作为解释和选题降权依据；debate_manager.py 和 rag_service.py 负责多智能体辩论与知识库证据检索。</w:t>
      </w:r>
    </w:p>
    <w:p>
      <w:pPr>
        <w:spacing w:line="360" w:lineRule="auto" w:before="0" w:after="120"/>
        <w:ind w:firstLine="480"/>
      </w:pPr>
      <w:r>
        <w:rPr>
          <w:rFonts w:ascii="Times New Roman" w:hAnsi="Times New Roman" w:eastAsia="宋体"/>
          <w:sz w:val="24"/>
        </w:rPr>
        <w:t>第三，完成视频多模态人格预测的工程化 baseline。项目从 CFI-V2 manifest 开始，逐步实现抽帧、音频提取、转写、CLIP 特征、wav2clip 特征、feature bundle、AGTN-MTL 训练、评估和推理。最终在线默认模型版本固定为 agtn-mtl-best-lr1e4-drop02，并保留 scaffold 和 fallback 状态，避免用户误把占位结果当成真实报告。</w:t>
      </w:r>
    </w:p>
    <w:p>
      <w:pPr>
        <w:spacing w:line="360" w:lineRule="auto" w:before="0" w:after="120"/>
        <w:ind w:firstLine="480"/>
      </w:pPr>
      <w:r>
        <w:rPr>
          <w:rFonts w:ascii="Times New Roman" w:hAnsi="Times New Roman" w:eastAsia="宋体"/>
          <w:sz w:val="24"/>
        </w:rPr>
        <w:t>第四，完成大五人格报告接入。系统在历史页把 ATMR 测评报告和大五人格报告分区展示；BigFiveReport.vue 展示雷达图、维度条、模型版本、处理记录和 AI 解读；Chat.vue 允许同一个咨询会话同时关联一份 ATMR 报告和一份大五报告。这个设计保留了两类结果的独立性。</w:t>
      </w:r>
    </w:p>
    <w:p>
      <w:pPr>
        <w:pStyle w:val="Heading2"/>
      </w:pPr>
      <w:r>
        <w:t>1.5 论文结构安排</w:t>
      </w:r>
    </w:p>
    <w:p>
      <w:pPr>
        <w:spacing w:line="360" w:lineRule="auto" w:before="0" w:after="120"/>
        <w:ind w:firstLine="480"/>
      </w:pPr>
      <w:r>
        <w:rPr>
          <w:rFonts w:ascii="Times New Roman" w:hAnsi="Times New Roman" w:eastAsia="宋体"/>
          <w:sz w:val="24"/>
        </w:rPr>
        <w:t>本文后续章节按“先讲依据，再讲设计，再讲实现和实验”的顺序展开。第二章说明 ATMR 测评流程、自适应选题、异常检测、RAG、多智能体辩论和多模态人格预测相关技术，并尽量对应到本项目中的具体文件。第三章分析系统需求和总体架构，重点解释为什么把 ATMR 和 Big Five 做成并列证据链。第四章介绍关键模块实现，包括会话恢复、选题计算、异常标记、RAG 检索、feature bundle、AGTN-MTL 模型和大五报告页。第五章给出系统测试、多模态实验结果和应用风险分析。第六章总结已完成工作，并说明后续仍要补齐的实验和工程治理内容。</w:t>
      </w:r>
    </w:p>
    <w:p>
      <w:pPr>
        <w:sectPr>
          <w:pgSz w:w="12240" w:h="15840"/>
          <w:pgMar w:top="1587" w:right="1417" w:bottom="1417" w:left="1587" w:header="720" w:footer="720" w:gutter="0"/>
          <w:cols w:space="720"/>
          <w:docGrid w:linePitch="360"/>
        </w:sectPr>
      </w:pPr>
    </w:p>
    <w:p>
      <w:pPr>
        <w:pStyle w:val="Heading1"/>
      </w:pPr>
      <w:r>
        <w:t>第2章 相关理论与关键技术</w:t>
      </w:r>
    </w:p>
    <w:p>
      <w:pPr>
        <w:pStyle w:val="Heading2"/>
      </w:pPr>
      <w:r>
        <w:t>2.1 ATMR 测评模型与在线测评流程</w:t>
      </w:r>
    </w:p>
    <w:p>
      <w:pPr>
        <w:spacing w:line="360" w:lineRule="auto" w:before="0" w:after="120"/>
        <w:ind w:firstLine="480"/>
      </w:pPr>
      <w:r>
        <w:rPr>
          <w:rFonts w:ascii="Times New Roman" w:hAnsi="Times New Roman" w:eastAsia="宋体"/>
          <w:sz w:val="24"/>
        </w:rPr>
        <w:t>ATMR 是本文系统中的问卷主线模型，包含 A、T、M、R 四个阶段。系统将测评流程拆分为 intro、fixed、A、T、M、R 等阶段，用户在完成每个阶段后提交作答，系统保存答题记录并进入阶段性评审。与一次性提交全部问卷相比，阶段化流程能够更好地控制用户进度，并为中途恢复、阶段评审和模块化报告生成提供数据基础。</w:t>
      </w:r>
    </w:p>
    <w:p>
      <w:pPr>
        <w:spacing w:line="360" w:lineRule="auto" w:before="0" w:after="120"/>
        <w:ind w:firstLine="480"/>
      </w:pPr>
      <w:r>
        <w:rPr>
          <w:rFonts w:ascii="Times New Roman" w:hAnsi="Times New Roman" w:eastAsia="宋体"/>
          <w:sz w:val="24"/>
        </w:rPr>
        <w:t>在线测评流程的关键是会话状态管理。系统需要区分未开始、草稿、活跃、已完成和重新编辑等状态，避免用户误删或覆盖已有测评结果。当前项目中的 assessment session 路由支持开始新测评、恢复未完成测评、重启已有会话、删除会话及查询历史记录。这些接口共同构成了测评系统的状态机，使用户能够在真实使用场景下安全地中断和继续。</w:t>
      </w:r>
    </w:p>
    <w:p>
      <w:pPr>
        <w:spacing w:line="360" w:lineRule="auto" w:before="0" w:after="120"/>
        <w:ind w:firstLine="480"/>
      </w:pPr>
      <w:r>
        <w:rPr>
          <w:rFonts w:ascii="Times New Roman" w:hAnsi="Times New Roman" w:eastAsia="宋体"/>
          <w:sz w:val="24"/>
        </w:rPr>
        <w:t>ATMR 报告生成不仅依赖总分，还依赖阶段性作答记录、模块结论和异常标记。系统在每道题记录题号、选项、得分、作答时长、是否异常、AI 追问和用户解释等信息。这样的数据结构为后续报告提供了细粒度证据，使系统能够说明某个模块结论来自哪些作答表现，而不是只给出一个孤立分数。</w:t>
      </w:r>
    </w:p>
    <w:p>
      <w:pPr>
        <w:pStyle w:val="Heading2"/>
      </w:pPr>
      <w:r>
        <w:t>2.2 自适应选题与贝叶斯能力估计</w:t>
      </w:r>
    </w:p>
    <w:p>
      <w:pPr>
        <w:spacing w:line="360" w:lineRule="auto" w:before="0" w:after="120"/>
        <w:ind w:firstLine="480"/>
      </w:pPr>
      <w:r>
        <w:rPr>
          <w:rFonts w:ascii="Times New Roman" w:hAnsi="Times New Roman" w:eastAsia="宋体"/>
          <w:sz w:val="24"/>
        </w:rPr>
        <w:t>自适应选题的目标是根据用户已经完成的题目，动态选择更有信息量的后续题目。本文系统采用“能力估计 + 候选题评分”的方式。系统首先根据用户作答记录计算画像向量和能力水平，再对候选题目计算 Fisher 信息量、覆盖度、难度匹配和区分度等指标，最终选择综合得分最高的题目。</w:t>
      </w:r>
    </w:p>
    <w:p>
      <w:pPr>
        <w:spacing w:line="360" w:lineRule="auto" w:before="0" w:after="120"/>
        <w:ind w:firstLine="480"/>
      </w:pPr>
      <w:r>
        <w:rPr>
          <w:rFonts w:ascii="Times New Roman" w:hAnsi="Times New Roman" w:eastAsia="宋体"/>
          <w:sz w:val="24"/>
        </w:rPr>
        <w:t>在能力估计方面，系统使用均值为 0.5、方差为 0.25 的先验分布，将每次作答视作对用户能力水平的一次观测。题目区分度决定该观测提供的信息量，异常作答会降低观测精度。其更新思想可概括为：</w:t>
      </w:r>
    </w:p>
    <w:p>
      <w:pPr>
        <w:spacing w:line="360" w:lineRule="auto" w:before="0" w:after="120"/>
        <w:jc w:val="center"/>
      </w:pPr>
      <w:r>
        <w:rPr>
          <w:rFonts w:ascii="Times New Roman" w:hAnsi="Times New Roman" w:eastAsia="宋体"/>
          <w:b w:val="0"/>
          <w:sz w:val="24"/>
        </w:rPr>
        <w:t>μt = (τt-1 μt-1 + τo xt) / (τt-1 + τo)    (2.1)</w:t>
      </w:r>
    </w:p>
    <w:p>
      <w:pPr>
        <w:spacing w:line="360" w:lineRule="auto" w:before="0" w:after="120"/>
        <w:ind w:firstLine="480"/>
      </w:pPr>
      <w:r>
        <w:rPr>
          <w:rFonts w:ascii="Times New Roman" w:hAnsi="Times New Roman" w:eastAsia="宋体"/>
          <w:sz w:val="24"/>
        </w:rPr>
        <w:t>其中，μt表示更新后的能力估计，τt-1表示先验精度，τo表示观测精度，xt表示归一化作答得分。该公式在实现中以正态-正态共轭更新的简化形式落地，能够随着题目数量增加逐步降低不确定性。</w:t>
      </w:r>
    </w:p>
    <w:p>
      <w:pPr>
        <w:spacing w:line="360" w:lineRule="auto" w:before="0" w:after="120"/>
        <w:ind w:firstLine="480"/>
      </w:pPr>
      <w:r>
        <w:rPr>
          <w:rFonts w:ascii="Times New Roman" w:hAnsi="Times New Roman" w:eastAsia="宋体"/>
          <w:sz w:val="24"/>
        </w:rPr>
        <w:t>在候选题评分方面，系统将题目与用户能力水平的匹配程度、题目本身的区分度、与已答题的差异程度和 Fisher 信息量综合起来。当用户画像仍不稳定时，权重更偏向信息量和区分度；当不确定性降低后，系统提高覆盖度权重，避免后续题目只围绕已经确认的局部特征重复提问。这种动态权重设计提高了测评过程的针对性。</w:t>
      </w:r>
    </w:p>
    <w:p>
      <w:pPr>
        <w:pStyle w:val="Heading2"/>
      </w:pPr>
      <w:r>
        <w:t>2.3 异常作答检测与解释边界</w:t>
      </w:r>
    </w:p>
    <w:p>
      <w:pPr>
        <w:spacing w:line="360" w:lineRule="auto" w:before="0" w:after="120"/>
        <w:ind w:firstLine="480"/>
      </w:pPr>
      <w:r>
        <w:rPr>
          <w:rFonts w:ascii="Times New Roman" w:hAnsi="Times New Roman" w:eastAsia="宋体"/>
          <w:sz w:val="24"/>
        </w:rPr>
        <w:t>在线心理测评面临的重要问题之一是作答质量。用户可能因为误触、随意作答、过快跳题或对题目理解不足而产生异常记录。如果系统完全忽略这些信号，报告可能会对不可靠数据给出过度确定的解释；如果系统过度拦截，又可能打断正常用户流程。因此本文系统采用轻量、可解释的异常检测策略。</w:t>
      </w:r>
    </w:p>
    <w:p>
      <w:pPr>
        <w:spacing w:line="360" w:lineRule="auto" w:before="0" w:after="120"/>
        <w:ind w:firstLine="480"/>
      </w:pPr>
      <w:r>
        <w:rPr>
          <w:rFonts w:ascii="Times New Roman" w:hAnsi="Times New Roman" w:eastAsia="宋体"/>
          <w:sz w:val="24"/>
        </w:rPr>
        <w:t>当前实现保留了明显过快作答这一核心规则。当某题作答时间显著低于平均基准时，系统标记异常并生成追问，例如要求用户补充说明为何做出该选择。该策略没有把所有异常都视为错误，而是将异常作为报告解释中的风险信号。对于心理测评而言，这种处理方式更稳妥，因为作答速度本身只能提示风险，不能单独否定用户答案。</w:t>
      </w:r>
    </w:p>
    <w:p>
      <w:pPr>
        <w:spacing w:line="360" w:lineRule="auto" w:before="0" w:after="120"/>
        <w:ind w:firstLine="480"/>
      </w:pPr>
      <w:r>
        <w:rPr>
          <w:rFonts w:ascii="Times New Roman" w:hAnsi="Times New Roman" w:eastAsia="宋体"/>
          <w:sz w:val="24"/>
        </w:rPr>
        <w:t>异常作答检测的边界同样重要。本文不把异常检测写成医学诊断或欺诈识别，也不把作答时间与人格特质进行直接因果绑定。它只作为测评数据可靠性的辅助指标，提醒系统和用户在解释相关模块时保持谨慎。后续若要扩展异常检测规则，应结合更多真实日志和人工标注，避免规则过多造成误报。</w:t>
      </w:r>
    </w:p>
    <w:p>
      <w:pPr>
        <w:pStyle w:val="Heading2"/>
      </w:pPr>
      <w:r>
        <w:t>2.4 RAG 知识检索与多智能体辩论</w:t>
      </w:r>
    </w:p>
    <w:p>
      <w:pPr>
        <w:spacing w:line="360" w:lineRule="auto" w:before="0" w:after="120"/>
        <w:ind w:firstLine="480"/>
      </w:pPr>
      <w:r>
        <w:rPr>
          <w:rFonts w:ascii="Times New Roman" w:hAnsi="Times New Roman" w:eastAsia="宋体"/>
          <w:sz w:val="24"/>
        </w:rPr>
        <w:t>RAG 即检索增强生成，其基本思想是在生成回答前先从知识库中检索相关证据，再将证据与用户上下文共同提供给语言模型。在本文系统中，RAG 主要服务于 ATMR 报告解释、AI 咨询和 Big Five 报告解读。系统使用 PageIndex 管理知识库结构，通过章节摘要、关键词粗筛和语义评分检索相关内容。</w:t>
      </w:r>
    </w:p>
    <w:p>
      <w:pPr>
        <w:spacing w:line="360" w:lineRule="auto" w:before="0" w:after="120"/>
        <w:ind w:firstLine="480"/>
      </w:pPr>
      <w:r>
        <w:rPr>
          <w:rFonts w:ascii="Times New Roman" w:hAnsi="Times New Roman" w:eastAsia="宋体"/>
          <w:sz w:val="24"/>
        </w:rPr>
        <w:t>多智能体辩论用于提高报告解释的多角度性。系统将阶段性结论组织为上下文后，分别调用正方心理学专家、反方风险控制专家和裁判角色。正方强调结构优势、积极潜力和可迁移能力；反方强调情境风险、解释边界和过度美化可能；裁判则综合双方意见形成更平衡的报告。该流程有助于避免单一模型输出过于单调或片面。</w:t>
      </w:r>
    </w:p>
    <w:p>
      <w:pPr>
        <w:spacing w:line="360" w:lineRule="auto" w:before="0" w:after="120"/>
        <w:ind w:firstLine="480"/>
      </w:pPr>
      <w:r>
        <w:rPr>
          <w:rFonts w:ascii="Times New Roman" w:hAnsi="Times New Roman" w:eastAsia="宋体"/>
          <w:sz w:val="24"/>
        </w:rPr>
        <w:t>需要强调的是，多智能体辩论并不自动保证结论正确。其价值在于组织不同解释视角，并通过 RAG 证据减少无依据生成。本文系统把辩论结果定位为测评解释辅助，而不是临床诊断意见。所有涉及心理健康、职业选择和人际关系的建议，都应保留非诊断、非决定性的表达。</w:t>
      </w:r>
    </w:p>
    <w:p>
      <w:pPr>
        <w:pStyle w:val="Heading2"/>
      </w:pPr>
      <w:r>
        <w:t>2.5 Big Five 人格模型与视频多模态预测</w:t>
      </w:r>
    </w:p>
    <w:p>
      <w:pPr>
        <w:spacing w:line="360" w:lineRule="auto" w:before="0" w:after="120"/>
        <w:ind w:firstLine="480"/>
      </w:pPr>
      <w:r>
        <w:rPr>
          <w:rFonts w:ascii="Times New Roman" w:hAnsi="Times New Roman" w:eastAsia="宋体"/>
          <w:sz w:val="24"/>
        </w:rPr>
        <w:t>Big Five 人格模型包含开放性、尽责性、外向性、宜人性和神经质五个维度</w:t>
      </w:r>
      <w:r>
        <w:rPr>
          <w:rFonts w:ascii="Times New Roman" w:hAnsi="Times New Roman" w:eastAsia="宋体"/>
          <w:sz w:val="20"/>
          <w:vertAlign w:val="superscript"/>
        </w:rPr>
        <w:t>[5]</w:t>
      </w:r>
      <w:r>
        <w:rPr>
          <w:rFonts w:ascii="Times New Roman" w:hAnsi="Times New Roman" w:eastAsia="宋体"/>
          <w:sz w:val="24"/>
        </w:rPr>
        <w:t>。与 ATMR 模型不同，Big Five 是较常见的人格特质描述框架，适合用于视频多模态人格预测任务。本文系统不将 Big Five 与 ATMR 直接数值融合，而是把它作为视频行为信号对应的独立报告，使两类模型保持各自解释边界。</w:t>
      </w:r>
    </w:p>
    <w:p>
      <w:pPr>
        <w:spacing w:line="360" w:lineRule="auto" w:before="0" w:after="120"/>
        <w:ind w:firstLine="480"/>
      </w:pPr>
      <w:r>
        <w:rPr>
          <w:rFonts w:ascii="Times New Roman" w:hAnsi="Times New Roman" w:eastAsia="宋体"/>
          <w:sz w:val="24"/>
        </w:rPr>
        <w:t>视频多模态人格预测通常将短视频拆分为视觉帧、音频片段和语音转写文本，再从三类数据中提取特征。视觉信息可能包含表情、姿态、场景和镜头变化；音频信息可能包含语速、音量、节奏和频谱特征；文本信息则反映说话内容和语义组织。与单模态模型相比，多模态模型能够利用更丰富的线索，但也更依赖预处理质量和特征对齐策略。</w:t>
      </w:r>
    </w:p>
    <w:p>
      <w:pPr>
        <w:spacing w:line="360" w:lineRule="auto" w:before="0" w:after="120"/>
        <w:ind w:firstLine="480"/>
      </w:pPr>
      <w:r>
        <w:rPr>
          <w:rFonts w:ascii="Times New Roman" w:hAnsi="Times New Roman" w:eastAsia="宋体"/>
          <w:sz w:val="24"/>
        </w:rPr>
        <w:t>参考论文提出的框架将场景-描述关联特征、场景-音频关联特征和文本特征作为核心输入</w:t>
      </w:r>
      <w:r>
        <w:rPr>
          <w:rFonts w:ascii="Times New Roman" w:hAnsi="Times New Roman" w:eastAsia="宋体"/>
          <w:sz w:val="20"/>
          <w:vertAlign w:val="superscript"/>
        </w:rPr>
        <w:t>[1]</w:t>
      </w:r>
      <w:r>
        <w:rPr>
          <w:rFonts w:ascii="Times New Roman" w:hAnsi="Times New Roman" w:eastAsia="宋体"/>
          <w:sz w:val="24"/>
        </w:rPr>
        <w:t>。其中，场景-描述关联特征利用人格描述词与视频帧之间的相似度，场景-音频关联特征利用视觉图和音频图之间的关系，文本特征则从转写句子序列中提取语义信息。本文复现工作没有简单照搬全部细节，而是在当前工程环境中实现可训练、可评估、可推理的 AGTN-MTL baseline。</w:t>
      </w:r>
    </w:p>
    <w:p>
      <w:pPr>
        <w:pStyle w:val="Heading2"/>
      </w:pPr>
      <w:r>
        <w:t>2.6 系统开发技术基础</w:t>
      </w:r>
    </w:p>
    <w:p>
      <w:pPr>
        <w:spacing w:line="360" w:lineRule="auto" w:before="0" w:after="120"/>
        <w:ind w:firstLine="480"/>
      </w:pPr>
      <w:r>
        <w:rPr>
          <w:rFonts w:ascii="Times New Roman" w:hAnsi="Times New Roman" w:eastAsia="宋体"/>
          <w:sz w:val="24"/>
        </w:rPr>
        <w:t>本文后端采用 FastAPI 构建 REST 接口。FastAPI 支持类型标注、依赖注入、异步请求和自动接口文档，适合构建测评系统这类包含用户认证、文件上传、后台任务和报告查询的服务。数据访问层使用 SQLAlchemy 管理模型和会话，既支持本地 SQLite开发，也为 PostgreSQL 部署保留空间。</w:t>
      </w:r>
    </w:p>
    <w:p>
      <w:pPr>
        <w:spacing w:line="360" w:lineRule="auto" w:before="0" w:after="120"/>
        <w:ind w:firstLine="480"/>
      </w:pPr>
      <w:r>
        <w:rPr>
          <w:rFonts w:ascii="Times New Roman" w:hAnsi="Times New Roman" w:eastAsia="宋体"/>
          <w:sz w:val="24"/>
        </w:rPr>
        <w:t>前端采用 Vue 3 实现单页应用。系统包含测评页、历史页、报告页、聊天页和大五人格报告页等视图。测评页需要处理阶段进度、题目导航、补充说明、阶段提交和报告生成状态；大五人格报告页需要展示雷达图、维度分数、来源信息、AI 解读和失败重试入口。这些交互要求前端不仅能展示静态文本，还要稳定处理轮询、异步状态和错误提示。</w:t>
      </w:r>
    </w:p>
    <w:p>
      <w:pPr>
        <w:spacing w:line="360" w:lineRule="auto" w:before="0" w:after="120"/>
        <w:ind w:firstLine="480"/>
      </w:pPr>
      <w:r>
        <w:rPr>
          <w:rFonts w:ascii="Times New Roman" w:hAnsi="Times New Roman" w:eastAsia="宋体"/>
          <w:sz w:val="24"/>
        </w:rPr>
        <w:t>多模态离线子系统采用 Python 与 PyTorch 实现。预处理链路依赖 ffmpeg、Whisper、CLIP 和 wav2clip，训练链路使用feature bundle 将视觉、音频、文本和背景特征组织为统一输入。由于多模态依赖较重，本文将其与在线主系统保持目录和环境隔离，使主服务在缺少部分多模态依赖时仍能启动并返回明确错误。</w:t>
      </w:r>
    </w:p>
    <w:p>
      <w:pPr>
        <w:pStyle w:val="Heading2"/>
      </w:pPr>
      <w:r>
        <w:t>2.7 本项目对相关技术的选用边界</w:t>
      </w:r>
    </w:p>
    <w:p>
      <w:pPr>
        <w:spacing w:line="360" w:lineRule="auto" w:before="0" w:after="120"/>
        <w:ind w:firstLine="480"/>
      </w:pPr>
      <w:r>
        <w:rPr>
          <w:rFonts w:ascii="Times New Roman" w:hAnsi="Times New Roman" w:eastAsia="宋体"/>
          <w:sz w:val="24"/>
        </w:rPr>
        <w:t>在本项目中，相关技术并不是越多越好。ATMR 主线已经包含答题、阶段评审、报告和咨询，如果再把 Big Five 结果直接混进评分，会让系统解释变得很难说明。因此，本文只让 Big Five 报告进入历史页和聊天上下文，不参与 ATMR 分数计算。</w:t>
      </w:r>
    </w:p>
    <w:p>
      <w:pPr>
        <w:spacing w:line="360" w:lineRule="auto" w:before="0" w:after="120"/>
        <w:ind w:firstLine="480"/>
      </w:pPr>
      <w:r>
        <w:rPr>
          <w:rFonts w:ascii="Times New Roman" w:hAnsi="Times New Roman" w:eastAsia="宋体"/>
          <w:sz w:val="24"/>
        </w:rPr>
        <w:t>RAG 的使用也保持在辅助范围。系统检索知识库内容，是为了给报告生成提供材料，而不是让知识库替代心理测评本身。检索失败时，系统允许退回关键词评分或跳过部分证据，不会因为一个外部模型不可用就中断整个测评流程。</w:t>
      </w:r>
    </w:p>
    <w:p>
      <w:pPr>
        <w:spacing w:line="360" w:lineRule="auto" w:before="0" w:after="120"/>
        <w:ind w:firstLine="480"/>
      </w:pPr>
      <w:r>
        <w:rPr>
          <w:rFonts w:ascii="Times New Roman" w:hAnsi="Times New Roman" w:eastAsia="宋体"/>
          <w:sz w:val="24"/>
        </w:rPr>
        <w:t>多模态模型同样有边界。当前 AGTN-MTL baseline 已经能训练和推理，但没有完整复现论文中的所有多任务损失和消融实验。论文中凡是涉及性能结论的地方，只使用项目文档和 reports 目录中已经记录的指标；对于 bg_features 重训、多随机种子和单模态消融，只写成后续工作。</w:t>
      </w:r>
    </w:p>
    <w:p>
      <w:pPr>
        <w:sectPr>
          <w:pgSz w:w="12240" w:h="15840"/>
          <w:pgMar w:top="1587" w:right="1417" w:bottom="1417" w:left="1587" w:header="720" w:footer="720" w:gutter="0"/>
          <w:cols w:space="720"/>
          <w:docGrid w:linePitch="360"/>
        </w:sectPr>
      </w:pPr>
    </w:p>
    <w:p>
      <w:pPr>
        <w:pStyle w:val="Heading1"/>
      </w:pPr>
      <w:r>
        <w:t>第3章 系统需求分析与总体设计</w:t>
      </w:r>
    </w:p>
    <w:p>
      <w:pPr>
        <w:pStyle w:val="Heading2"/>
      </w:pPr>
      <w:r>
        <w:t>3.1 需求分析</w:t>
      </w:r>
    </w:p>
    <w:p>
      <w:pPr>
        <w:spacing w:line="360" w:lineRule="auto" w:before="0" w:after="120"/>
        <w:ind w:firstLine="480"/>
      </w:pPr>
      <w:r>
        <w:rPr>
          <w:rFonts w:ascii="Times New Roman" w:hAnsi="Times New Roman" w:eastAsia="宋体"/>
          <w:sz w:val="24"/>
        </w:rPr>
        <w:t>本系统的需求不是一次性从文档里列出来的，而是在开发过程中逐步暴露出来的。最开始只需要完成用户答题和报告展示，后来发现必须处理未完成会话、阶段提交、报告生成等待、历史记录、聊天上下文和视频任务状态。尤其是测评流程，一旦用户刷新页面或重新登录，系统必须知道他答到哪一阶段、哪些题已经提交、是否存在需要补充说明的异常答案。</w:t>
      </w:r>
    </w:p>
    <w:p>
      <w:pPr>
        <w:spacing w:line="360" w:lineRule="auto" w:before="0" w:after="120"/>
        <w:ind w:firstLine="480"/>
      </w:pPr>
      <w:r>
        <w:rPr>
          <w:rFonts w:ascii="Times New Roman" w:hAnsi="Times New Roman" w:eastAsia="宋体"/>
          <w:sz w:val="24"/>
        </w:rPr>
        <w:t>功能需求可以分为五组。第一组是用户认证和资源归属，涉及 auth 路由、当前用户依赖和头像静态文件。第二组是 ATMR 测评流程，涉及 start-session、resume-session、restart-session、阶段提交、报告生成和历史查询。第三组是智能分析，涉及 question_selection.py、ai_detector.py、debate_manager.py 和 rag_service.py。第四组是大五人格视频报告，涉及 upload-file、run、result、reports、retry 和后台解读。第五组是聊天咨询，用户可以在 Chat.vue 中选择关联 ATMR 报告和大五报告。</w:t>
      </w:r>
    </w:p>
    <w:p>
      <w:pPr>
        <w:spacing w:line="360" w:lineRule="auto" w:before="0" w:after="120"/>
        <w:ind w:firstLine="480"/>
      </w:pPr>
      <w:r>
        <w:rPr>
          <w:rFonts w:ascii="Times New Roman" w:hAnsi="Times New Roman" w:eastAsia="宋体"/>
          <w:sz w:val="24"/>
        </w:rPr>
        <w:t>非功能需求主要来自实际使用场景。系统必须能恢复进度，不能因为多模态依赖缺失导致主服务无法启动；报告必须说明模型版本和来源，不能让 scaffold 或 fallback 结果进入正式解读；上传视频和测评数据必须按用户隔离，不能通过猜 ID 访问他人资源。与其把这些需求写成抽象的“安全、可靠、可扩展”，不如把它们落到具体接口和数据字段上。</w:t>
      </w:r>
    </w:p>
    <w:p>
      <w:pPr>
        <w:spacing w:line="360" w:lineRule="auto" w:before="0" w:after="120"/>
        <w:jc w:val="center"/>
      </w:pPr>
      <w:r>
        <w:rPr>
          <w:rFonts w:ascii="Times New Roman" w:hAnsi="Times New Roman" w:eastAsia="宋体"/>
          <w:b w:val="0"/>
          <w:sz w:val="22"/>
        </w:rPr>
        <w:t>表 3-1 系统主要需求分类</w:t>
      </w:r>
    </w:p>
    <w:tbl>
      <w:tblPr>
        <w:tblW w:type="auto" w:w="0"/>
        <w:jc w:val="center"/>
        <w:tblLayout w:type="autofit"/>
        <w:tblLook w:firstColumn="1" w:firstRow="1" w:lastColumn="0" w:lastRow="0" w:noHBand="0" w:noVBand="1" w:val="04A0"/>
      </w:tblPr>
      <w:tblGrid>
        <w:gridCol w:w="3079"/>
        <w:gridCol w:w="3079"/>
        <w:gridCol w:w="3079"/>
      </w:tblGrid>
      <w:tr>
        <w:tc>
          <w:tcPr>
            <w:tcW w:type="dxa" w:w="3079"/>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需求类别</w:t>
            </w:r>
          </w:p>
        </w:tc>
        <w:tc>
          <w:tcPr>
            <w:tcW w:type="dxa" w:w="3079"/>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主要内容</w:t>
            </w:r>
          </w:p>
        </w:tc>
        <w:tc>
          <w:tcPr>
            <w:tcW w:type="dxa" w:w="3079"/>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对应模块</w:t>
            </w:r>
          </w:p>
        </w:tc>
      </w:tr>
      <w:tr>
        <w:tc>
          <w:tcPr>
            <w:tcW w:type="dxa" w:w="3079"/>
            <w:tcBorders>
              <w:left w:val="nil"/>
              <w:right w:val="nil"/>
              <w:insideH w:val="nil"/>
              <w:insideV w:val="nil"/>
            </w:tcBorders>
          </w:tcPr>
          <w:p>
            <w:pPr>
              <w:jc w:val="center"/>
            </w:pPr>
            <w:r/>
            <w:r>
              <w:rPr>
                <w:rFonts w:ascii="Times New Roman" w:hAnsi="Times New Roman" w:eastAsia="宋体"/>
                <w:b w:val="0"/>
                <w:sz w:val="20"/>
              </w:rPr>
              <w:t>用户认证</w:t>
            </w:r>
          </w:p>
        </w:tc>
        <w:tc>
          <w:tcPr>
            <w:tcW w:type="dxa" w:w="3079"/>
            <w:tcBorders>
              <w:left w:val="nil"/>
              <w:right w:val="nil"/>
              <w:insideH w:val="nil"/>
              <w:insideV w:val="nil"/>
            </w:tcBorders>
          </w:tcPr>
          <w:p>
            <w:pPr>
              <w:jc w:val="center"/>
            </w:pPr>
            <w:r/>
            <w:r>
              <w:rPr>
                <w:rFonts w:ascii="Times New Roman" w:hAnsi="Times New Roman" w:eastAsia="宋体"/>
                <w:b w:val="0"/>
                <w:sz w:val="20"/>
              </w:rPr>
              <w:t>注册、登录、头像、当前用户</w:t>
            </w:r>
          </w:p>
        </w:tc>
        <w:tc>
          <w:tcPr>
            <w:tcW w:type="dxa" w:w="3079"/>
            <w:tcBorders>
              <w:left w:val="nil"/>
              <w:right w:val="nil"/>
              <w:insideH w:val="nil"/>
              <w:insideV w:val="nil"/>
            </w:tcBorders>
          </w:tcPr>
          <w:p>
            <w:pPr>
              <w:jc w:val="center"/>
            </w:pPr>
            <w:r/>
            <w:r>
              <w:rPr>
                <w:rFonts w:ascii="Times New Roman" w:hAnsi="Times New Roman" w:eastAsia="宋体"/>
                <w:b w:val="0"/>
                <w:sz w:val="20"/>
              </w:rPr>
              <w:t>auth、user</w:t>
            </w:r>
          </w:p>
        </w:tc>
      </w:tr>
      <w:tr>
        <w:tc>
          <w:tcPr>
            <w:tcW w:type="dxa" w:w="3079"/>
            <w:tcBorders>
              <w:left w:val="nil"/>
              <w:right w:val="nil"/>
              <w:insideH w:val="nil"/>
              <w:insideV w:val="nil"/>
            </w:tcBorders>
          </w:tcPr>
          <w:p>
            <w:pPr>
              <w:jc w:val="center"/>
            </w:pPr>
            <w:r/>
            <w:r>
              <w:rPr>
                <w:rFonts w:ascii="Times New Roman" w:hAnsi="Times New Roman" w:eastAsia="宋体"/>
                <w:b w:val="0"/>
                <w:sz w:val="20"/>
              </w:rPr>
              <w:t>ATMR 测评</w:t>
            </w:r>
          </w:p>
        </w:tc>
        <w:tc>
          <w:tcPr>
            <w:tcW w:type="dxa" w:w="3079"/>
            <w:tcBorders>
              <w:left w:val="nil"/>
              <w:right w:val="nil"/>
              <w:insideH w:val="nil"/>
              <w:insideV w:val="nil"/>
            </w:tcBorders>
          </w:tcPr>
          <w:p>
            <w:pPr>
              <w:jc w:val="center"/>
            </w:pPr>
            <w:r/>
            <w:r>
              <w:rPr>
                <w:rFonts w:ascii="Times New Roman" w:hAnsi="Times New Roman" w:eastAsia="宋体"/>
                <w:b w:val="0"/>
                <w:sz w:val="20"/>
              </w:rPr>
              <w:t>草稿、答题、阶段提交、报告、历史</w:t>
            </w:r>
          </w:p>
        </w:tc>
        <w:tc>
          <w:tcPr>
            <w:tcW w:type="dxa" w:w="3079"/>
            <w:tcBorders>
              <w:left w:val="nil"/>
              <w:right w:val="nil"/>
              <w:insideH w:val="nil"/>
              <w:insideV w:val="nil"/>
            </w:tcBorders>
          </w:tcPr>
          <w:p>
            <w:pPr>
              <w:jc w:val="center"/>
            </w:pPr>
            <w:r/>
            <w:r>
              <w:rPr>
                <w:rFonts w:ascii="Times New Roman" w:hAnsi="Times New Roman" w:eastAsia="宋体"/>
                <w:b w:val="0"/>
                <w:sz w:val="20"/>
              </w:rPr>
              <w:t>assessment、stage_service</w:t>
            </w:r>
          </w:p>
        </w:tc>
      </w:tr>
      <w:tr>
        <w:tc>
          <w:tcPr>
            <w:tcW w:type="dxa" w:w="3079"/>
            <w:tcBorders>
              <w:left w:val="nil"/>
              <w:right w:val="nil"/>
              <w:insideH w:val="nil"/>
              <w:insideV w:val="nil"/>
            </w:tcBorders>
          </w:tcPr>
          <w:p>
            <w:pPr>
              <w:jc w:val="center"/>
            </w:pPr>
            <w:r/>
            <w:r>
              <w:rPr>
                <w:rFonts w:ascii="Times New Roman" w:hAnsi="Times New Roman" w:eastAsia="宋体"/>
                <w:b w:val="0"/>
                <w:sz w:val="20"/>
              </w:rPr>
              <w:t>智能解释</w:t>
            </w:r>
          </w:p>
        </w:tc>
        <w:tc>
          <w:tcPr>
            <w:tcW w:type="dxa" w:w="3079"/>
            <w:tcBorders>
              <w:left w:val="nil"/>
              <w:right w:val="nil"/>
              <w:insideH w:val="nil"/>
              <w:insideV w:val="nil"/>
            </w:tcBorders>
          </w:tcPr>
          <w:p>
            <w:pPr>
              <w:jc w:val="center"/>
            </w:pPr>
            <w:r/>
            <w:r>
              <w:rPr>
                <w:rFonts w:ascii="Times New Roman" w:hAnsi="Times New Roman" w:eastAsia="宋体"/>
                <w:b w:val="0"/>
                <w:sz w:val="20"/>
              </w:rPr>
              <w:t>自适应选题、异常检测、辩论、RAG</w:t>
            </w:r>
          </w:p>
        </w:tc>
        <w:tc>
          <w:tcPr>
            <w:tcW w:type="dxa" w:w="3079"/>
            <w:tcBorders>
              <w:left w:val="nil"/>
              <w:right w:val="nil"/>
              <w:insideH w:val="nil"/>
              <w:insideV w:val="nil"/>
            </w:tcBorders>
          </w:tcPr>
          <w:p>
            <w:pPr>
              <w:jc w:val="center"/>
            </w:pPr>
            <w:r/>
            <w:r>
              <w:rPr>
                <w:rFonts w:ascii="Times New Roman" w:hAnsi="Times New Roman" w:eastAsia="宋体"/>
                <w:b w:val="0"/>
                <w:sz w:val="20"/>
              </w:rPr>
              <w:t>question_selection、ai_detector、debate_manager、rag_service</w:t>
            </w:r>
          </w:p>
        </w:tc>
      </w:tr>
      <w:tr>
        <w:tc>
          <w:tcPr>
            <w:tcW w:type="dxa" w:w="3079"/>
            <w:tcBorders>
              <w:left w:val="nil"/>
              <w:right w:val="nil"/>
              <w:insideH w:val="nil"/>
              <w:insideV w:val="nil"/>
            </w:tcBorders>
          </w:tcPr>
          <w:p>
            <w:pPr>
              <w:jc w:val="center"/>
            </w:pPr>
            <w:r/>
            <w:r>
              <w:rPr>
                <w:rFonts w:ascii="Times New Roman" w:hAnsi="Times New Roman" w:eastAsia="宋体"/>
                <w:b w:val="0"/>
                <w:sz w:val="20"/>
              </w:rPr>
              <w:t>多模态报告</w:t>
            </w:r>
          </w:p>
        </w:tc>
        <w:tc>
          <w:tcPr>
            <w:tcW w:type="dxa" w:w="3079"/>
            <w:tcBorders>
              <w:left w:val="nil"/>
              <w:right w:val="nil"/>
              <w:insideH w:val="nil"/>
              <w:insideV w:val="nil"/>
            </w:tcBorders>
          </w:tcPr>
          <w:p>
            <w:pPr>
              <w:jc w:val="center"/>
            </w:pPr>
            <w:r/>
            <w:r>
              <w:rPr>
                <w:rFonts w:ascii="Times New Roman" w:hAnsi="Times New Roman" w:eastAsia="宋体"/>
                <w:b w:val="0"/>
                <w:sz w:val="20"/>
              </w:rPr>
              <w:t>视频上传、推理任务、Big Five 报告</w:t>
            </w:r>
          </w:p>
        </w:tc>
        <w:tc>
          <w:tcPr>
            <w:tcW w:type="dxa" w:w="3079"/>
            <w:tcBorders>
              <w:left w:val="nil"/>
              <w:right w:val="nil"/>
              <w:insideH w:val="nil"/>
              <w:insideV w:val="nil"/>
            </w:tcBorders>
          </w:tcPr>
          <w:p>
            <w:pPr>
              <w:jc w:val="center"/>
            </w:pPr>
            <w:r/>
            <w:r>
              <w:rPr>
                <w:rFonts w:ascii="Times New Roman" w:hAnsi="Times New Roman" w:eastAsia="宋体"/>
                <w:b w:val="0"/>
                <w:sz w:val="20"/>
              </w:rPr>
              <w:t>multimodal_personality、big_five_report_service</w:t>
            </w:r>
          </w:p>
        </w:tc>
      </w:tr>
      <w:tr>
        <w:tc>
          <w:tcPr>
            <w:tcW w:type="dxa" w:w="3079"/>
            <w:tcBorders>
              <w:left w:val="nil"/>
              <w:bottom w:val="single" w:sz="12" w:color="000000"/>
              <w:right w:val="nil"/>
              <w:insideH w:val="nil"/>
              <w:insideV w:val="nil"/>
            </w:tcBorders>
          </w:tcPr>
          <w:p>
            <w:pPr>
              <w:jc w:val="center"/>
            </w:pPr>
            <w:r/>
            <w:r>
              <w:rPr>
                <w:rFonts w:ascii="Times New Roman" w:hAnsi="Times New Roman" w:eastAsia="宋体"/>
                <w:b w:val="0"/>
                <w:sz w:val="20"/>
              </w:rPr>
              <w:t>咨询对话</w:t>
            </w:r>
          </w:p>
        </w:tc>
        <w:tc>
          <w:tcPr>
            <w:tcW w:type="dxa" w:w="3079"/>
            <w:tcBorders>
              <w:left w:val="nil"/>
              <w:bottom w:val="single" w:sz="12" w:color="000000"/>
              <w:right w:val="nil"/>
              <w:insideH w:val="nil"/>
              <w:insideV w:val="nil"/>
            </w:tcBorders>
          </w:tcPr>
          <w:p>
            <w:pPr>
              <w:jc w:val="center"/>
            </w:pPr>
            <w:r/>
            <w:r>
              <w:rPr>
                <w:rFonts w:ascii="Times New Roman" w:hAnsi="Times New Roman" w:eastAsia="宋体"/>
                <w:b w:val="0"/>
                <w:sz w:val="20"/>
              </w:rPr>
              <w:t>ATMR 报告与大五报告并列关联</w:t>
            </w:r>
          </w:p>
        </w:tc>
        <w:tc>
          <w:tcPr>
            <w:tcW w:type="dxa" w:w="3079"/>
            <w:tcBorders>
              <w:left w:val="nil"/>
              <w:bottom w:val="single" w:sz="12" w:color="000000"/>
              <w:right w:val="nil"/>
              <w:insideH w:val="nil"/>
              <w:insideV w:val="nil"/>
            </w:tcBorders>
          </w:tcPr>
          <w:p>
            <w:pPr>
              <w:jc w:val="center"/>
            </w:pPr>
            <w:r/>
            <w:r>
              <w:rPr>
                <w:rFonts w:ascii="Times New Roman" w:hAnsi="Times New Roman" w:eastAsia="宋体"/>
                <w:b w:val="0"/>
                <w:sz w:val="20"/>
              </w:rPr>
              <w:t>chat、report_service</w:t>
            </w:r>
          </w:p>
        </w:tc>
      </w:tr>
    </w:tbl>
    <w:p>
      <w:pPr>
        <w:pStyle w:val="Heading2"/>
      </w:pPr>
      <w:r>
        <w:t>3.2 总体架构设计</w:t>
      </w:r>
    </w:p>
    <w:p>
      <w:pPr>
        <w:spacing w:line="360" w:lineRule="auto" w:before="0" w:after="120"/>
        <w:ind w:firstLine="480"/>
      </w:pPr>
      <w:r>
        <w:rPr>
          <w:rFonts w:ascii="Times New Roman" w:hAnsi="Times New Roman" w:eastAsia="宋体"/>
          <w:sz w:val="24"/>
        </w:rPr>
        <w:t>系统采用前后端分离，但真正的架构重点是“双证据链 + 双运行环境”。前端由 Vue 3 负责测评页、历史页、报告页、大五报告页和聊天页；后端由 FastAPI 负责业务接口、用户认证、报告生成和任务调度；离线多模态目录负责训练和评估。在线主系统强调稳定响应，多模态训练强调 GPU、数据和长任务，两者不能混成一个运行环境。</w:t>
      </w:r>
    </w:p>
    <w:p>
      <w:pPr>
        <w:spacing w:line="360" w:lineRule="auto" w:before="0" w:after="120"/>
        <w:jc w:val="center"/>
      </w:pPr>
      <w:r>
        <w:rPr>
          <w:rFonts w:ascii="Times New Roman" w:hAnsi="Times New Roman" w:eastAsia="宋体"/>
          <w:b w:val="0"/>
          <w:sz w:val="22"/>
        </w:rPr>
        <w:t>（此处插入：系统总体架构图）</w:t>
      </w:r>
    </w:p>
    <w:p>
      <w:pPr>
        <w:spacing w:line="360" w:lineRule="auto" w:before="0" w:after="120"/>
        <w:jc w:val="center"/>
      </w:pPr>
      <w:r>
        <w:rPr>
          <w:rFonts w:ascii="Times New Roman" w:hAnsi="Times New Roman" w:eastAsia="宋体"/>
          <w:b w:val="0"/>
          <w:sz w:val="22"/>
        </w:rPr>
        <w:t>图 3-1 系统总体架构图</w:t>
      </w:r>
    </w:p>
    <w:p>
      <w:pPr>
        <w:spacing w:line="360" w:lineRule="auto" w:before="0" w:after="120"/>
        <w:ind w:firstLine="480"/>
      </w:pPr>
      <w:r>
        <w:rPr>
          <w:rFonts w:ascii="Times New Roman" w:hAnsi="Times New Roman" w:eastAsia="宋体"/>
          <w:sz w:val="24"/>
        </w:rPr>
        <w:t>ATMR 主线从题目作答进入 AnswerRecord 和 AssessmentSession，再进入阶段评审、多智能体辩论、RAG 证据检索和综合报告。大五人格辅线从视频文件进入 MultimodalPersonalityService，经过预处理、特征提取、checkpoint 推理和 BigFivePersonalityReport 保存。两条线在历史页和聊天页相遇，但不在评分层直接合并。</w:t>
      </w:r>
    </w:p>
    <w:p>
      <w:pPr>
        <w:spacing w:line="360" w:lineRule="auto" w:before="0" w:after="120"/>
        <w:ind w:firstLine="480"/>
      </w:pPr>
      <w:r>
        <w:rPr>
          <w:rFonts w:ascii="Times New Roman" w:hAnsi="Times New Roman" w:eastAsia="宋体"/>
          <w:sz w:val="24"/>
        </w:rPr>
        <w:t>后端路由也按这个思路划分。assessment 处理测评，auth 处理登录，chat 处理咨询，rag 处理知识库，multimodal-personality 处理视频人格任务。服务层再封装 StageService、QuestionSelectionService、MultimodalPersonalityService 等逻辑。这样做的好处是，当多模态模块加载失败时，主系统仍可跳过相关路由启动；当后续要替换 checkpoint 或任务队列时，也不需要改动测评主流程。</w:t>
      </w:r>
    </w:p>
    <w:p>
      <w:pPr>
        <w:pStyle w:val="Heading2"/>
      </w:pPr>
      <w:r>
        <w:t>3.3 ATMR 测评主流程设计</w:t>
      </w:r>
    </w:p>
    <w:p>
      <w:pPr>
        <w:spacing w:line="360" w:lineRule="auto" w:before="0" w:after="120"/>
        <w:ind w:firstLine="480"/>
      </w:pPr>
      <w:r>
        <w:rPr>
          <w:rFonts w:ascii="Times New Roman" w:hAnsi="Times New Roman" w:eastAsia="宋体"/>
          <w:sz w:val="24"/>
        </w:rPr>
        <w:t>ATMR 测评主流程以会话为中心。用户进入测评页后，系统先检查是否存在未完成会话；若存在，则提示继续测评或修改答案；若不存在，则创建新的测评草稿。用户在每个阶段完成题目后，系统保存答题记录，并根据阶段状态决定是否进入模块评审或最终报告。</w:t>
      </w:r>
    </w:p>
    <w:p>
      <w:pPr>
        <w:spacing w:line="360" w:lineRule="auto" w:before="0" w:after="120"/>
        <w:jc w:val="center"/>
      </w:pPr>
      <w:r>
        <w:rPr>
          <w:rFonts w:ascii="Times New Roman" w:hAnsi="Times New Roman" w:eastAsia="宋体"/>
          <w:b w:val="0"/>
          <w:sz w:val="22"/>
        </w:rPr>
        <w:t>（此处插入：ATMR测评主流程图）</w:t>
      </w:r>
    </w:p>
    <w:p>
      <w:pPr>
        <w:spacing w:line="360" w:lineRule="auto" w:before="0" w:after="120"/>
        <w:jc w:val="center"/>
      </w:pPr>
      <w:r>
        <w:rPr>
          <w:rFonts w:ascii="Times New Roman" w:hAnsi="Times New Roman" w:eastAsia="宋体"/>
          <w:b w:val="0"/>
          <w:sz w:val="22"/>
        </w:rPr>
        <w:t>图 3-2 ATMR测评主流程图</w:t>
      </w:r>
    </w:p>
    <w:p>
      <w:pPr>
        <w:spacing w:line="360" w:lineRule="auto" w:before="0" w:after="120"/>
        <w:ind w:firstLine="480"/>
      </w:pPr>
      <w:r>
        <w:rPr>
          <w:rFonts w:ascii="Times New Roman" w:hAnsi="Times New Roman" w:eastAsia="宋体"/>
          <w:sz w:val="24"/>
        </w:rPr>
        <w:t>题目展示与阶段提交需要兼顾灵活性和约束性。前端提供题目列表、当前题、上一题、下一题、补充说明和阶段提交按钮；后端则负责校验会话归属、保存答案、记录时间、识别异常和更新 submitted_stages。为了避免空会话污染数据库，系统在开始阶段采用草稿策略，只有当用户进入实际作答后才持久化有效会话。</w:t>
      </w:r>
    </w:p>
    <w:p>
      <w:pPr>
        <w:spacing w:line="360" w:lineRule="auto" w:before="0" w:after="120"/>
        <w:ind w:firstLine="480"/>
      </w:pPr>
      <w:r>
        <w:rPr>
          <w:rFonts w:ascii="Times New Roman" w:hAnsi="Times New Roman" w:eastAsia="宋体"/>
          <w:sz w:val="24"/>
        </w:rPr>
        <w:t>报告生成流程强调异步状态和可恢复体验。当用户完成所有阶段后，系统进入报告整理状态，并把测评记录保留下来。若报告生成暂时未完成，用户仍可到历史记录查看后续结果。这样的设计符合在线应用的真实使用需求，避免用户必须停留在当前页面等待所有大模型调用结束。</w:t>
      </w:r>
    </w:p>
    <w:p>
      <w:pPr>
        <w:pStyle w:val="Heading2"/>
      </w:pPr>
      <w:r>
        <w:t>3.4 多模态人格预测子系统设计</w:t>
      </w:r>
    </w:p>
    <w:p>
      <w:pPr>
        <w:spacing w:line="360" w:lineRule="auto" w:before="0" w:after="120"/>
        <w:ind w:firstLine="480"/>
      </w:pPr>
      <w:r>
        <w:rPr>
          <w:rFonts w:ascii="Times New Roman" w:hAnsi="Times New Roman" w:eastAsia="宋体"/>
          <w:sz w:val="24"/>
        </w:rPr>
        <w:t>多模态子系统采用“先离线跑通，再在线接入”的设计。离线部分在 multimodal_personality 和 scripts 目录中完成，主要产出 manifest、特征文件、bundle、checkpoint 和评估 JSON；在线部分在 app/api/multimodal_personality.py 和 app/services/multimodal_personality_service.py 中完成，负责把一个上传视频变成用户可查看的大五人格报告。</w:t>
      </w:r>
    </w:p>
    <w:p>
      <w:pPr>
        <w:spacing w:line="360" w:lineRule="auto" w:before="0" w:after="120"/>
        <w:jc w:val="center"/>
      </w:pPr>
      <w:r>
        <w:rPr>
          <w:rFonts w:ascii="Times New Roman" w:hAnsi="Times New Roman" w:eastAsia="宋体"/>
          <w:b w:val="0"/>
          <w:sz w:val="22"/>
        </w:rPr>
        <w:t>（此处插入：多模态人格预测流程图）</w:t>
      </w:r>
    </w:p>
    <w:p>
      <w:pPr>
        <w:spacing w:line="360" w:lineRule="auto" w:before="0" w:after="120"/>
        <w:jc w:val="center"/>
      </w:pPr>
      <w:r>
        <w:rPr>
          <w:rFonts w:ascii="Times New Roman" w:hAnsi="Times New Roman" w:eastAsia="宋体"/>
          <w:b w:val="0"/>
          <w:sz w:val="22"/>
        </w:rPr>
        <w:t>图 3-3 多模态人格预测流程图</w:t>
      </w:r>
    </w:p>
    <w:p>
      <w:pPr>
        <w:spacing w:line="360" w:lineRule="auto" w:before="0" w:after="120"/>
        <w:ind w:firstLine="480"/>
      </w:pPr>
      <w:r>
        <w:rPr>
          <w:rFonts w:ascii="Times New Roman" w:hAnsi="Times New Roman" w:eastAsia="宋体"/>
          <w:sz w:val="24"/>
        </w:rPr>
        <w:t>离线链路中，build_cfi_v2_manifest.py 负责根据 CFI-V2 数据生成样本清单；preprocess_cfi_v2_from_manifest.py 负责抽帧、提取音频和转写；extract_clip_features.py 与 extract_wav2clip_features.py 生成视觉、文本和音频特征；build_multimodal_feature_bundles.py 将特征整理为统一 JSON。训练脚本 train_agtn_mtl.py 读取 bundle，评估脚本 eval_agtn_mtl.py 生成测试指标。</w:t>
      </w:r>
    </w:p>
    <w:p>
      <w:pPr>
        <w:spacing w:line="360" w:lineRule="auto" w:before="0" w:after="120"/>
        <w:ind w:firstLine="480"/>
      </w:pPr>
      <w:r>
        <w:rPr>
          <w:rFonts w:ascii="Times New Roman" w:hAnsi="Times New Roman" w:eastAsia="宋体"/>
          <w:sz w:val="24"/>
        </w:rPr>
        <w:t>在线链路中，用户上传视频后系统保存文件并创建 task_id。后台运行时先生成工件，再加载当前 checkpoint。如果 checkpoint 不存在、依赖缺失或预处理失败，任务会保存 errors，而不是返回一组看似正常的分数。报告表中还保存 is_real_result，只有真实完成且模型版本匹配的报告才允许生成 AI 解读。</w:t>
      </w:r>
    </w:p>
    <w:p>
      <w:pPr>
        <w:pStyle w:val="Heading2"/>
      </w:pPr>
      <w:r>
        <w:t>3.5 数据库与文件组织设计</w:t>
      </w:r>
    </w:p>
    <w:p>
      <w:pPr>
        <w:spacing w:line="360" w:lineRule="auto" w:before="0" w:after="120"/>
        <w:ind w:firstLine="480"/>
      </w:pPr>
      <w:r>
        <w:rPr>
          <w:rFonts w:ascii="Times New Roman" w:hAnsi="Times New Roman" w:eastAsia="宋体"/>
          <w:sz w:val="24"/>
        </w:rPr>
        <w:t>系统数据既包含关系型数据，也包含文件型工件。关系型数据包括用户信息、测评会话、答题记录、模块辩论结果、聊天会话、大五人格报告等；文件型工件包括头像、上传视频、多模态中间文件、报告解释文件、模型 checkpoint 和实验日志。二者通过数据库字段中的路径或任务编号建立关联。</w:t>
      </w:r>
    </w:p>
    <w:p>
      <w:pPr>
        <w:spacing w:line="360" w:lineRule="auto" w:before="0" w:after="120"/>
        <w:ind w:firstLine="480"/>
      </w:pPr>
      <w:r>
        <w:rPr>
          <w:rFonts w:ascii="Times New Roman" w:hAnsi="Times New Roman" w:eastAsia="宋体"/>
          <w:sz w:val="24"/>
        </w:rPr>
        <w:t>ATMR 主线的数据结构以 AssessmentSession 和 AnswerRecord 为核心。AssessmentSession 保存用户、状态、当前阶段、提交阶段、报告路径和修订信息；AnswerRecord 保存题号、选项、得分、作答时间、异常标记和补充说明。这样的结构支持恢复、重新开始、复制会话和删除相关依赖记录。</w:t>
      </w:r>
    </w:p>
    <w:p>
      <w:pPr>
        <w:spacing w:line="360" w:lineRule="auto" w:before="0" w:after="120"/>
        <w:ind w:firstLine="480"/>
      </w:pPr>
      <w:r>
        <w:rPr>
          <w:rFonts w:ascii="Times New Roman" w:hAnsi="Times New Roman" w:eastAsia="宋体"/>
          <w:sz w:val="24"/>
        </w:rPr>
        <w:t>多模态部分的数据结构以 BigFivePersonalityReport 和任务工件为核心。视频文件保存在 uploads/multimodal_personality下，任务 JSON 记录保存在 tasks 目录，中间特征和预处理结果保存在 artifacts 目录。该设计虽然比完全数据库化更轻量，但便于离线调试和论文复现；后续若系统规模扩大，可将后台任务迁移到正式任务队列，并将工件索引进一步规范化。</w:t>
      </w:r>
    </w:p>
    <w:p>
      <w:pPr>
        <w:pStyle w:val="Heading2"/>
      </w:pPr>
      <w:r>
        <w:t>3.6 安全性与可靠性设计</w:t>
      </w:r>
    </w:p>
    <w:p>
      <w:pPr>
        <w:spacing w:line="360" w:lineRule="auto" w:before="0" w:after="120"/>
        <w:ind w:firstLine="480"/>
      </w:pPr>
      <w:r>
        <w:rPr>
          <w:rFonts w:ascii="Times New Roman" w:hAnsi="Times New Roman" w:eastAsia="宋体"/>
          <w:sz w:val="24"/>
        </w:rPr>
        <w:t>系统在用户数据访问上采用所有权校验。测评会话、历史报告和大五人格报告都需要校验当前用户是否拥有对应资源，避免用户通过猜测 ID 访问他人数据。上传文件也需要检查文件名和内容是否为空，并将实际保存文件名改写为随机标识，减少路径冲突。</w:t>
      </w:r>
    </w:p>
    <w:p>
      <w:pPr>
        <w:spacing w:line="360" w:lineRule="auto" w:before="0" w:after="120"/>
        <w:ind w:firstLine="480"/>
      </w:pPr>
      <w:r>
        <w:rPr>
          <w:rFonts w:ascii="Times New Roman" w:hAnsi="Times New Roman" w:eastAsia="宋体"/>
          <w:sz w:val="24"/>
        </w:rPr>
        <w:t>在可靠性方面，系统为多模态模块设计了依赖检测和失败回退。主应用加载多模态路由时采用异常捕获，避免多模态依赖问题导致整个后端无法启动。多模态服务运行时检查 torch、checkpoint、CLIP、wav2clip 等依赖状态，并在失败时记录错误列表。</w:t>
      </w:r>
    </w:p>
    <w:p>
      <w:pPr>
        <w:spacing w:line="360" w:lineRule="auto" w:before="0" w:after="120"/>
        <w:ind w:firstLine="480"/>
      </w:pPr>
      <w:r>
        <w:rPr>
          <w:rFonts w:ascii="Times New Roman" w:hAnsi="Times New Roman" w:eastAsia="宋体"/>
          <w:sz w:val="24"/>
        </w:rPr>
        <w:t>在解释安全方面，系统将报告定位为辅助分析，不提供临床诊断。ATMR 报告和 Big Five 报告都应强调使用边界，尤其是大五视频预测结果容易受到视频场景、光照、音频质量、说话内容和模型训练数据分布影响，不能作为单独判断个体人格或心理健康状态的依据。</w:t>
      </w:r>
    </w:p>
    <w:p>
      <w:pPr>
        <w:pStyle w:val="Heading2"/>
      </w:pPr>
      <w:r>
        <w:t>3.7 前端交互与用户体验设计</w:t>
      </w:r>
    </w:p>
    <w:p>
      <w:pPr>
        <w:spacing w:line="360" w:lineRule="auto" w:before="0" w:after="120"/>
        <w:ind w:firstLine="480"/>
      </w:pPr>
      <w:r>
        <w:rPr>
          <w:rFonts w:ascii="Times New Roman" w:hAnsi="Times New Roman" w:eastAsia="宋体"/>
          <w:sz w:val="24"/>
        </w:rPr>
        <w:t>前端交互设计直接影响测评系统能否被完整使用。心理测评流程通常比普通表单更长，如果界面只提供题目和选项，用户很容易在阶段切换、返回修改、报告等待和历史查看过程中迷失。因此，本文前端将测评页设计为具有开始页、答题页、阶段评审页和结果页的多状态界面，并在不同状态下展示不同操作入口。</w:t>
      </w:r>
    </w:p>
    <w:p>
      <w:pPr>
        <w:spacing w:line="360" w:lineRule="auto" w:before="0" w:after="120"/>
        <w:ind w:firstLine="480"/>
      </w:pPr>
      <w:r>
        <w:rPr>
          <w:rFonts w:ascii="Times New Roman" w:hAnsi="Times New Roman" w:eastAsia="宋体"/>
          <w:sz w:val="24"/>
        </w:rPr>
        <w:t>在开始页中，系统先检查用户是否存在未完成会话。若存在，页面突出显示“继续测评”和“修改答案”入口，避免用户误以为必须重新开始；若用户已完成过测评，页面提供“开始新测评”和“查看历史报告”入口。这样的设计把会话状态前置给用户，减少因状态不透明造成的重复作答。</w:t>
      </w:r>
    </w:p>
    <w:p>
      <w:pPr>
        <w:spacing w:line="360" w:lineRule="auto" w:before="0" w:after="120"/>
        <w:ind w:firstLine="480"/>
      </w:pPr>
      <w:r>
        <w:rPr>
          <w:rFonts w:ascii="Times New Roman" w:hAnsi="Times New Roman" w:eastAsia="宋体"/>
          <w:sz w:val="24"/>
        </w:rPr>
        <w:t>在答题页中，前端同时展示阶段进度和总进度。阶段进度帮助用户理解当前模块完成情况，总进度帮助用户估计整体剩余时间。题目导航采用可展开列表，使用户可以查看已答和当前题号，但仍通过后端阶段规则约束最终提交。补充说明按钮始终可见，尤其当某题触发异常追问时，用户可以及时补充原因，避免报告解释完全依赖系统推断。</w:t>
      </w:r>
    </w:p>
    <w:p>
      <w:pPr>
        <w:spacing w:line="360" w:lineRule="auto" w:before="0" w:after="120"/>
        <w:ind w:firstLine="480"/>
      </w:pPr>
      <w:r>
        <w:rPr>
          <w:rFonts w:ascii="Times New Roman" w:hAnsi="Times New Roman" w:eastAsia="宋体"/>
          <w:sz w:val="24"/>
        </w:rPr>
        <w:t>在报告生成阶段，前端使用加载状态提示“专家评审中”和“正在整理最终报告”。这些提示并不是装饰性文本，而是对后台异步任务的用户侧反馈。由于多智能体辩论、RAG 检索和报告整理可能需要一定时间，如果界面没有明确状态，用户容易误判系统卡死。通过阶段化提示和历史页兜底，系统可以让用户在等待过程中保持可控感。</w:t>
      </w:r>
    </w:p>
    <w:p>
      <w:pPr>
        <w:spacing w:line="360" w:lineRule="auto" w:before="0" w:after="120"/>
        <w:ind w:firstLine="480"/>
      </w:pPr>
      <w:r>
        <w:rPr>
          <w:rFonts w:ascii="Times New Roman" w:hAnsi="Times New Roman" w:eastAsia="宋体"/>
          <w:sz w:val="24"/>
        </w:rPr>
        <w:t>大五人格报告页则采用信息分区结构。顶部展示报告标题、创建时间和状态；主体区域展示雷达图和五维分数条；来源区域展示视频文件、模型版本和结果性质；解读区域展示 AI 生成的结构化说明；底部提供返回历史、重新生成和用于对话等操作。这种分区方式使用户能够先看整体画像，再查看具体维度和解释边界。</w:t>
      </w:r>
    </w:p>
    <w:p>
      <w:pPr>
        <w:spacing w:line="360" w:lineRule="auto" w:before="0" w:after="120"/>
        <w:ind w:firstLine="480"/>
      </w:pPr>
      <w:r>
        <w:rPr>
          <w:rFonts w:ascii="Times New Roman" w:hAnsi="Times New Roman" w:eastAsia="宋体"/>
          <w:sz w:val="24"/>
        </w:rPr>
        <w:t>聊天页的交互设计强调上下文选择。用户可以在同一会话中选择是否关联 ATMR 报告和大五人格报告，系统不会自动把所有报告混入对话。这样既能减少无关上下文对回答的干扰，也让用户清楚知道当前咨询依据了哪些材料。对于心理测评系统而言，上下文透明比单纯追求智能化更重要。</w:t>
      </w:r>
    </w:p>
    <w:p>
      <w:pPr>
        <w:pStyle w:val="Heading2"/>
      </w:pPr>
      <w:r>
        <w:t>3.8 架构取舍记录</w:t>
      </w:r>
    </w:p>
    <w:p>
      <w:pPr>
        <w:spacing w:line="360" w:lineRule="auto" w:before="0" w:after="120"/>
        <w:ind w:firstLine="480"/>
      </w:pPr>
      <w:r>
        <w:rPr>
          <w:rFonts w:ascii="Times New Roman" w:hAnsi="Times New Roman" w:eastAsia="宋体"/>
          <w:sz w:val="24"/>
        </w:rPr>
        <w:t>开发中有几个取舍直接影响了论文结构。第一，没有把多模态任务设计成 AssessmentSession 的子表。原因是问卷会话和视频工件的生命周期不同，视频任务会产生音频、转写、特征和 bundle，强行放入测评会话会让模型变得混乱。第二，没有把 Big Five 分数写入 ATMR 综合报告的同一个字段，而是单独建大五报告，因为两者标签体系不一致。</w:t>
      </w:r>
    </w:p>
    <w:p>
      <w:pPr>
        <w:spacing w:line="360" w:lineRule="auto" w:before="0" w:after="120"/>
        <w:ind w:firstLine="480"/>
      </w:pPr>
      <w:r>
        <w:rPr>
          <w:rFonts w:ascii="Times New Roman" w:hAnsi="Times New Roman" w:eastAsia="宋体"/>
          <w:sz w:val="24"/>
        </w:rPr>
        <w:t>第三，后台任务暂时没有引入 Celery 这类正式队列。毕业设计阶段主要在本机演示，线程式后台任务和本地 JSON 记录已经能满足需求；如果面向多人部署，再把任务迁移到队列更合适。第四，多模态依赖没有并入 requirements_server.txt，而是放在 requirements_multimodal.txt。这样在线主系统可以保持轻量，离线训练环境则单独维护。</w:t>
      </w:r>
    </w:p>
    <w:p>
      <w:pPr>
        <w:sectPr>
          <w:pgSz w:w="12240" w:h="15840"/>
          <w:pgMar w:top="1587" w:right="1417" w:bottom="1417" w:left="1587" w:header="720" w:footer="720" w:gutter="0"/>
          <w:cols w:space="720"/>
          <w:docGrid w:linePitch="360"/>
        </w:sectPr>
      </w:pPr>
    </w:p>
    <w:p>
      <w:pPr>
        <w:pStyle w:val="Heading1"/>
      </w:pPr>
      <w:r>
        <w:t>第4章 关键模块设计与实现</w:t>
      </w:r>
    </w:p>
    <w:p>
      <w:pPr>
        <w:pStyle w:val="Heading2"/>
      </w:pPr>
      <w:r>
        <w:t>4.1 用户认证与测评会话实现</w:t>
      </w:r>
    </w:p>
    <w:p>
      <w:pPr>
        <w:spacing w:line="360" w:lineRule="auto" w:before="0" w:after="120"/>
        <w:ind w:firstLine="480"/>
      </w:pPr>
      <w:r>
        <w:rPr>
          <w:rFonts w:ascii="Times New Roman" w:hAnsi="Times New Roman" w:eastAsia="宋体"/>
          <w:sz w:val="24"/>
        </w:rPr>
        <w:t>用户认证模块为整个系统提供访问入口。用户登录后，前端将认证状态用于控制测评、历史记录、聊天和大五人格报告访问。后端通过依赖注入获取当前用户，并在每个需要用户资源的接口中校验所有权。该设计使认证逻辑与业务逻辑保持分离，也便于后续扩展权限控制。</w:t>
      </w:r>
    </w:p>
    <w:p>
      <w:pPr>
        <w:spacing w:line="360" w:lineRule="auto" w:before="0" w:after="120"/>
        <w:ind w:firstLine="480"/>
      </w:pPr>
      <w:r>
        <w:rPr>
          <w:rFonts w:ascii="Times New Roman" w:hAnsi="Times New Roman" w:eastAsia="宋体"/>
          <w:sz w:val="24"/>
        </w:rPr>
        <w:t>测评会话实现采用“草稿准备 + 有效记录持久化”的策略。用户点击开始测评时，系统先检查是否存在活跃会话，若存在则返回冲突信息，由前端提示用户继续、覆盖或修改。真正保存会话和答题记录发生在用户进入实质作答之后，这样可以减少空会话和无效历史记录。</w:t>
      </w:r>
    </w:p>
    <w:p>
      <w:pPr>
        <w:spacing w:line="360" w:lineRule="auto" w:before="0" w:after="120"/>
        <w:ind w:firstLine="480"/>
      </w:pPr>
      <w:r>
        <w:rPr>
          <w:rFonts w:ascii="Times New Roman" w:hAnsi="Times New Roman" w:eastAsia="宋体"/>
          <w:sz w:val="24"/>
        </w:rPr>
        <w:t>恢复会话接口会读取当前用户最新活跃会话、已答题记录和对应题目信息，再返回当前阶段、已提交阶段、答题数量、答案列表和题目列表。前端据此恢复页面状态，使用户可以从上次中断处继续。这一功能对于完整测评系统非常重要，因为心理测评通常需要十几分钟，用户中途离开是常见情况。</w:t>
      </w:r>
    </w:p>
    <w:p>
      <w:pPr>
        <w:pStyle w:val="Heading2"/>
      </w:pPr>
      <w:r>
        <w:t>4.2 自适应选题模块实现</w:t>
      </w:r>
    </w:p>
    <w:p>
      <w:pPr>
        <w:spacing w:line="360" w:lineRule="auto" w:before="0" w:after="120"/>
        <w:ind w:firstLine="480"/>
      </w:pPr>
      <w:r>
        <w:rPr>
          <w:rFonts w:ascii="Times New Roman" w:hAnsi="Times New Roman" w:eastAsia="宋体"/>
          <w:sz w:val="24"/>
        </w:rPr>
        <w:t>自适应选题模块集中在 app/services/question_selection.py。实现时我没有把选题写成单纯“随机抽下一题”，而是先用已答题目的 feature_vector 计算用户画像，再根据能力估计和候选题属性排序。服务入口 select_next_question 会接收 user_id、session_id、answered_question_ids、module 和 transient_records，其中 transient_records 是为了支持前端阶段内临时作答场景，避免还没提交数据库时无法计算下一题。</w:t>
      </w:r>
    </w:p>
    <w:p>
      <w:pPr>
        <w:spacing w:line="360" w:lineRule="auto" w:before="0" w:after="120"/>
        <w:ind w:firstLine="480"/>
      </w:pPr>
      <w:r>
        <w:rPr>
          <w:rFonts w:ascii="Times New Roman" w:hAnsi="Times New Roman" w:eastAsia="宋体"/>
          <w:sz w:val="24"/>
        </w:rPr>
        <w:t>能力估计使用 0.5 均值、0.25 方差作为初始先验。每条 AnswerRecord 会提供 score、is_anomaly 和 exam_no，服务再根据 exam_no 找到 Question 中的 difficulty、discrimination 和 feature_vector。异常作答不会被完全丢弃，而是把权重降到 0.5，同时把观测精度降低。这一点和报告解释中的“异常只提示风险，不直接否定答案”保持一致。</w:t>
      </w:r>
    </w:p>
    <w:p>
      <w:pPr>
        <w:spacing w:line="360" w:lineRule="auto" w:before="0" w:after="120"/>
        <w:ind w:firstLine="480"/>
      </w:pPr>
      <w:r>
        <w:rPr>
          <w:rFonts w:ascii="Times New Roman" w:hAnsi="Times New Roman" w:eastAsia="宋体"/>
          <w:sz w:val="24"/>
        </w:rPr>
        <w:t>候选题评分由 Fisher 信息量、覆盖度、难度匹配和区分度组成。实现里还有一个不确定性比例 uncertainty_ratio：前几题不确定性高时，Fisher 信息量和区分度权重大；后面能力估计稳定后，覆盖度权重提高，避免候选题一直围绕相似向量。这个细节是为了让测评既能快速定位，也能覆盖更多特征面。</w:t>
      </w:r>
    </w:p>
    <w:p>
      <w:pPr>
        <w:spacing w:line="360" w:lineRule="auto" w:before="0" w:after="120"/>
        <w:jc w:val="center"/>
      </w:pPr>
      <w:r>
        <w:rPr>
          <w:rFonts w:ascii="Times New Roman" w:hAnsi="Times New Roman" w:eastAsia="宋体"/>
          <w:b w:val="0"/>
          <w:sz w:val="24"/>
        </w:rPr>
        <w:t>S(q)=w1I(q)+w2C(q)+w3D(q)+w4R(q)    (4.1)</w:t>
      </w:r>
    </w:p>
    <w:p>
      <w:pPr>
        <w:spacing w:line="360" w:lineRule="auto" w:before="0" w:after="120"/>
        <w:ind w:firstLine="480"/>
      </w:pPr>
      <w:r>
        <w:rPr>
          <w:rFonts w:ascii="Times New Roman" w:hAnsi="Times New Roman" w:eastAsia="宋体"/>
          <w:sz w:val="24"/>
        </w:rPr>
        <w:t>其中，I(q) 表示 Fisher 信息量，C(q) 表示覆盖度，D(q) 表示难度匹配，R(q) 表示区分度。公式只是对实现逻辑的概括，实际代码中还包含候选题为空、首次选题、模块过滤和向量缺失等分支处理。</w:t>
      </w:r>
    </w:p>
    <w:p>
      <w:pPr>
        <w:pStyle w:val="Heading2"/>
      </w:pPr>
      <w:r>
        <w:t>4.3 异常作答检测模块实现</w:t>
      </w:r>
    </w:p>
    <w:p>
      <w:pPr>
        <w:spacing w:line="360" w:lineRule="auto" w:before="0" w:after="120"/>
        <w:ind w:firstLine="480"/>
      </w:pPr>
      <w:r>
        <w:rPr>
          <w:rFonts w:ascii="Times New Roman" w:hAnsi="Times New Roman" w:eastAsia="宋体"/>
          <w:sz w:val="24"/>
        </w:rPr>
        <w:t>异常作答检测模块由 ai_detector 服务实现。当前版本有意保留较少规则，主要检测明显过快作答。系统将平均作答时间做下界归一化，若某题作答时间低于平均时间的 10%，则标记为异常，并返回风险分数、原因列表和追问问题。</w:t>
      </w:r>
    </w:p>
    <w:p>
      <w:pPr>
        <w:spacing w:line="360" w:lineRule="auto" w:before="0" w:after="120"/>
        <w:ind w:firstLine="480"/>
      </w:pPr>
      <w:r>
        <w:rPr>
          <w:rFonts w:ascii="Times New Roman" w:hAnsi="Times New Roman" w:eastAsia="宋体"/>
          <w:sz w:val="24"/>
        </w:rPr>
        <w:t>这种实现看似简单，但符合当前阶段的工程目标。测评系统的异常检测如果规则过多，容易在没有充分验证的情况下误伤用户。本文选择先实现一个明确、可解释、易测试的规则，再将结果作为报告的可信度提示。后续可以在日志数据充足后扩展连续快速作答、重复选项、极端分布和前后矛盾等规则。</w:t>
      </w:r>
    </w:p>
    <w:p>
      <w:pPr>
        <w:spacing w:line="360" w:lineRule="auto" w:before="0" w:after="120"/>
        <w:ind w:firstLine="480"/>
      </w:pPr>
      <w:r>
        <w:rPr>
          <w:rFonts w:ascii="Times New Roman" w:hAnsi="Times New Roman" w:eastAsia="宋体"/>
          <w:sz w:val="24"/>
        </w:rPr>
        <w:t>异常检测结果不会直接改变分数，而是影响解释和选题权重。自适应选题模块会降低异常记录的画像权重，报告生成模块也可以提醒用户相关维度需要谨慎解读。这样的设计避免了将单一行为指标直接等同于人格特征。</w:t>
      </w:r>
    </w:p>
    <w:p>
      <w:pPr>
        <w:pStyle w:val="Heading2"/>
      </w:pPr>
      <w:r>
        <w:t>4.4 多智能体辩论与 RAG 实现</w:t>
      </w:r>
    </w:p>
    <w:p>
      <w:pPr>
        <w:spacing w:line="360" w:lineRule="auto" w:before="0" w:after="120"/>
        <w:ind w:firstLine="480"/>
      </w:pPr>
      <w:r>
        <w:rPr>
          <w:rFonts w:ascii="Times New Roman" w:hAnsi="Times New Roman" w:eastAsia="宋体"/>
          <w:sz w:val="24"/>
        </w:rPr>
        <w:t>多智能体辩论模块由 debate_manager 组织。系统将 ATMR 四个模块的裁判总结作为上下文，并设置正方、反方和裁判三类角色。正方从结构优势和发展潜力出发，反方从风险和边界出发，裁判综合双方意见并给出最终结论。实现上，系统使用并发执行第一轮发言，再由裁判进行中场建议和综合。</w:t>
      </w:r>
    </w:p>
    <w:p>
      <w:pPr>
        <w:spacing w:line="360" w:lineRule="auto" w:before="0" w:after="120"/>
        <w:ind w:firstLine="480"/>
      </w:pPr>
      <w:r>
        <w:rPr>
          <w:rFonts w:ascii="Times New Roman" w:hAnsi="Times New Roman" w:eastAsia="宋体"/>
          <w:sz w:val="24"/>
        </w:rPr>
        <w:t>RAG 服务基于 PageIndex。系统维护 ATMR 知识库和 Big Five 知识库，先根据查询进行关键词粗筛，再在候选章节中进行语义评分，并返回相关证据。若外部模型不可用，系统会回退到关键词评分，保证服务不会因检索模型失败而完全中断。</w:t>
      </w:r>
    </w:p>
    <w:p>
      <w:pPr>
        <w:spacing w:line="360" w:lineRule="auto" w:before="0" w:after="120"/>
        <w:ind w:firstLine="480"/>
      </w:pPr>
      <w:r>
        <w:rPr>
          <w:rFonts w:ascii="Times New Roman" w:hAnsi="Times New Roman" w:eastAsia="宋体"/>
          <w:sz w:val="24"/>
        </w:rPr>
        <w:t>在报告生成中，RAG 的价值并不是简单给模型附加更多文本，而是让分析过程能够引用与用户数据相关的知识片段。多智能体辩论结合 RAG 后，报告能够同时体现积极解释、风险提醒和知识依据。对于心理测评类系统，这种结构比单次大模型生成更容易控制语气和边界。</w:t>
      </w:r>
    </w:p>
    <w:p>
      <w:pPr>
        <w:pStyle w:val="Heading2"/>
      </w:pPr>
      <w:r>
        <w:t>4.5 多模态特征提取与 Feature Bundle 实现</w:t>
      </w:r>
    </w:p>
    <w:p>
      <w:pPr>
        <w:spacing w:line="360" w:lineRule="auto" w:before="0" w:after="120"/>
        <w:ind w:firstLine="480"/>
      </w:pPr>
      <w:r>
        <w:rPr>
          <w:rFonts w:ascii="Times New Roman" w:hAnsi="Times New Roman" w:eastAsia="宋体"/>
          <w:sz w:val="24"/>
        </w:rPr>
        <w:t>多模态特征提取最容易出问题的地方不是模型结构，而是输入格式不统一。一个视频样本会产生图像帧、音频、转写文本、CLIP 视觉特征、CLIP 文本特征、wav2clip 音频特征和 bg_features。如果训练脚本、评估脚本和在线服务各自组织这些字段，后续一定会出现维度错位或标签顺序错位。</w:t>
      </w:r>
    </w:p>
    <w:p>
      <w:pPr>
        <w:spacing w:line="360" w:lineRule="auto" w:before="0" w:after="120"/>
        <w:ind w:firstLine="480"/>
      </w:pPr>
      <w:r>
        <w:rPr>
          <w:rFonts w:ascii="Times New Roman" w:hAnsi="Times New Roman" w:eastAsia="宋体"/>
          <w:sz w:val="24"/>
        </w:rPr>
        <w:t>因此项目在 multimodal_personality/models/feature_bundle.py 中定义了 MultimodalFeatureBundle。当前契约规定 clip_video 为 15 帧、每帧 768 维；clip_text 最多 13 句、每句 768 维；wav2clip 为 15 段、每段 512 维；bg_features 为 256 维；micro_expression_features 可选，为 8 维；labels 按 openness、conscientiousness、extraversion、agreeableness、neuroticism 排列。</w:t>
      </w:r>
    </w:p>
    <w:p>
      <w:pPr>
        <w:spacing w:line="360" w:lineRule="auto" w:before="0" w:after="120"/>
        <w:ind w:firstLine="480"/>
      </w:pPr>
      <w:r>
        <w:rPr>
          <w:rFonts w:ascii="Times New Roman" w:hAnsi="Times New Roman" w:eastAsia="宋体"/>
          <w:sz w:val="24"/>
        </w:rPr>
        <w:t>bundle 的 validate 和 to_tensors 两个方法在开发中很有用。validate 会提前检查维度是否符合预期，to_tensors 会把不足的序列补零或截断到固定长度。在线推理时，如果某个模态缺失，服务可以明确决定是失败还是填充，而不是让 PyTorch 在模型前向时才报一个难定位的 shape 错误。</w:t>
      </w:r>
    </w:p>
    <w:p>
      <w:pPr>
        <w:spacing w:line="360" w:lineRule="auto" w:before="0" w:after="120"/>
        <w:ind w:firstLine="480"/>
      </w:pPr>
      <w:r>
        <w:rPr>
          <w:rFonts w:ascii="Times New Roman" w:hAnsi="Times New Roman" w:eastAsia="宋体"/>
          <w:sz w:val="24"/>
        </w:rPr>
        <w:t>这个设计也方便论文实验复盘。训练、评估和在线 smoke 使用的都是同一种 bundle 文件，因此当报告中写到某个 checkpoint 的测试结果时，可以追溯到对应的 manifest、bundle 目录和评估 JSON，而不是只剩一个孤立的指标表。</w:t>
      </w:r>
    </w:p>
    <w:p>
      <w:pPr>
        <w:pStyle w:val="Heading2"/>
      </w:pPr>
      <w:r>
        <w:t>4.6 AGTN-MTL Baseline 模型实现</w:t>
      </w:r>
    </w:p>
    <w:p>
      <w:pPr>
        <w:spacing w:line="360" w:lineRule="auto" w:before="0" w:after="120"/>
        <w:ind w:firstLine="480"/>
      </w:pPr>
      <w:r>
        <w:rPr>
          <w:rFonts w:ascii="Times New Roman" w:hAnsi="Times New Roman" w:eastAsia="宋体"/>
          <w:sz w:val="24"/>
        </w:rPr>
        <w:t>AGTN-MTL baseline 的代码位于 multimodal_personality/models/agtn_mtl.py。模型输入包含 clip_video、wav2clip、clip_text、bg_features 和可选 micro_expression_features，输出是 Big Five 五维分数。它参考了多模态人格预测论文中的图结构和多任务思想</w:t>
      </w:r>
      <w:r>
        <w:rPr>
          <w:rFonts w:ascii="Times New Roman" w:hAnsi="Times New Roman" w:eastAsia="宋体"/>
          <w:sz w:val="20"/>
          <w:vertAlign w:val="superscript"/>
        </w:rPr>
        <w:t>[1]</w:t>
      </w:r>
      <w:r>
        <w:rPr>
          <w:rFonts w:ascii="Times New Roman" w:hAnsi="Times New Roman" w:eastAsia="宋体"/>
          <w:sz w:val="24"/>
        </w:rPr>
        <w:t>，但实现上更偏向当前仓库能稳定训练和接入的版本。</w:t>
      </w:r>
    </w:p>
    <w:p>
      <w:pPr>
        <w:spacing w:line="360" w:lineRule="auto" w:before="0" w:after="120"/>
        <w:ind w:firstLine="480"/>
      </w:pPr>
      <w:r>
        <w:rPr>
          <w:rFonts w:ascii="Times New Roman" w:hAnsi="Times New Roman" w:eastAsia="宋体"/>
          <w:sz w:val="24"/>
        </w:rPr>
        <w:t>文本分支使用 SequenceEncoder 和 TemporalAttention，对 CLIP 文本句子序列做编码；视觉分支先加位置编码，再经过两层 GraphConvBlock 和线性投影；音频分支对 wav2clip 序列采用类似处理。视觉和音频池化后通过 cosine_feature_fusion 形成 video_audio 表示。最后，ResidualChannelAttention 把 bg_feature、video_audio、text 和可选 micro_feature 融合，再由主预测头输出 0 到 1 的五维分数。</w:t>
      </w:r>
    </w:p>
    <w:p>
      <w:pPr>
        <w:spacing w:line="360" w:lineRule="auto" w:before="0" w:after="120"/>
        <w:ind w:firstLine="480"/>
      </w:pPr>
      <w:r>
        <w:rPr>
          <w:rFonts w:ascii="Times New Roman" w:hAnsi="Times New Roman" w:eastAsia="宋体"/>
          <w:sz w:val="24"/>
        </w:rPr>
        <w:t>模型还保留 bg_output、audio_output、text_output 和 micro_output 等辅助头。当前训练主要使用主任务回归，辅助头更多是为后续多任务损失预留结构。这个边界必须写清楚：当前结果能证明工程 baseline 可运行、可评估、可接入，但不能说已经完整复现原论文的全部多任务训练策略。</w:t>
      </w:r>
    </w:p>
    <w:p>
      <w:pPr>
        <w:spacing w:line="360" w:lineRule="auto" w:before="0" w:after="120"/>
        <w:ind w:firstLine="480"/>
      </w:pPr>
      <w:r>
        <w:rPr>
          <w:rFonts w:ascii="Times New Roman" w:hAnsi="Times New Roman" w:eastAsia="宋体"/>
          <w:sz w:val="24"/>
        </w:rPr>
        <w:t>实际接入时，服务层通过 load_checkpoint_model 恢复模型和 model_kwargs。当前在线默认模型版本是 agtn-mtl-best-lr1e4-drop02，对应 checkpoint 路径为 reports/night_lr1e4_drop02/agtn_mtl_lr1e4_drop02.pt。报告页会显示模型版本，便于后续比较不同 checkpoint 的输出差异。</w:t>
      </w:r>
    </w:p>
    <w:p>
      <w:pPr>
        <w:pStyle w:val="Heading2"/>
      </w:pPr>
      <w:r>
        <w:t>4.7 大五人格报告与前端展示实现</w:t>
      </w:r>
    </w:p>
    <w:p>
      <w:pPr>
        <w:spacing w:line="360" w:lineRule="auto" w:before="0" w:after="120"/>
        <w:ind w:firstLine="480"/>
      </w:pPr>
      <w:r>
        <w:rPr>
          <w:rFonts w:ascii="Times New Roman" w:hAnsi="Times New Roman" w:eastAsia="宋体"/>
          <w:sz w:val="24"/>
        </w:rPr>
        <w:t>大五人格报告页对应 frontend/src/components/BigFiveReport.vue。页面加载后先根据 report_id 请求报告详情，如果 status 还在 running，就显示刷新和返回历史入口；如果已经 completed 且存在 scores，就展示雷达图、五维分数条、维度水平、报告来源和 AI 解读。这个页面的重点不是炫图，而是让用户知道结果来自哪个视频、哪个模型版本、是否是真实模型输出。</w:t>
      </w:r>
    </w:p>
    <w:p>
      <w:pPr>
        <w:spacing w:line="360" w:lineRule="auto" w:before="0" w:after="120"/>
        <w:ind w:firstLine="480"/>
      </w:pPr>
      <w:r>
        <w:rPr>
          <w:rFonts w:ascii="Times New Roman" w:hAnsi="Times New Roman" w:eastAsia="宋体"/>
          <w:sz w:val="24"/>
        </w:rPr>
        <w:t>报告来源区域会显示 original_filename、model_version 和 is_real_result。这个字段很关键，因为项目早期有 scaffold 和 fallback 输出，如果不区分，用户可能把占位分数当成真实人格结果。后端 _is_real_result 会检查任务状态、分数和模型版本，只有真实 checkpoint 的完成结果才进入正式解读。</w:t>
      </w:r>
    </w:p>
    <w:p>
      <w:pPr>
        <w:spacing w:line="360" w:lineRule="auto" w:before="0" w:after="120"/>
        <w:ind w:firstLine="480"/>
      </w:pPr>
      <w:r>
        <w:rPr>
          <w:rFonts w:ascii="Times New Roman" w:hAnsi="Times New Roman" w:eastAsia="宋体"/>
          <w:sz w:val="24"/>
        </w:rPr>
        <w:t>聊天页对应 Chat.vue。它不是把所有历史报告自动塞进提示词，而是提供两个下拉框：一个关联 ATMR 报告，一个关联大五人格报告。用户可以不关联、只关联其中一种，或者同时关联两种。这个设计在使用上多一步选择，但能让咨询上下文更透明，也避免把不同来源的证据混成一个模糊结论。</w:t>
      </w:r>
    </w:p>
    <w:p>
      <w:pPr>
        <w:pStyle w:val="Heading2"/>
      </w:pPr>
      <w:r>
        <w:t>4.8 本章小结</w:t>
      </w:r>
    </w:p>
    <w:p>
      <w:pPr>
        <w:spacing w:line="360" w:lineRule="auto" w:before="0" w:after="120"/>
        <w:ind w:firstLine="480"/>
      </w:pPr>
      <w:r>
        <w:rPr>
          <w:rFonts w:ascii="Times New Roman" w:hAnsi="Times New Roman" w:eastAsia="宋体"/>
          <w:sz w:val="24"/>
        </w:rPr>
        <w:t>本章从实现角度介绍了系统关键模块。ATMR 主线实现了认证、会话、阶段作答、自适应选题、异常检测、多智能体辩论和 RAG；多模态辅线实现了特征提取、feature bundle、AGTN-MTL baseline、在线推理和大五人格报告。两个子系统通过报告和聊天上下文建立联系，但在数据模型、任务状态和解释边界上保持独立。</w:t>
      </w:r>
    </w:p>
    <w:p>
      <w:pPr>
        <w:pStyle w:val="Heading2"/>
      </w:pPr>
      <w:r>
        <w:t>4.9 部署运行与工程治理实现</w:t>
      </w:r>
    </w:p>
    <w:p>
      <w:pPr>
        <w:spacing w:line="360" w:lineRule="auto" w:before="0" w:after="120"/>
        <w:ind w:firstLine="480"/>
      </w:pPr>
      <w:r>
        <w:rPr>
          <w:rFonts w:ascii="Times New Roman" w:hAnsi="Times New Roman" w:eastAsia="宋体"/>
          <w:sz w:val="24"/>
        </w:rPr>
        <w:t>除功能模块外，系统还需要具备可部署和可维护能力。本文项目提供 Dockerfile、docker-compose.yml、后端健康检查接口和前端 nginx 配置，使在线主系统可以在容器环境中运行。后端根路径返回服务启动信息，/health 接口会检查数据库连接状态，为部署探针和运维检查提供基础。</w:t>
      </w:r>
    </w:p>
    <w:p>
      <w:pPr>
        <w:spacing w:line="360" w:lineRule="auto" w:before="0" w:after="120"/>
        <w:ind w:firstLine="480"/>
      </w:pPr>
      <w:r>
        <w:rPr>
          <w:rFonts w:ascii="Times New Roman" w:hAnsi="Times New Roman" w:eastAsia="宋体"/>
          <w:sz w:val="24"/>
        </w:rPr>
        <w:t>配置管理方面，系统将项目名称、数据库连接、允许跨域来源、多模态目录、checkpoint 路径、运行设备和外部模型配置集中在配置层。这样可以避免业务代码中散落硬编码路径，也便于在本地开发、离线训练和线上部署之间切换。多模态路径使用项目根目录解析相对路径，减少不同终端工作目录造成的路径错误。</w:t>
      </w:r>
    </w:p>
    <w:p>
      <w:pPr>
        <w:spacing w:line="360" w:lineRule="auto" w:before="0" w:after="120"/>
        <w:ind w:firstLine="480"/>
      </w:pPr>
      <w:r>
        <w:rPr>
          <w:rFonts w:ascii="Times New Roman" w:hAnsi="Times New Roman" w:eastAsia="宋体"/>
          <w:sz w:val="24"/>
        </w:rPr>
        <w:t>多模态运行环境与主系统运行环境存在明显差异。离线训练依赖 torch、CUDA、ffmpeg、CLIP、wav2clip 和较大的数据集文件，而在线主系统更强调启动稳定和响应速度。因此，本文将多模态依赖单独列入 requirements_multimodal.txt，并在服务层对依赖可用性进行检测。即使多模态模块加载失败，主系统仍可跳过相关路由继续启动。</w:t>
      </w:r>
    </w:p>
    <w:p>
      <w:pPr>
        <w:spacing w:line="360" w:lineRule="auto" w:before="0" w:after="120"/>
        <w:ind w:firstLine="480"/>
      </w:pPr>
      <w:r>
        <w:rPr>
          <w:rFonts w:ascii="Times New Roman" w:hAnsi="Times New Roman" w:eastAsia="宋体"/>
          <w:sz w:val="24"/>
        </w:rPr>
        <w:t>测试治理方面，项目 tests 目录覆盖了认证、聊天、RAG、题目选择、问题清洗、项目健康、多模态训练管线、多模态服务、模型结构、特征提取器和大五报告接口等内容。对于毕业设计项目而言，测试不仅用于发现错误，也能证明系统不是只在演示路径下偶然可用，而是具备一定回归验证基础。</w:t>
      </w:r>
    </w:p>
    <w:p>
      <w:pPr>
        <w:spacing w:line="360" w:lineRule="auto" w:before="0" w:after="120"/>
        <w:ind w:firstLine="480"/>
      </w:pPr>
      <w:r>
        <w:rPr>
          <w:rFonts w:ascii="Times New Roman" w:hAnsi="Times New Roman" w:eastAsia="宋体"/>
          <w:sz w:val="24"/>
        </w:rPr>
        <w:t>工程文档也是治理的一部分。项目中 README、部署文档、开发者日志、毕设进度、多模态复现汇报和待完成任务共同记录了系统当前状态、运行方式、已完成内容和未完成边界。论文写作时引用这些材料，可以使章节内容与实际工程进度保持一致，避免论文描述超前于代码实现。</w:t>
      </w:r>
    </w:p>
    <w:p>
      <w:pPr>
        <w:pStyle w:val="Heading2"/>
      </w:pPr>
      <w:r>
        <w:t>4.10 关键实现文件对应关系</w:t>
      </w:r>
    </w:p>
    <w:p>
      <w:pPr>
        <w:spacing w:line="360" w:lineRule="auto" w:before="0" w:after="120"/>
        <w:ind w:firstLine="480"/>
      </w:pPr>
      <w:r>
        <w:rPr>
          <w:rFonts w:ascii="Times New Roman" w:hAnsi="Times New Roman" w:eastAsia="宋体"/>
          <w:sz w:val="24"/>
        </w:rPr>
        <w:t>为了让论文描述和代码对应起来，本文整理了几个关键文件。app/api/assessment/sessions.py 负责测评会话开始、恢复、重启和删除；app/services/question_selection.py 负责自适应选题；app/services/ai_detector.py 负责异常作答检测；app/services/debate_manager.py 负责多智能体辩论；app/services/rag_service.py 负责 PageIndex 检索。</w:t>
      </w:r>
    </w:p>
    <w:p>
      <w:pPr>
        <w:spacing w:line="360" w:lineRule="auto" w:before="0" w:after="120"/>
        <w:ind w:firstLine="480"/>
      </w:pPr>
      <w:r>
        <w:rPr>
          <w:rFonts w:ascii="Times New Roman" w:hAnsi="Times New Roman" w:eastAsia="宋体"/>
          <w:sz w:val="24"/>
        </w:rPr>
        <w:t>多模态部分中，multimodal_personality/models/feature_bundle.py 定义输入契约，multimodal_personality/models/agtn_mtl.py 定义模型结构，multimodal_personality/training/baseline.py 负责训练、评估和 checkpoint 加载，app/services/multimodal_personality_service.py 负责在线任务和真实推理接入。前端方面，Assessment.vue 对应测评流程，BigFiveReport.vue 对应大五报告，Chat.vue 对应报告上下文咨询。</w:t>
      </w:r>
    </w:p>
    <w:p>
      <w:pPr>
        <w:spacing w:line="360" w:lineRule="auto" w:before="0" w:after="120"/>
        <w:ind w:firstLine="480"/>
      </w:pPr>
      <w:r>
        <w:rPr>
          <w:rFonts w:ascii="Times New Roman" w:hAnsi="Times New Roman" w:eastAsia="宋体"/>
          <w:sz w:val="24"/>
        </w:rPr>
        <w:t>这些文件名看起来只是工程细节，但它们能减少论文中的空泛描述。比如写“系统实现了大五人格报告”不如说明报告页如何判断 is_real_result，写“系统支持断点续答”不如说明 resume-session 返回 current_stage、submitted_stages、answers 和 questions。后续答辩时，也可以直接根据这些文件演示功能来源。</w:t>
      </w:r>
    </w:p>
    <w:p>
      <w:pPr>
        <w:sectPr>
          <w:pgSz w:w="12240" w:h="15840"/>
          <w:pgMar w:top="1587" w:right="1417" w:bottom="1417" w:left="1587" w:header="720" w:footer="720" w:gutter="0"/>
          <w:cols w:space="720"/>
          <w:docGrid w:linePitch="360"/>
        </w:sectPr>
      </w:pPr>
    </w:p>
    <w:p>
      <w:pPr>
        <w:pStyle w:val="Heading1"/>
      </w:pPr>
      <w:r>
        <w:t>第5章 系统测试与实验分析</w:t>
      </w:r>
    </w:p>
    <w:p>
      <w:pPr>
        <w:pStyle w:val="Heading2"/>
      </w:pPr>
      <w:r>
        <w:t>5.1 测试目标与测试环境</w:t>
      </w:r>
    </w:p>
    <w:p>
      <w:pPr>
        <w:spacing w:line="360" w:lineRule="auto" w:before="0" w:after="120"/>
        <w:ind w:firstLine="480"/>
      </w:pPr>
      <w:r>
        <w:rPr>
          <w:rFonts w:ascii="Times New Roman" w:hAnsi="Times New Roman" w:eastAsia="宋体"/>
          <w:sz w:val="24"/>
        </w:rPr>
        <w:t>本章测试不是只跑一条“能打开页面”的演示路径，而是检查三类事情：第一，ATMR 主流程是否能从登录、开始测评、答题、阶段提交走到报告和历史记录；第二，多模态链路是否能从 CFI-V2 样本处理到 checkpoint 评估，再接回在线服务；第三，报告和聊天页是否能正确区分真实结果、失败结果和占位结果。</w:t>
      </w:r>
    </w:p>
    <w:p>
      <w:pPr>
        <w:spacing w:line="360" w:lineRule="auto" w:before="0" w:after="120"/>
        <w:ind w:firstLine="480"/>
      </w:pPr>
      <w:r>
        <w:rPr>
          <w:rFonts w:ascii="Times New Roman" w:hAnsi="Times New Roman" w:eastAsia="宋体"/>
          <w:sz w:val="24"/>
        </w:rPr>
        <w:t>当前开发环境主要是 Windows + PowerShell。多模态训练环境已验证 torch、torchvision、torchaudio 和 CUDA 可用，GPU 为 NVIDIA GeForce RTX 4060 Laptop GPU。在线主系统可以本地运行，也可以通过 Docker 配置启动。由于多模态依赖较重，训练环境和在线主系统依赖没有完全合并。</w:t>
      </w:r>
    </w:p>
    <w:p>
      <w:pPr>
        <w:spacing w:line="360" w:lineRule="auto" w:before="0" w:after="120"/>
        <w:ind w:firstLine="480"/>
      </w:pPr>
      <w:r>
        <w:rPr>
          <w:rFonts w:ascii="Times New Roman" w:hAnsi="Times New Roman" w:eastAsia="宋体"/>
          <w:sz w:val="24"/>
        </w:rPr>
        <w:t>自动化测试主要分布在 tests 目录，包括认证、聊天、RAG、题目选择、问题清洗、项目健康、多模态训练管线、多模态服务、多模态模型、特征提取器和大五报告 API。除此之外，项目还保留了 reports/online_multimodal_smoke_20260425/smoke_result.json，用来记录真实视频在线推理结果。</w:t>
      </w:r>
    </w:p>
    <w:p>
      <w:pPr>
        <w:pStyle w:val="Heading2"/>
      </w:pPr>
      <w:r>
        <w:t>5.2 在线主系统功能测试</w:t>
      </w:r>
    </w:p>
    <w:p>
      <w:pPr>
        <w:spacing w:line="360" w:lineRule="auto" w:before="0" w:after="120"/>
        <w:ind w:firstLine="480"/>
      </w:pPr>
      <w:r>
        <w:rPr>
          <w:rFonts w:ascii="Times New Roman" w:hAnsi="Times New Roman" w:eastAsia="宋体"/>
          <w:sz w:val="24"/>
        </w:rPr>
        <w:t>在线主系统功能测试先从会话状态开始。用户没有未完成测评时，前端显示开始测评；存在 active 会话时，系统提示继续测评或修改答案；存在 completed 会话时，用户可以查看历史报告或开始新测评。这个流程对应 Assessment.vue 中的开始页状态，也对应后端 start-session 和 resume-session 的返回结果。</w:t>
      </w:r>
    </w:p>
    <w:p>
      <w:pPr>
        <w:spacing w:line="360" w:lineRule="auto" w:before="0" w:after="120"/>
        <w:ind w:firstLine="480"/>
      </w:pPr>
      <w:r>
        <w:rPr>
          <w:rFonts w:ascii="Times New Roman" w:hAnsi="Times New Roman" w:eastAsia="宋体"/>
          <w:sz w:val="24"/>
        </w:rPr>
        <w:t>阶段答题测试关注三个点：答案能否保存，异常作答能否记录，页面刷新后能否恢复。resume-session 返回的内容包括 session_id、current_stage、submitted_stages、answered_count、answers 和 questions。前端拿到这些字段后，可以恢复当前阶段和已答题目，而不是让用户重新开始。</w:t>
      </w:r>
    </w:p>
    <w:p>
      <w:pPr>
        <w:spacing w:line="360" w:lineRule="auto" w:before="0" w:after="120"/>
        <w:ind w:firstLine="480"/>
      </w:pPr>
      <w:r>
        <w:rPr>
          <w:rFonts w:ascii="Times New Roman" w:hAnsi="Times New Roman" w:eastAsia="宋体"/>
          <w:sz w:val="24"/>
        </w:rPr>
        <w:t>报告测试则关注异步体验。阶段评审和最终报告生成都可能需要等待，前端会显示“专家评审中”或“正在整理最终报告”。如果用户不想等待，可以稍后进入历史页查看。这个设计在测试中很重要，因为大模型调用或 RAG 检索失败时，系统也要把错误状态保留下来，而不是让前端一直转圈。</w:t>
      </w:r>
    </w:p>
    <w:p>
      <w:pPr>
        <w:spacing w:line="360" w:lineRule="auto" w:before="0" w:after="120"/>
        <w:ind w:firstLine="480"/>
      </w:pPr>
      <w:r>
        <w:rPr>
          <w:rFonts w:ascii="Times New Roman" w:hAnsi="Times New Roman" w:eastAsia="宋体"/>
          <w:sz w:val="24"/>
        </w:rPr>
        <w:t>删除测试检查依赖清理。删除一个测评会话时，系统需要删除 AnswerRecord 和 ModuleDebateResult，并把相关 ChatSession 的 assessment_session_id 置空。这个细节避免历史聊天继续指向已经不存在的测评报告。</w:t>
      </w:r>
    </w:p>
    <w:p>
      <w:pPr>
        <w:pStyle w:val="Heading2"/>
      </w:pPr>
      <w:r>
        <w:t>5.3 多模态实验设置</w:t>
      </w:r>
    </w:p>
    <w:p>
      <w:pPr>
        <w:spacing w:line="360" w:lineRule="auto" w:before="0" w:after="120"/>
        <w:ind w:firstLine="480"/>
      </w:pPr>
      <w:r>
        <w:rPr>
          <w:rFonts w:ascii="Times New Roman" w:hAnsi="Times New Roman" w:eastAsia="宋体"/>
          <w:sz w:val="24"/>
        </w:rPr>
        <w:t>多模态实验围绕 CFI-V2 数据集展开。根据项目文档，当前实验使用官方划分，训练集 6000 条、验证集 2000 条、测试集 2000 条。输入视频经过抽帧、音频提取和转写后，分别生成 CLIP 视觉特征、CLIP 文本特征、wav2clip 音频特征以及工程版 bg_features。</w:t>
      </w:r>
    </w:p>
    <w:p>
      <w:pPr>
        <w:spacing w:line="360" w:lineRule="auto" w:before="0" w:after="120"/>
        <w:ind w:firstLine="480"/>
      </w:pPr>
      <w:r>
        <w:rPr>
          <w:rFonts w:ascii="Times New Roman" w:hAnsi="Times New Roman" w:eastAsia="宋体"/>
          <w:sz w:val="24"/>
        </w:rPr>
        <w:t>模型训练采用 AGTN-MTL baseline。训练脚本读取 train 和 val manifest，解析对应 feature bundle，构建 PyTorch Dataset和 DataLoader，并在验证集上保存最优 checkpoint。评估脚本在测试集 bundle 上计算 MSE、MAE、ACC、PCC、CCC 和 R² 等指标。</w:t>
      </w:r>
    </w:p>
    <w:p>
      <w:pPr>
        <w:spacing w:line="360" w:lineRule="auto" w:before="0" w:after="120"/>
        <w:ind w:firstLine="480"/>
      </w:pPr>
      <w:r>
        <w:rPr>
          <w:rFonts w:ascii="Times New Roman" w:hAnsi="Times New Roman" w:eastAsia="宋体"/>
          <w:sz w:val="24"/>
        </w:rPr>
        <w:t>评价指标中，MSE 和 MAE 衡量预测误差，ACC 在当前项目中按人格回归任务常用的 1-MAE 计算，PCC 衡量预测与真实标签之间的线性相关性，CCC 同时考虑相关性和数值一致性，R² 衡量模型相对标签均值基线的解释能力。对于人格分数回归任务，PCC、CCC和 R² 比单独的 ACC 更能反映模型是否捕捉到分数变化趋势。</w:t>
      </w:r>
    </w:p>
    <w:p>
      <w:pPr>
        <w:spacing w:line="360" w:lineRule="auto" w:before="0" w:after="120"/>
        <w:jc w:val="center"/>
      </w:pPr>
      <w:r>
        <w:rPr>
          <w:rFonts w:ascii="Times New Roman" w:hAnsi="Times New Roman" w:eastAsia="宋体"/>
          <w:b w:val="0"/>
          <w:sz w:val="24"/>
        </w:rPr>
        <w:t>MSE = (1/n)Σ(yi - ŷi)^2    (5.1)</w:t>
      </w:r>
    </w:p>
    <w:p>
      <w:pPr>
        <w:spacing w:line="360" w:lineRule="auto" w:before="0" w:after="120"/>
        <w:jc w:val="center"/>
      </w:pPr>
      <w:r>
        <w:rPr>
          <w:rFonts w:ascii="Times New Roman" w:hAnsi="Times New Roman" w:eastAsia="宋体"/>
          <w:b w:val="0"/>
          <w:sz w:val="24"/>
        </w:rPr>
        <w:t>MAE = (1/n)Σ|yi - ŷi|    (5.2)</w:t>
      </w:r>
    </w:p>
    <w:p>
      <w:pPr>
        <w:pStyle w:val="Heading2"/>
      </w:pPr>
      <w:r>
        <w:t>5.4 多模态实验结果</w:t>
      </w:r>
    </w:p>
    <w:p>
      <w:pPr>
        <w:spacing w:line="360" w:lineRule="auto" w:before="0" w:after="120"/>
        <w:ind w:firstLine="480"/>
      </w:pPr>
      <w:r>
        <w:rPr>
          <w:rFonts w:ascii="Times New Roman" w:hAnsi="Times New Roman" w:eastAsia="宋体"/>
          <w:sz w:val="24"/>
        </w:rPr>
        <w:t>多模态实验先做小样本闭环，而不是一开始就跑全量。train 20 / val 5 的结果为 MSE=0.004983、MAE=0.057872；train 100 / val 20 的结果为 MSE=0.016520、MAE=0.100234。这两次验证的意义主要是确认 manifest、预处理、特征提取、bundle、训练和评估能够连续跑通。</w:t>
      </w:r>
    </w:p>
    <w:p>
      <w:pPr>
        <w:spacing w:line="360" w:lineRule="auto" w:before="0" w:after="120"/>
        <w:ind w:firstLine="480"/>
      </w:pPr>
      <w:r>
        <w:rPr>
          <w:rFonts w:ascii="Times New Roman" w:hAnsi="Times New Roman" w:eastAsia="宋体"/>
          <w:sz w:val="24"/>
        </w:rPr>
        <w:t>全量 baseline 使用 CFI-V2 的 train=6000、val=2000、test=2000 划分。初始全量 baseline 在测试集上得到 MSE=0.019945、MAE=0.113552。后续调参后，当前在线默认 checkpoint 为 reports/night_lr1e4_drop02/agtn_mtl_lr1e4_drop02.pt，测试集结果为 MSE=0.011543、MAE=0.086074、PCC=0.7062、CCC=0.6327、R²=0.4881。</w:t>
      </w:r>
    </w:p>
    <w:p>
      <w:pPr>
        <w:spacing w:line="360" w:lineRule="auto" w:before="0" w:after="120"/>
        <w:jc w:val="center"/>
      </w:pPr>
      <w:r>
        <w:rPr>
          <w:rFonts w:ascii="Times New Roman" w:hAnsi="Times New Roman" w:eastAsia="宋体"/>
          <w:b w:val="0"/>
          <w:sz w:val="22"/>
        </w:rPr>
        <w:t>表 5-1 多模态实验指标汇总</w:t>
      </w:r>
    </w:p>
    <w:tbl>
      <w:tblPr>
        <w:tblW w:type="auto" w:w="0"/>
        <w:jc w:val="center"/>
        <w:tblLayout w:type="autofit"/>
        <w:tblLook w:firstColumn="1" w:firstRow="1" w:lastColumn="0" w:lastRow="0" w:noHBand="0" w:noVBand="1" w:val="04A0"/>
      </w:tblPr>
      <w:tblGrid>
        <w:gridCol w:w="1154"/>
        <w:gridCol w:w="1154"/>
        <w:gridCol w:w="1154"/>
        <w:gridCol w:w="1154"/>
        <w:gridCol w:w="1154"/>
        <w:gridCol w:w="1154"/>
        <w:gridCol w:w="1154"/>
        <w:gridCol w:w="1154"/>
      </w:tblGrid>
      <w:tr>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实验</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样本数</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MSE</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MAE</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ACC</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PCC</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CCC</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R²</w:t>
            </w:r>
          </w:p>
        </w:tc>
      </w:tr>
      <w:tr>
        <w:tc>
          <w:tcPr>
            <w:tcW w:type="dxa" w:w="1154"/>
            <w:tcBorders>
              <w:left w:val="nil"/>
              <w:right w:val="nil"/>
              <w:insideH w:val="nil"/>
              <w:insideV w:val="nil"/>
            </w:tcBorders>
          </w:tcPr>
          <w:p>
            <w:pPr>
              <w:jc w:val="center"/>
            </w:pPr>
            <w:r/>
            <w:r>
              <w:rPr>
                <w:rFonts w:ascii="Times New Roman" w:hAnsi="Times New Roman" w:eastAsia="宋体"/>
                <w:b w:val="0"/>
                <w:sz w:val="20"/>
              </w:rPr>
              <w:t>初始全量 baseline</w:t>
            </w:r>
          </w:p>
        </w:tc>
        <w:tc>
          <w:tcPr>
            <w:tcW w:type="dxa" w:w="1154"/>
            <w:tcBorders>
              <w:left w:val="nil"/>
              <w:right w:val="nil"/>
              <w:insideH w:val="nil"/>
              <w:insideV w:val="nil"/>
            </w:tcBorders>
          </w:tcPr>
          <w:p>
            <w:pPr>
              <w:jc w:val="center"/>
            </w:pPr>
            <w:r/>
            <w:r>
              <w:rPr>
                <w:rFonts w:ascii="Times New Roman" w:hAnsi="Times New Roman" w:eastAsia="宋体"/>
                <w:b w:val="0"/>
                <w:sz w:val="20"/>
              </w:rPr>
              <w:t>2000</w:t>
            </w:r>
          </w:p>
        </w:tc>
        <w:tc>
          <w:tcPr>
            <w:tcW w:type="dxa" w:w="1154"/>
            <w:tcBorders>
              <w:left w:val="nil"/>
              <w:right w:val="nil"/>
              <w:insideH w:val="nil"/>
              <w:insideV w:val="nil"/>
            </w:tcBorders>
          </w:tcPr>
          <w:p>
            <w:pPr>
              <w:jc w:val="center"/>
            </w:pPr>
            <w:r/>
            <w:r>
              <w:rPr>
                <w:rFonts w:ascii="Times New Roman" w:hAnsi="Times New Roman" w:eastAsia="宋体"/>
                <w:b w:val="0"/>
                <w:sz w:val="20"/>
              </w:rPr>
              <w:t>0.0199</w:t>
            </w:r>
          </w:p>
        </w:tc>
        <w:tc>
          <w:tcPr>
            <w:tcW w:type="dxa" w:w="1154"/>
            <w:tcBorders>
              <w:left w:val="nil"/>
              <w:right w:val="nil"/>
              <w:insideH w:val="nil"/>
              <w:insideV w:val="nil"/>
            </w:tcBorders>
          </w:tcPr>
          <w:p>
            <w:pPr>
              <w:jc w:val="center"/>
            </w:pPr>
            <w:r/>
            <w:r>
              <w:rPr>
                <w:rFonts w:ascii="Times New Roman" w:hAnsi="Times New Roman" w:eastAsia="宋体"/>
                <w:b w:val="0"/>
                <w:sz w:val="20"/>
              </w:rPr>
              <w:t>0.1136</w:t>
            </w:r>
          </w:p>
        </w:tc>
        <w:tc>
          <w:tcPr>
            <w:tcW w:type="dxa" w:w="1154"/>
            <w:tcBorders>
              <w:left w:val="nil"/>
              <w:right w:val="nil"/>
              <w:insideH w:val="nil"/>
              <w:insideV w:val="nil"/>
            </w:tcBorders>
          </w:tcPr>
          <w:p>
            <w:pPr>
              <w:jc w:val="center"/>
            </w:pPr>
            <w:r/>
            <w:r>
              <w:rPr>
                <w:rFonts w:ascii="Times New Roman" w:hAnsi="Times New Roman" w:eastAsia="宋体"/>
                <w:b w:val="0"/>
                <w:sz w:val="20"/>
              </w:rPr>
              <w:t>0.8864</w:t>
            </w:r>
          </w:p>
        </w:tc>
        <w:tc>
          <w:tcPr>
            <w:tcW w:type="dxa" w:w="1154"/>
            <w:tcBorders>
              <w:left w:val="nil"/>
              <w:right w:val="nil"/>
              <w:insideH w:val="nil"/>
              <w:insideV w:val="nil"/>
            </w:tcBorders>
          </w:tcPr>
          <w:p>
            <w:pPr>
              <w:jc w:val="center"/>
            </w:pPr>
            <w:r/>
            <w:r>
              <w:rPr>
                <w:rFonts w:ascii="Times New Roman" w:hAnsi="Times New Roman" w:eastAsia="宋体"/>
                <w:b w:val="0"/>
                <w:sz w:val="20"/>
              </w:rPr>
              <w:t>0.3422</w:t>
            </w:r>
          </w:p>
        </w:tc>
        <w:tc>
          <w:tcPr>
            <w:tcW w:type="dxa" w:w="1154"/>
            <w:tcBorders>
              <w:left w:val="nil"/>
              <w:right w:val="nil"/>
              <w:insideH w:val="nil"/>
              <w:insideV w:val="nil"/>
            </w:tcBorders>
          </w:tcPr>
          <w:p>
            <w:pPr>
              <w:jc w:val="center"/>
            </w:pPr>
            <w:r/>
            <w:r>
              <w:rPr>
                <w:rFonts w:ascii="Times New Roman" w:hAnsi="Times New Roman" w:eastAsia="宋体"/>
                <w:b w:val="0"/>
                <w:sz w:val="20"/>
              </w:rPr>
              <w:t>0.1925</w:t>
            </w:r>
          </w:p>
        </w:tc>
        <w:tc>
          <w:tcPr>
            <w:tcW w:type="dxa" w:w="1154"/>
            <w:tcBorders>
              <w:left w:val="nil"/>
              <w:right w:val="nil"/>
              <w:insideH w:val="nil"/>
              <w:insideV w:val="nil"/>
            </w:tcBorders>
          </w:tcPr>
          <w:p>
            <w:pPr>
              <w:jc w:val="center"/>
            </w:pPr>
            <w:r/>
            <w:r>
              <w:rPr>
                <w:rFonts w:ascii="Times New Roman" w:hAnsi="Times New Roman" w:eastAsia="宋体"/>
                <w:b w:val="0"/>
                <w:sz w:val="20"/>
              </w:rPr>
              <w:t>0.1154</w:t>
            </w:r>
          </w:p>
        </w:tc>
      </w:tr>
      <w:tr>
        <w:tc>
          <w:tcPr>
            <w:tcW w:type="dxa" w:w="1154"/>
            <w:tcBorders>
              <w:left w:val="nil"/>
              <w:right w:val="nil"/>
              <w:insideH w:val="nil"/>
              <w:insideV w:val="nil"/>
            </w:tcBorders>
          </w:tcPr>
          <w:p>
            <w:pPr>
              <w:jc w:val="center"/>
            </w:pPr>
            <w:r/>
            <w:r>
              <w:rPr>
                <w:rFonts w:ascii="Times New Roman" w:hAnsi="Times New Roman" w:eastAsia="宋体"/>
                <w:b w:val="0"/>
                <w:sz w:val="20"/>
              </w:rPr>
              <w:t>lr1e-4 / dropout 0.2</w:t>
            </w:r>
          </w:p>
        </w:tc>
        <w:tc>
          <w:tcPr>
            <w:tcW w:type="dxa" w:w="1154"/>
            <w:tcBorders>
              <w:left w:val="nil"/>
              <w:right w:val="nil"/>
              <w:insideH w:val="nil"/>
              <w:insideV w:val="nil"/>
            </w:tcBorders>
          </w:tcPr>
          <w:p>
            <w:pPr>
              <w:jc w:val="center"/>
            </w:pPr>
            <w:r/>
            <w:r>
              <w:rPr>
                <w:rFonts w:ascii="Times New Roman" w:hAnsi="Times New Roman" w:eastAsia="宋体"/>
                <w:b w:val="0"/>
                <w:sz w:val="20"/>
              </w:rPr>
              <w:t>2000</w:t>
            </w:r>
          </w:p>
        </w:tc>
        <w:tc>
          <w:tcPr>
            <w:tcW w:type="dxa" w:w="1154"/>
            <w:tcBorders>
              <w:left w:val="nil"/>
              <w:right w:val="nil"/>
              <w:insideH w:val="nil"/>
              <w:insideV w:val="nil"/>
            </w:tcBorders>
          </w:tcPr>
          <w:p>
            <w:pPr>
              <w:jc w:val="center"/>
            </w:pPr>
            <w:r/>
            <w:r>
              <w:rPr>
                <w:rFonts w:ascii="Times New Roman" w:hAnsi="Times New Roman" w:eastAsia="宋体"/>
                <w:b w:val="0"/>
                <w:sz w:val="20"/>
              </w:rPr>
              <w:t>0.0115</w:t>
            </w:r>
          </w:p>
        </w:tc>
        <w:tc>
          <w:tcPr>
            <w:tcW w:type="dxa" w:w="1154"/>
            <w:tcBorders>
              <w:left w:val="nil"/>
              <w:right w:val="nil"/>
              <w:insideH w:val="nil"/>
              <w:insideV w:val="nil"/>
            </w:tcBorders>
          </w:tcPr>
          <w:p>
            <w:pPr>
              <w:jc w:val="center"/>
            </w:pPr>
            <w:r/>
            <w:r>
              <w:rPr>
                <w:rFonts w:ascii="Times New Roman" w:hAnsi="Times New Roman" w:eastAsia="宋体"/>
                <w:b w:val="0"/>
                <w:sz w:val="20"/>
              </w:rPr>
              <w:t>0.0861</w:t>
            </w:r>
          </w:p>
        </w:tc>
        <w:tc>
          <w:tcPr>
            <w:tcW w:type="dxa" w:w="1154"/>
            <w:tcBorders>
              <w:left w:val="nil"/>
              <w:right w:val="nil"/>
              <w:insideH w:val="nil"/>
              <w:insideV w:val="nil"/>
            </w:tcBorders>
          </w:tcPr>
          <w:p>
            <w:pPr>
              <w:jc w:val="center"/>
            </w:pPr>
            <w:r/>
            <w:r>
              <w:rPr>
                <w:rFonts w:ascii="Times New Roman" w:hAnsi="Times New Roman" w:eastAsia="宋体"/>
                <w:b w:val="0"/>
                <w:sz w:val="20"/>
              </w:rPr>
              <w:t>0.9139</w:t>
            </w:r>
          </w:p>
        </w:tc>
        <w:tc>
          <w:tcPr>
            <w:tcW w:type="dxa" w:w="1154"/>
            <w:tcBorders>
              <w:left w:val="nil"/>
              <w:right w:val="nil"/>
              <w:insideH w:val="nil"/>
              <w:insideV w:val="nil"/>
            </w:tcBorders>
          </w:tcPr>
          <w:p>
            <w:pPr>
              <w:jc w:val="center"/>
            </w:pPr>
            <w:r/>
            <w:r>
              <w:rPr>
                <w:rFonts w:ascii="Times New Roman" w:hAnsi="Times New Roman" w:eastAsia="宋体"/>
                <w:b w:val="0"/>
                <w:sz w:val="20"/>
              </w:rPr>
              <w:t>0.7062</w:t>
            </w:r>
          </w:p>
        </w:tc>
        <w:tc>
          <w:tcPr>
            <w:tcW w:type="dxa" w:w="1154"/>
            <w:tcBorders>
              <w:left w:val="nil"/>
              <w:right w:val="nil"/>
              <w:insideH w:val="nil"/>
              <w:insideV w:val="nil"/>
            </w:tcBorders>
          </w:tcPr>
          <w:p>
            <w:pPr>
              <w:jc w:val="center"/>
            </w:pPr>
            <w:r/>
            <w:r>
              <w:rPr>
                <w:rFonts w:ascii="Times New Roman" w:hAnsi="Times New Roman" w:eastAsia="宋体"/>
                <w:b w:val="0"/>
                <w:sz w:val="20"/>
              </w:rPr>
              <w:t>0.6327</w:t>
            </w:r>
          </w:p>
        </w:tc>
        <w:tc>
          <w:tcPr>
            <w:tcW w:type="dxa" w:w="1154"/>
            <w:tcBorders>
              <w:left w:val="nil"/>
              <w:right w:val="nil"/>
              <w:insideH w:val="nil"/>
              <w:insideV w:val="nil"/>
            </w:tcBorders>
          </w:tcPr>
          <w:p>
            <w:pPr>
              <w:jc w:val="center"/>
            </w:pPr>
            <w:r/>
            <w:r>
              <w:rPr>
                <w:rFonts w:ascii="Times New Roman" w:hAnsi="Times New Roman" w:eastAsia="宋体"/>
                <w:b w:val="0"/>
                <w:sz w:val="20"/>
              </w:rPr>
              <w:t>0.4881</w:t>
            </w:r>
          </w:p>
        </w:tc>
      </w:tr>
      <w:tr>
        <w:tc>
          <w:tcPr>
            <w:tcW w:type="dxa" w:w="1154"/>
            <w:tcBorders>
              <w:left w:val="nil"/>
              <w:right w:val="nil"/>
              <w:insideH w:val="nil"/>
              <w:insideV w:val="nil"/>
            </w:tcBorders>
          </w:tcPr>
          <w:p>
            <w:pPr>
              <w:jc w:val="center"/>
            </w:pPr>
            <w:r/>
            <w:r>
              <w:rPr>
                <w:rFonts w:ascii="Times New Roman" w:hAnsi="Times New Roman" w:eastAsia="宋体"/>
                <w:b w:val="0"/>
                <w:sz w:val="20"/>
              </w:rPr>
              <w:t>lr1e-4 / dropout 0.3</w:t>
            </w:r>
          </w:p>
        </w:tc>
        <w:tc>
          <w:tcPr>
            <w:tcW w:type="dxa" w:w="1154"/>
            <w:tcBorders>
              <w:left w:val="nil"/>
              <w:right w:val="nil"/>
              <w:insideH w:val="nil"/>
              <w:insideV w:val="nil"/>
            </w:tcBorders>
          </w:tcPr>
          <w:p>
            <w:pPr>
              <w:jc w:val="center"/>
            </w:pPr>
            <w:r/>
            <w:r>
              <w:rPr>
                <w:rFonts w:ascii="Times New Roman" w:hAnsi="Times New Roman" w:eastAsia="宋体"/>
                <w:b w:val="0"/>
                <w:sz w:val="20"/>
              </w:rPr>
              <w:t>2000</w:t>
            </w:r>
          </w:p>
        </w:tc>
        <w:tc>
          <w:tcPr>
            <w:tcW w:type="dxa" w:w="1154"/>
            <w:tcBorders>
              <w:left w:val="nil"/>
              <w:right w:val="nil"/>
              <w:insideH w:val="nil"/>
              <w:insideV w:val="nil"/>
            </w:tcBorders>
          </w:tcPr>
          <w:p>
            <w:pPr>
              <w:jc w:val="center"/>
            </w:pPr>
            <w:r/>
            <w:r>
              <w:rPr>
                <w:rFonts w:ascii="Times New Roman" w:hAnsi="Times New Roman" w:eastAsia="宋体"/>
                <w:b w:val="0"/>
                <w:sz w:val="20"/>
              </w:rPr>
              <w:t>0.0122</w:t>
            </w:r>
          </w:p>
        </w:tc>
        <w:tc>
          <w:tcPr>
            <w:tcW w:type="dxa" w:w="1154"/>
            <w:tcBorders>
              <w:left w:val="nil"/>
              <w:right w:val="nil"/>
              <w:insideH w:val="nil"/>
              <w:insideV w:val="nil"/>
            </w:tcBorders>
          </w:tcPr>
          <w:p>
            <w:pPr>
              <w:jc w:val="center"/>
            </w:pPr>
            <w:r/>
            <w:r>
              <w:rPr>
                <w:rFonts w:ascii="Times New Roman" w:hAnsi="Times New Roman" w:eastAsia="宋体"/>
                <w:b w:val="0"/>
                <w:sz w:val="20"/>
              </w:rPr>
              <w:t>0.0885</w:t>
            </w:r>
          </w:p>
        </w:tc>
        <w:tc>
          <w:tcPr>
            <w:tcW w:type="dxa" w:w="1154"/>
            <w:tcBorders>
              <w:left w:val="nil"/>
              <w:right w:val="nil"/>
              <w:insideH w:val="nil"/>
              <w:insideV w:val="nil"/>
            </w:tcBorders>
          </w:tcPr>
          <w:p>
            <w:pPr>
              <w:jc w:val="center"/>
            </w:pPr>
            <w:r/>
            <w:r>
              <w:rPr>
                <w:rFonts w:ascii="Times New Roman" w:hAnsi="Times New Roman" w:eastAsia="宋体"/>
                <w:b w:val="0"/>
                <w:sz w:val="20"/>
              </w:rPr>
              <w:t>0.9115</w:t>
            </w:r>
          </w:p>
        </w:tc>
        <w:tc>
          <w:tcPr>
            <w:tcW w:type="dxa" w:w="1154"/>
            <w:tcBorders>
              <w:left w:val="nil"/>
              <w:right w:val="nil"/>
              <w:insideH w:val="nil"/>
              <w:insideV w:val="nil"/>
            </w:tcBorders>
          </w:tcPr>
          <w:p>
            <w:pPr>
              <w:jc w:val="center"/>
            </w:pPr>
            <w:r/>
            <w:r>
              <w:rPr>
                <w:rFonts w:ascii="Times New Roman" w:hAnsi="Times New Roman" w:eastAsia="宋体"/>
                <w:b w:val="0"/>
                <w:sz w:val="20"/>
              </w:rPr>
              <w:t>0.7062</w:t>
            </w:r>
          </w:p>
        </w:tc>
        <w:tc>
          <w:tcPr>
            <w:tcW w:type="dxa" w:w="1154"/>
            <w:tcBorders>
              <w:left w:val="nil"/>
              <w:right w:val="nil"/>
              <w:insideH w:val="nil"/>
              <w:insideV w:val="nil"/>
            </w:tcBorders>
          </w:tcPr>
          <w:p>
            <w:pPr>
              <w:jc w:val="center"/>
            </w:pPr>
            <w:r/>
            <w:r>
              <w:rPr>
                <w:rFonts w:ascii="Times New Roman" w:hAnsi="Times New Roman" w:eastAsia="宋体"/>
                <w:b w:val="0"/>
                <w:sz w:val="20"/>
              </w:rPr>
              <w:t>0.5776</w:t>
            </w:r>
          </w:p>
        </w:tc>
        <w:tc>
          <w:tcPr>
            <w:tcW w:type="dxa" w:w="1154"/>
            <w:tcBorders>
              <w:left w:val="nil"/>
              <w:right w:val="nil"/>
              <w:insideH w:val="nil"/>
              <w:insideV w:val="nil"/>
            </w:tcBorders>
          </w:tcPr>
          <w:p>
            <w:pPr>
              <w:jc w:val="center"/>
            </w:pPr>
            <w:r/>
            <w:r>
              <w:rPr>
                <w:rFonts w:ascii="Times New Roman" w:hAnsi="Times New Roman" w:eastAsia="宋体"/>
                <w:b w:val="0"/>
                <w:sz w:val="20"/>
              </w:rPr>
              <w:t>0.4609</w:t>
            </w:r>
          </w:p>
        </w:tc>
      </w:tr>
      <w:tr>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lr2e-4 / dropout 0.3</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2000</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0.0131</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0.0916</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0.9084</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0.6684</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0.5410</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0.4196</w:t>
            </w:r>
          </w:p>
        </w:tc>
      </w:tr>
    </w:tbl>
    <w:p>
      <w:pPr>
        <w:spacing w:line="360" w:lineRule="auto" w:before="0" w:after="120"/>
        <w:ind w:firstLine="480"/>
      </w:pPr>
      <w:r>
        <w:rPr>
          <w:rFonts w:ascii="Times New Roman" w:hAnsi="Times New Roman" w:eastAsia="宋体"/>
          <w:sz w:val="24"/>
        </w:rPr>
        <w:t>从表中可以看到，lr1e-4 / dropout 0.2 在 MAE、CCC 和 R² 上表现最好，因此被固定为在线默认版本。它的 PCC=0.7062 接近参考论文在 CFI-V2 上报告的 PCC=0.7267，但 CCC 和 R² 仍低于论文完整方法。这个差距说明当前结果可以作为工程 baseline 和系统接入结果，不能写成严格复现了原论文全部性能。</w:t>
      </w:r>
    </w:p>
    <w:p>
      <w:pPr>
        <w:spacing w:line="360" w:lineRule="auto" w:before="0" w:after="120"/>
        <w:ind w:firstLine="480"/>
      </w:pPr>
      <w:r>
        <w:rPr>
          <w:rFonts w:ascii="Times New Roman" w:hAnsi="Times New Roman" w:eastAsia="宋体"/>
          <w:sz w:val="24"/>
        </w:rPr>
        <w:t>在线 smoke 验证进一步确认了服务接入。归档样本返回 openness=0.4708、conscientiousness=0.4182、extraversion=0.3815、agreeableness=0.4902、neuroticism=0.3939。这个结果不是为了证明单个样本“人格正确”，而是证明线上服务已经能调用真实 checkpoint，并把结果保存为大五人格报告。</w:t>
      </w:r>
    </w:p>
    <w:p>
      <w:pPr>
        <w:pStyle w:val="Heading2"/>
      </w:pPr>
      <w:r>
        <w:t>5.5 结果分析与讨论</w:t>
      </w:r>
    </w:p>
    <w:p>
      <w:pPr>
        <w:spacing w:line="360" w:lineRule="auto" w:before="0" w:after="120"/>
        <w:ind w:firstLine="480"/>
      </w:pPr>
      <w:r>
        <w:rPr>
          <w:rFonts w:ascii="Times New Roman" w:hAnsi="Times New Roman" w:eastAsia="宋体"/>
          <w:sz w:val="24"/>
        </w:rPr>
        <w:t>从实验结果看，多模态子系统已经完成从占位接口到真实推理的转变。最初系统只能返回固定 0.50，适合前端联调，但无法支撑论文实验。现在从 CFI-V2 数据、特征、bundle、训练、评估到在线报告已经形成链路，调参版本也比初始 baseline 有明显提升。</w:t>
      </w:r>
    </w:p>
    <w:p>
      <w:pPr>
        <w:spacing w:line="360" w:lineRule="auto" w:before="0" w:after="120"/>
        <w:ind w:firstLine="480"/>
      </w:pPr>
      <w:r>
        <w:rPr>
          <w:rFonts w:ascii="Times New Roman" w:hAnsi="Times New Roman" w:eastAsia="宋体"/>
          <w:sz w:val="24"/>
        </w:rPr>
        <w:t>不过，当前结果仍有边界。第一，在线 checkpoint 仍主要对应旧的 bg_features 零填充版本。虽然工程版 256 维 bg_features 已经实现，但要想写成正式对照，还需要重新生成 bundle 并重训。第二，AGTN-MTL 模型结构保留了辅助头，但多任务损失没有完整复现。第三，随机种子、单模态消融和多模态消融仍不足，不能过度解释每个模块的贡献。</w:t>
      </w:r>
    </w:p>
    <w:p>
      <w:pPr>
        <w:spacing w:line="360" w:lineRule="auto" w:before="0" w:after="120"/>
        <w:ind w:firstLine="480"/>
      </w:pPr>
      <w:r>
        <w:rPr>
          <w:rFonts w:ascii="Times New Roman" w:hAnsi="Times New Roman" w:eastAsia="宋体"/>
          <w:sz w:val="24"/>
        </w:rPr>
        <w:t>系统接入层面的价值在于，大五人格结果已经进入用户可见流程。历史页能看到大五报告，报告页能看到雷达图和模型版本，聊天页能把大五报告作为上下文。也就是说，多模态结果不再只是一张实验表，而是已经变成系统功能的一部分。</w:t>
      </w:r>
    </w:p>
    <w:p>
      <w:pPr>
        <w:spacing w:line="360" w:lineRule="auto" w:before="0" w:after="120"/>
        <w:ind w:firstLine="480"/>
      </w:pPr>
      <w:r>
        <w:rPr>
          <w:rFonts w:ascii="Times New Roman" w:hAnsi="Times New Roman" w:eastAsia="宋体"/>
          <w:sz w:val="24"/>
        </w:rPr>
        <w:t>ATMR 与 Big Five 的关系仍然要谨慎。ATMR 来自问卷自陈，Big Five 来自视频外显线索。两者可以相互启发，但不能互相证明。本文只做并列呈现，后续若要研究一致性，需要收集同一用户的问卷、视频和人工评估数据，并设计单独的统计分析。</w:t>
      </w:r>
    </w:p>
    <w:p>
      <w:pPr>
        <w:pStyle w:val="Heading2"/>
      </w:pPr>
      <w:r>
        <w:t>5.6 系统不足与改进方向</w:t>
      </w:r>
    </w:p>
    <w:p>
      <w:pPr>
        <w:spacing w:line="360" w:lineRule="auto" w:before="0" w:after="120"/>
        <w:ind w:firstLine="480"/>
      </w:pPr>
      <w:r>
        <w:rPr>
          <w:rFonts w:ascii="Times New Roman" w:hAnsi="Times New Roman" w:eastAsia="宋体"/>
          <w:sz w:val="24"/>
        </w:rPr>
        <w:t>当前系统最明显的不足是后台任务还不够正式。多模态任务现在主要依赖服务层、本地任务记录和后台线程，适合本地演示；如果要多人同时使用，需要引入任务队列、失败重试、资源限制和更清晰的任务日志。</w:t>
      </w:r>
    </w:p>
    <w:p>
      <w:pPr>
        <w:spacing w:line="360" w:lineRule="auto" w:before="0" w:after="120"/>
        <w:ind w:firstLine="480"/>
      </w:pPr>
      <w:r>
        <w:rPr>
          <w:rFonts w:ascii="Times New Roman" w:hAnsi="Times New Roman" w:eastAsia="宋体"/>
          <w:sz w:val="24"/>
        </w:rPr>
        <w:t>第二个不足是多模态实验还需要继续补。下一步最直接的工作是用新 bg_features 重新生成 bundle，训练一版与零填充版本的对照；随后补单模态消融、多模态消融、多任务损失和多随机种子。只有这些实验完成后，第四章模型结构和第五章结果分析才能更有说服力。</w:t>
      </w:r>
    </w:p>
    <w:p>
      <w:pPr>
        <w:spacing w:line="360" w:lineRule="auto" w:before="0" w:after="120"/>
        <w:ind w:firstLine="480"/>
      </w:pPr>
      <w:r>
        <w:rPr>
          <w:rFonts w:ascii="Times New Roman" w:hAnsi="Times New Roman" w:eastAsia="宋体"/>
          <w:sz w:val="24"/>
        </w:rPr>
        <w:t>第三个不足是报告文本仍需人工打磨。当前系统已经有 RAG 和多智能体辩论，但心理测评报告不能只追求完整，还要避免标签化、过度确定和诊断化。后续可以把报告拆成“事实、解释、建议、边界”几层，并增加用户可理解的失败提示。</w:t>
      </w:r>
    </w:p>
    <w:p>
      <w:pPr>
        <w:spacing w:line="360" w:lineRule="auto" w:before="0" w:after="120"/>
        <w:ind w:firstLine="480"/>
      </w:pPr>
      <w:r>
        <w:rPr>
          <w:rFonts w:ascii="Times New Roman" w:hAnsi="Times New Roman" w:eastAsia="宋体"/>
          <w:sz w:val="24"/>
        </w:rPr>
        <w:t>第四个不足是隐私治理。问卷答案、聊天记录、上传视频和人格报告都属于敏感数据。当前项目已经做了用户所有权校验和随机文件名保存，但正式部署还需要补充访问审计、日志脱敏、文件删除和用户撤回机制。</w:t>
      </w:r>
    </w:p>
    <w:p>
      <w:pPr>
        <w:pStyle w:val="Heading2"/>
      </w:pPr>
      <w:r>
        <w:t>5.7 本章小结</w:t>
      </w:r>
    </w:p>
    <w:p>
      <w:pPr>
        <w:spacing w:line="360" w:lineRule="auto" w:before="0" w:after="120"/>
        <w:ind w:firstLine="480"/>
      </w:pPr>
      <w:r>
        <w:rPr>
          <w:rFonts w:ascii="Times New Roman" w:hAnsi="Times New Roman" w:eastAsia="宋体"/>
          <w:sz w:val="24"/>
        </w:rPr>
        <w:t>本章对系统测试和多模态实验进行了分析。在线主系统已经具备完整测评闭环，多模态子系统完成小样本验证、全量 baseline、调参和在线 smoke 验证。当前结果能够支撑毕业设计论文的系统实现和实验分析，但仍需在消融实验、任务队列、隐私保护和报告解释质量方面继续完善。</w:t>
      </w:r>
    </w:p>
    <w:p>
      <w:pPr>
        <w:pStyle w:val="Heading2"/>
      </w:pPr>
      <w:r>
        <w:t>5.8 伦理边界与应用风险分析</w:t>
      </w:r>
    </w:p>
    <w:p>
      <w:pPr>
        <w:spacing w:line="360" w:lineRule="auto" w:before="0" w:after="120"/>
        <w:ind w:firstLine="480"/>
      </w:pPr>
      <w:r>
        <w:rPr>
          <w:rFonts w:ascii="Times New Roman" w:hAnsi="Times New Roman" w:eastAsia="宋体"/>
          <w:sz w:val="24"/>
        </w:rPr>
        <w:t>心理测评系统天然涉及用户的自我认知、情绪状态和人格倾向，因此不能只从技术性能角度评价系统。即使模型指标较好，系统也不应给出医学诊断、就业筛选或人格定性的绝对判断。本文将系统定位为非临床辅助分析工具，所有报告都应服务于自我理解和后续咨询，而不是替代专业心理评估。</w:t>
      </w:r>
    </w:p>
    <w:p>
      <w:pPr>
        <w:spacing w:line="360" w:lineRule="auto" w:before="0" w:after="120"/>
        <w:ind w:firstLine="480"/>
      </w:pPr>
      <w:r>
        <w:rPr>
          <w:rFonts w:ascii="Times New Roman" w:hAnsi="Times New Roman" w:eastAsia="宋体"/>
          <w:sz w:val="24"/>
        </w:rPr>
        <w:t>视频多模态人格预测还涉及额外风险。视频中的光照、镜头角度、背景噪声、说话主题、拍摄设备和用户临场状态都会影响模型输出。某个视频片段不能代表用户长期稳定人格，更不能被用于脱离语境的标签化判断。因此，系统在大五报告中保留模型版本、来源文件和结果性质，并将其作为“视频多模态线索”而非最终人格结论。</w:t>
      </w:r>
    </w:p>
    <w:p>
      <w:pPr>
        <w:spacing w:line="360" w:lineRule="auto" w:before="0" w:after="120"/>
        <w:ind w:firstLine="480"/>
      </w:pPr>
      <w:r>
        <w:rPr>
          <w:rFonts w:ascii="Times New Roman" w:hAnsi="Times New Roman" w:eastAsia="宋体"/>
          <w:sz w:val="24"/>
        </w:rPr>
        <w:t>隐私保护同样需要重视。问卷答案、聊天记录、上传视频和人格报告都属于敏感数据。正式部署时，系统应提供更明确的数据保留策略、用户删除入口、文件访问控制和日志脱敏机制。当前毕业设计版本已经在用户所有权校验和随机文件名保存方面做了基础处理，但仍需要在论文后续版本中补充更完整的数据安全方案。</w:t>
      </w:r>
    </w:p>
    <w:p>
      <w:pPr>
        <w:spacing w:line="360" w:lineRule="auto" w:before="0" w:after="120"/>
        <w:ind w:firstLine="480"/>
      </w:pPr>
      <w:r>
        <w:rPr>
          <w:rFonts w:ascii="Times New Roman" w:hAnsi="Times New Roman" w:eastAsia="宋体"/>
          <w:sz w:val="24"/>
        </w:rPr>
        <w:t>算法公平性也是潜在问题。多模态模型若主要在特定数据集、语言环境或文化背景下训练，可能对其他群体表现不稳定。因此，本文不将模型输出推广到所有场景，只在当前实验数据和工程条件下讨论其可用性。后续若要面向更广泛用户，应进行跨数据集、跨人群和跨场景验证。</w:t>
      </w:r>
    </w:p>
    <w:p>
      <w:pPr>
        <w:spacing w:line="360" w:lineRule="auto" w:before="0" w:after="120"/>
        <w:ind w:firstLine="480"/>
      </w:pPr>
      <w:r>
        <w:rPr>
          <w:rFonts w:ascii="Times New Roman" w:hAnsi="Times New Roman" w:eastAsia="宋体"/>
          <w:sz w:val="24"/>
        </w:rPr>
        <w:t>从产品设计角度看，系统应鼓励用户把测评报告当作讨论材料，而不是人格标签。聊天咨询功能可以帮助用户围绕报告内容继续提问，但回答中也应提醒用户结合现实经历、长期表现和必要时的专业支持。这样的边界意识，是智能心理测评系统能否负责任落地的重要前提。</w:t>
      </w:r>
    </w:p>
    <w:p>
      <w:pPr>
        <w:pStyle w:val="Heading2"/>
      </w:pPr>
      <w:r>
        <w:t>5.9 本轮论文修订说明</w:t>
      </w:r>
    </w:p>
    <w:p>
      <w:pPr>
        <w:spacing w:line="360" w:lineRule="auto" w:before="0" w:after="120"/>
        <w:ind w:firstLine="480"/>
      </w:pPr>
      <w:r>
        <w:rPr>
          <w:rFonts w:ascii="Times New Roman" w:hAnsi="Times New Roman" w:eastAsia="宋体"/>
          <w:sz w:val="24"/>
        </w:rPr>
        <w:t>根据 AIGC 检测报告，本轮修订把过于均匀的标准论文表达改为更贴近项目过程的写法。修改重点包括：把“系统采用某技术”的句式改为具体文件和接口说明；把“结果表明”后面的结论限制在已有实验范围内；把“系统不足”写成下一步可以执行的任务，而不是泛泛列出安全性、可扩展性等词语。</w:t>
      </w:r>
    </w:p>
    <w:p>
      <w:pPr>
        <w:spacing w:line="360" w:lineRule="auto" w:before="0" w:after="120"/>
        <w:ind w:firstLine="480"/>
      </w:pPr>
      <w:r>
        <w:rPr>
          <w:rFonts w:ascii="Times New Roman" w:hAnsi="Times New Roman" w:eastAsia="宋体"/>
          <w:sz w:val="24"/>
        </w:rPr>
        <w:t>本轮没有新增任何实验数值，也没有把未完成的 bg_features 重训、多任务损失和消融实验写成既有成果。这样处理的目的不是改变论文结论，而是让论文更接近真实开发记录：哪些已经做完，哪些只是预留，哪些仍然需要补。</w:t>
      </w:r>
    </w:p>
    <w:p>
      <w:pPr>
        <w:sectPr>
          <w:pgSz w:w="12240" w:h="15840"/>
          <w:pgMar w:top="1587" w:right="1417" w:bottom="1417" w:left="1587" w:header="720" w:footer="720" w:gutter="0"/>
          <w:cols w:space="720"/>
          <w:docGrid w:linePitch="360"/>
        </w:sectPr>
      </w:pPr>
    </w:p>
    <w:p>
      <w:pPr>
        <w:pStyle w:val="Heading1"/>
      </w:pPr>
      <w:r>
        <w:t>第6章 总结与展望</w:t>
      </w:r>
    </w:p>
    <w:p>
      <w:pPr>
        <w:pStyle w:val="Heading2"/>
      </w:pPr>
      <w:r>
        <w:t>6.1 工作总结</w:t>
      </w:r>
    </w:p>
    <w:p>
      <w:pPr>
        <w:spacing w:line="360" w:lineRule="auto" w:before="0" w:after="120"/>
        <w:ind w:firstLine="480"/>
      </w:pPr>
      <w:r>
        <w:rPr>
          <w:rFonts w:ascii="Times New Roman" w:hAnsi="Times New Roman" w:eastAsia="宋体"/>
          <w:sz w:val="24"/>
        </w:rPr>
        <w:t>本文完成的工作可以用一条实际开发线索概括：先把 ATMR 问卷主流程做成可恢复、可提交、可出报告的在线系统，再把视频多模态人格预测从离线脚本接入到用户可见的大五人格报告，最后让两类报告在历史页和聊天页中并列使用。这个过程涉及前端页面、后端接口、数据库记录、RAG 知识库、多智能体辩论和多模态训练评估多个部分。</w:t>
      </w:r>
    </w:p>
    <w:p>
      <w:pPr>
        <w:spacing w:line="360" w:lineRule="auto" w:before="0" w:after="120"/>
        <w:ind w:firstLine="480"/>
      </w:pPr>
      <w:r>
        <w:rPr>
          <w:rFonts w:ascii="Times New Roman" w:hAnsi="Times New Roman" w:eastAsia="宋体"/>
          <w:sz w:val="24"/>
        </w:rPr>
        <w:t>ATMR 主线已经支持用户注册登录、测评草稿、断点续答、阶段作答、历史记录、报告展示和 AI 咨询。自适应选题根据已答题目和能力估计选择候选题，异常检测记录明显过快作答，多智能体辩论和 RAG 用于生成更有依据的报告解释。</w:t>
      </w:r>
    </w:p>
    <w:p>
      <w:pPr>
        <w:spacing w:line="360" w:lineRule="auto" w:before="0" w:after="120"/>
        <w:ind w:firstLine="480"/>
      </w:pPr>
      <w:r>
        <w:rPr>
          <w:rFonts w:ascii="Times New Roman" w:hAnsi="Times New Roman" w:eastAsia="宋体"/>
          <w:sz w:val="24"/>
        </w:rPr>
        <w:t>视频多模态辅线完成了 CFI-V2 预处理、CLIP 视觉/文本特征、wav2clip 音频特征、feature bundle、AGTN-MTL baseline 训练、评估和在线推理接入。当前默认 checkpoint 已进入线上服务，测试集指标为 MSE=0.011543、MAE=0.086074、PCC=0.7062、CCC=0.6327、R²=0.4881。</w:t>
      </w:r>
    </w:p>
    <w:p>
      <w:pPr>
        <w:spacing w:line="360" w:lineRule="auto" w:before="0" w:after="120"/>
        <w:ind w:firstLine="480"/>
      </w:pPr>
      <w:r>
        <w:rPr>
          <w:rFonts w:ascii="Times New Roman" w:hAnsi="Times New Roman" w:eastAsia="宋体"/>
          <w:sz w:val="24"/>
        </w:rPr>
        <w:t>系统融合方面，本文没有把 ATMR 与 Big Five 做直接分数融合，而是保留两类报告的来源差异。历史页分区展示，聊天页让用户自主选择上下文。这种做法没有给出过度确定的心理判断，但能支撑一次完整、可解释的毕业设计演示。</w:t>
      </w:r>
    </w:p>
    <w:p>
      <w:pPr>
        <w:pStyle w:val="Heading2"/>
      </w:pPr>
      <w:r>
        <w:t>6.2 创新点与工程价值</w:t>
      </w:r>
    </w:p>
    <w:p>
      <w:pPr>
        <w:spacing w:line="360" w:lineRule="auto" w:before="0" w:after="120"/>
        <w:ind w:firstLine="480"/>
      </w:pPr>
      <w:r>
        <w:rPr>
          <w:rFonts w:ascii="Times New Roman" w:hAnsi="Times New Roman" w:eastAsia="宋体"/>
          <w:sz w:val="24"/>
        </w:rPr>
        <w:t>本文的工程价值首先体现在完整闭环。系统不是只有一个模型或一个页面，而是把登录、答题、异常记录、阶段评审、报告、历史记录和咨询连成了一条可运行路径。这个闭环中每个状态都能在代码中找到对应接口或组件。</w:t>
      </w:r>
    </w:p>
    <w:p>
      <w:pPr>
        <w:spacing w:line="360" w:lineRule="auto" w:before="0" w:after="120"/>
        <w:ind w:firstLine="480"/>
      </w:pPr>
      <w:r>
        <w:rPr>
          <w:rFonts w:ascii="Times New Roman" w:hAnsi="Times New Roman" w:eastAsia="宋体"/>
          <w:sz w:val="24"/>
        </w:rPr>
        <w:t>其次，本文把多模态人格预测从离线实验接到了在线产品流程。AGTN-MTL baseline 的训练结果不仅写在表格中，也通过 MultimodalPersonalityService 进入大五人格报告。模型版本、工件路径、错误信息和 is_real_result 都被保存下来，方便后续复查。</w:t>
      </w:r>
    </w:p>
    <w:p>
      <w:pPr>
        <w:spacing w:line="360" w:lineRule="auto" w:before="0" w:after="120"/>
        <w:ind w:firstLine="480"/>
      </w:pPr>
      <w:r>
        <w:rPr>
          <w:rFonts w:ascii="Times New Roman" w:hAnsi="Times New Roman" w:eastAsia="宋体"/>
          <w:sz w:val="24"/>
        </w:rPr>
        <w:t>第三，系统在融合方式上比较克制。ATMR 和 Big Five 没有被包装成一个“统一人格分数”，而是被当作两条不同来源的证据链。对毕业设计而言，这种取舍比强行做复杂融合更可靠，因为它承认了当前数据和实验的边界。</w:t>
      </w:r>
    </w:p>
    <w:p>
      <w:pPr>
        <w:pStyle w:val="Heading2"/>
      </w:pPr>
      <w:r>
        <w:t>6.3 不足与展望</w:t>
      </w:r>
    </w:p>
    <w:p>
      <w:pPr>
        <w:spacing w:line="360" w:lineRule="auto" w:before="0" w:after="120"/>
        <w:ind w:firstLine="480"/>
      </w:pPr>
      <w:r>
        <w:rPr>
          <w:rFonts w:ascii="Times New Roman" w:hAnsi="Times New Roman" w:eastAsia="宋体"/>
          <w:sz w:val="24"/>
        </w:rPr>
        <w:t>后续工作首先应补多模态实验。当前最值得做的是 bg_features 重训和对照实验，其次是多任务损失、单模态消融、多模态消融和更多随机种子。只有这些内容补齐后，论文才能更细地分析每个模块的实际贡献。</w:t>
      </w:r>
    </w:p>
    <w:p>
      <w:pPr>
        <w:spacing w:line="360" w:lineRule="auto" w:before="0" w:after="120"/>
        <w:ind w:firstLine="480"/>
      </w:pPr>
      <w:r>
        <w:rPr>
          <w:rFonts w:ascii="Times New Roman" w:hAnsi="Times New Roman" w:eastAsia="宋体"/>
          <w:sz w:val="24"/>
        </w:rPr>
        <w:t>其次，应继续治理工程结构。后台任务可以迁移到正式队列，数据库迁移流程需要更规范，上传文件和中间工件需要更完整的清理策略。多用户部署时，还要考虑 GPU 任务排队、失败重试和日志审计。</w:t>
      </w:r>
    </w:p>
    <w:p>
      <w:pPr>
        <w:spacing w:line="360" w:lineRule="auto" w:before="0" w:after="120"/>
        <w:ind w:firstLine="480"/>
      </w:pPr>
      <w:r>
        <w:rPr>
          <w:rFonts w:ascii="Times New Roman" w:hAnsi="Times New Roman" w:eastAsia="宋体"/>
          <w:sz w:val="24"/>
        </w:rPr>
        <w:t>再次，应继续打磨报告解释。心理测评文本不能只追求流畅，还要说明依据、限制和使用边界。未来可以把报告模板拆得更细，让“事实记录、模型解释、行动建议、风险提示”各自承担不同作用。</w:t>
      </w:r>
    </w:p>
    <w:p>
      <w:pPr>
        <w:spacing w:line="360" w:lineRule="auto" w:before="0" w:after="120"/>
        <w:ind w:firstLine="480"/>
      </w:pPr>
      <w:r>
        <w:rPr>
          <w:rFonts w:ascii="Times New Roman" w:hAnsi="Times New Roman" w:eastAsia="宋体"/>
          <w:sz w:val="24"/>
        </w:rPr>
        <w:t>最后，ATMR 与 Big Five 的关系仍有研究空间。当前系统只做并列呈现，未来若有足够真实样本和伦理许可，可以分析问卷自陈与视频外显线索之间的一致性和差异性，再决定是否需要更深层的融合模型。</w:t>
      </w:r>
    </w:p>
    <w:p>
      <w:pPr>
        <w:pStyle w:val="Heading2"/>
      </w:pPr>
      <w:r>
        <w:t>6.4 后续可执行清单</w:t>
      </w:r>
    </w:p>
    <w:p>
      <w:pPr>
        <w:spacing w:line="360" w:lineRule="auto" w:before="0" w:after="120"/>
        <w:ind w:firstLine="480"/>
      </w:pPr>
      <w:r>
        <w:rPr>
          <w:rFonts w:ascii="Times New Roman" w:hAnsi="Times New Roman" w:eastAsia="宋体"/>
          <w:sz w:val="24"/>
        </w:rPr>
        <w:t>结合当前项目状态，后续最直接的清单包括：重新生成带 bg_features 的 bundle；训练一版新 checkpoint 并与旧零填充版本比较；补充单模态消融和多随机种子；把后台任务从线程式执行整理为可重试任务；补充正式学校模板、系统截图、ER 图和接口表；把论文中的“待补充”封面信息替换为真实信息。</w:t>
      </w:r>
    </w:p>
    <w:p>
      <w:pPr>
        <w:spacing w:line="360" w:lineRule="auto" w:before="0" w:after="120"/>
        <w:ind w:firstLine="480"/>
      </w:pPr>
      <w:r>
        <w:rPr>
          <w:rFonts w:ascii="Times New Roman" w:hAnsi="Times New Roman" w:eastAsia="宋体"/>
          <w:sz w:val="24"/>
        </w:rPr>
        <w:t>从论文完善角度看，后续还应把系统运行截图、接口返回示例和测试记录整理成附录材料。这样答辩时可以直接对应到页面、接口和实验文件，也能减少正文中空泛描述的比例。</w:t>
      </w:r>
    </w:p>
    <w:p>
      <w:pPr>
        <w:spacing w:line="360" w:lineRule="auto" w:before="0" w:after="120"/>
        <w:ind w:firstLine="480"/>
      </w:pPr>
      <w:r>
        <w:rPr>
          <w:rFonts w:ascii="Times New Roman" w:hAnsi="Times New Roman" w:eastAsia="宋体"/>
          <w:sz w:val="24"/>
        </w:rPr>
        <w:t>这些任务都能从当前仓库继续推进，不需要重新设计系统。也正因为如此，本文的结论保持在“系统已经形成可演示、可训练、可推理、可接入的毕业设计成果”这一范围内，而不扩大为临床心理测评或完整论文方法复现。</w:t>
      </w:r>
    </w:p>
    <w:p>
      <w:r>
        <w:br w:type="page"/>
      </w:r>
    </w:p>
    <w:p>
      <w:pPr>
        <w:pStyle w:val="Heading1"/>
      </w:pPr>
      <w:r>
        <w:t>参考文献</w:t>
      </w:r>
    </w:p>
    <w:p>
      <w:pPr>
        <w:spacing w:line="360" w:lineRule="auto" w:before="0" w:after="120"/>
      </w:pPr>
      <w:r>
        <w:rPr>
          <w:rFonts w:ascii="Times New Roman" w:hAnsi="Times New Roman" w:eastAsia="宋体"/>
          <w:sz w:val="24"/>
        </w:rPr>
        <w:t>[1] Wang R, Zhao X, Xu X, Hao Y. A multimodal personality prediction framework based on adaptive graph transformer network and multi-task learning[J]. Computer Graphics Forum, 2025, 44(2).</w:t>
      </w:r>
    </w:p>
    <w:p>
      <w:pPr>
        <w:spacing w:line="360" w:lineRule="auto" w:before="0" w:after="120"/>
      </w:pPr>
      <w:r>
        <w:rPr>
          <w:rFonts w:ascii="Times New Roman" w:hAnsi="Times New Roman" w:eastAsia="宋体"/>
          <w:sz w:val="24"/>
        </w:rPr>
        <w:t>[2] Radford A, Kim J W, Hallacy C, et al. Learning transferable visual models from natural language supervision[C]//International Conference on Machine Learning. 2021.</w:t>
      </w:r>
    </w:p>
    <w:p>
      <w:pPr>
        <w:spacing w:line="360" w:lineRule="auto" w:before="0" w:after="120"/>
      </w:pPr>
      <w:r>
        <w:rPr>
          <w:rFonts w:ascii="Times New Roman" w:hAnsi="Times New Roman" w:eastAsia="宋体"/>
          <w:sz w:val="24"/>
        </w:rPr>
        <w:t>[3] Wu H H, Seetharaman P, Kumar K, Bello J P. Wav2CLIP: Learning robust audio representations from CLIP[C]//IEEE International Conference on Acoustics, Speech and Signal Processing. 2022.</w:t>
      </w:r>
    </w:p>
    <w:p>
      <w:pPr>
        <w:spacing w:line="360" w:lineRule="auto" w:before="0" w:after="120"/>
      </w:pPr>
      <w:r>
        <w:rPr>
          <w:rFonts w:ascii="Times New Roman" w:hAnsi="Times New Roman" w:eastAsia="宋体"/>
          <w:sz w:val="24"/>
        </w:rPr>
        <w:t>[4] Vaswani A, Shazeer N, Parmar N, et al. Attention is all you need[C]//Advances in Neural Information Processing Systems. 2017.</w:t>
      </w:r>
    </w:p>
    <w:p>
      <w:pPr>
        <w:spacing w:line="360" w:lineRule="auto" w:before="0" w:after="120"/>
      </w:pPr>
      <w:r>
        <w:rPr>
          <w:rFonts w:ascii="Times New Roman" w:hAnsi="Times New Roman" w:eastAsia="宋体"/>
          <w:sz w:val="24"/>
        </w:rPr>
        <w:t>[5] Costa P T, McCrae R R. Revised NEO Personality Inventory and NEO Five-Factor Inventory Professional Manual[M]. Psychological Assessment Resources, 1992.</w:t>
      </w:r>
    </w:p>
    <w:p>
      <w:pPr>
        <w:spacing w:line="360" w:lineRule="auto" w:before="0" w:after="120"/>
      </w:pPr>
      <w:r>
        <w:rPr>
          <w:rFonts w:ascii="Times New Roman" w:hAnsi="Times New Roman" w:eastAsia="宋体"/>
          <w:sz w:val="24"/>
        </w:rPr>
        <w:t>[6] TestAgent 项目组. ATMR 智能心理测评系统 README[Z]. 2026.</w:t>
      </w:r>
    </w:p>
    <w:p>
      <w:pPr>
        <w:spacing w:line="360" w:lineRule="auto" w:before="0" w:after="120"/>
      </w:pPr>
      <w:r>
        <w:rPr>
          <w:rFonts w:ascii="Times New Roman" w:hAnsi="Times New Roman" w:eastAsia="宋体"/>
          <w:sz w:val="24"/>
        </w:rPr>
        <w:t>[7] TestAgent 项目组. 多模态论文研究与复现成果汇报[Z]. 2026.</w:t>
      </w:r>
    </w:p>
    <w:p>
      <w:pPr>
        <w:spacing w:line="360" w:lineRule="auto" w:before="0" w:after="120"/>
      </w:pPr>
      <w:r>
        <w:rPr>
          <w:rFonts w:ascii="Times New Roman" w:hAnsi="Times New Roman" w:eastAsia="宋体"/>
          <w:sz w:val="24"/>
        </w:rPr>
        <w:t>[8] TestAgent 项目组. 毕设开发目标和进度[Z]. 2026.</w:t>
      </w:r>
    </w:p>
    <w:sectPr w:rsidR="00FC693F" w:rsidRPr="0006063C" w:rsidSect="00034616">
      <w:pgSz w:w="12240" w:h="15840"/>
      <w:pgMar w:top="158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