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Understanding of the relative risks leading to heart disease would be useful to multiple stakeholders. The patient care community, as well as patients themselves, could benefit from awareness of specific risk factors. Insurers, whether private or publicly administered, would have an interest in knowing which factors make people vulnerable to heart disease and its outcomes, both to administer resources and to incentivize strategies to lead to optimal health. 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target variable to be predicted in our machine learning model is presence and level of heart disease, which is organized within the data as a classification system with five levels (including a category for absence of heart disease). We can choose a binomial, categorical classification system (heart disease diagnosis likely versus not) based on labeled data, and a supervised classification model would be a prudent approach for this. The model would include probability of categorization into either class. Alternatively, we can choose to categorize predictions into any of the five possible classes, using a multiclass classification approach with logistic regression, a neural network, or a random forest.</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While it is useful to have three separate populations from two countries included in this data analysis, a caveat is that all will have come from Western, industrialized nations, possibly limiting the power of any model arising from this analysis to extrapolate into other regions of the world.</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project eventually will include development of the following items: codes for importation of data, data cleanup, exploratory data and inferential analyses, and model development. A project report and a slide deck summarizing the project and its findings will also be provided.</w:t>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 comes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Statewide, Ohio shows a higher rate of heart disease than does California, while within these states Cleveland, Ohio, seems to show a higher rate of heart disease than does Ohio, and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475649" cy="1808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hdbylocation.png"/>
                    <pic:cNvPicPr/>
                  </pic:nvPicPr>
                  <pic:blipFill>
                    <a:blip r:embed="rId9">
                      <a:extLst>
                        <a:ext uri="{28A0092B-C50C-407E-A947-70E740481C1C}">
                          <a14:useLocalDpi xmlns:a14="http://schemas.microsoft.com/office/drawing/2010/main" val="0"/>
                        </a:ext>
                      </a:extLst>
                    </a:blip>
                    <a:stretch>
                      <a:fillRect/>
                    </a:stretch>
                  </pic:blipFill>
                  <pic:spPr>
                    <a:xfrm>
                      <a:off x="0" y="0"/>
                      <a:ext cx="5534829" cy="1827794"/>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The variables (listed in Table 2 according to definitions that accompany the datasets) encompassed by these data include years of age (age), sex (sex), chest pain type (cp), resting blood pressure (trestbps), cholesterol (chol), fasting blood sugar (fbs), resting electrocardiographic results (restecg), maximum heart rate (thalach), exercise-induced angina (exang), ST depression induced by exercise and relative to rest (oldpeak), slope of the peak exercise ST segment (slope), coronary angiography score (ca), thalassemia defect (thal), and numerical score (num)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list consists of both discrete variables and continuous variables. Age, trestbps, chol, thalach, and oldpeak are continuous variables, while the remaining variables are categorical in nature. The target variable, num,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746661" cy="387086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hdfeatures.png"/>
                    <pic:cNvPicPr/>
                  </pic:nvPicPr>
                  <pic:blipFill>
                    <a:blip r:embed="rId11">
                      <a:extLst>
                        <a:ext uri="{28A0092B-C50C-407E-A947-70E740481C1C}">
                          <a14:useLocalDpi xmlns:a14="http://schemas.microsoft.com/office/drawing/2010/main" val="0"/>
                        </a:ext>
                      </a:extLst>
                    </a:blip>
                    <a:stretch>
                      <a:fillRect/>
                    </a:stretch>
                  </pic:blipFill>
                  <pic:spPr>
                    <a:xfrm>
                      <a:off x="0" y="0"/>
                      <a:ext cx="4765078" cy="388588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"NaN" prior to further processing. Initially datatypes were all treated as floats for flexibility in assigning NaN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replacing missing values with NaN's,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"num" variable, one entry was removed from the Hungarian dataset prior to dataset consolidation due to a single missing value, and for all datasets the "num"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Next, the datasets for each population were consolidated into a single dataframe (named "all_three_df").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consolidation of all data into a single dataframe, datatypes were adjusted if needed for the nature of the data in each column. Continuous variables were kept as floats, and categorical data were converted to integers to allow for flexibility with calculations with the data (rather than set to categorical or boolean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Not all possible comparisons appear here in the preliminary figures because most data are categorical, so they will be examined separately from continuous variables. However, continuous variables are </w:t>
      </w:r>
      <w:r w:rsidRPr="00FD6AA0">
        <w:rPr>
          <w:rFonts w:asciiTheme="minorHAnsi" w:hAnsiTheme="minorHAnsi" w:cstheme="minorHAnsi"/>
          <w:color w:val="000000"/>
          <w:sz w:val="22"/>
          <w:szCs w:val="22"/>
        </w:rPr>
        <w:lastRenderedPageBreak/>
        <w:t>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"num",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551452" cy="3066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595751" cy="309666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"trestbps", and "thalach" show good agreement with normal curves, while "chol" and "oldpeak" diverge a bit more, though chol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lastRenderedPageBreak/>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("thalach")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("trestbps")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("oldpeak") and resting blood pressure ("trestbps").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("chol") and resting heart rate ("trestbps")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("oldpeak") and cholesterol level ("chol").</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metrics that are continuous in nature,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There is a total of 14 numerical variables, including the target variable, included in this dataset. Some are continuous variables, including age, "trestbps", "chol", "thalach", and "oldpeak". The rest are categorical variables, including sex (two categories as 0 and 1), "cp" (four categories as 1, 2, 3, and 4), "fbs" (two categories as 0 and 1), "restecg" (three categories as 0, 1, and 2), "exang" (two categories as 0 </w:t>
      </w:r>
      <w:r w:rsidRPr="00FD6AA0">
        <w:rPr>
          <w:rFonts w:asciiTheme="minorHAnsi" w:hAnsiTheme="minorHAnsi" w:cstheme="minorHAnsi"/>
          <w:color w:val="000000"/>
          <w:sz w:val="22"/>
          <w:szCs w:val="22"/>
        </w:rPr>
        <w:lastRenderedPageBreak/>
        <w:t>and 1), "slope" (three categories as 1, 2, and 3), "ca" (four categories as 0, 1, 2, and 3), "thal" (three categories as 3, 6, and 7), and the target variable "num"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"thalach"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"num" or heart disease score, the strongest positive relationships appear to be with "oldpeak"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"exang"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"Oldpeak" and "exang"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r w:rsidRPr="00FD6AA0">
        <w:rPr>
          <w:rFonts w:asciiTheme="minorHAnsi" w:hAnsiTheme="minorHAnsi" w:cstheme="minorHAnsi"/>
          <w:color w:val="000000"/>
          <w:sz w:val="22"/>
          <w:szCs w:val="22"/>
        </w:rPr>
        <w:t>Figues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"Fbs"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31512F" w:rsidRPr="00616ED9" w:rsidRDefault="0031512F">
      <w:pPr>
        <w:rPr>
          <w:rFonts w:asciiTheme="minorHAnsi" w:hAnsiTheme="minorHAnsi" w:cstheme="minorHAnsi"/>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3. Pearson correlation coefficients (r) and p-values (p) for relationships between continuous variables:</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trestbps: Pearson r = 0.213,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age with chol: Pearson r = -0.053, p = 0.13291</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thalach: Pearson r = -0.382, p = 0.0</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oldpeak: Pearson r = 0.296,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chol: Pearson r = 0.1, p = 0.00459</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thalach: Pearson r = -0.091, p = 0.01022</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trestbps with oldpeak: Pearson r = 0.164,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thalach: Pearson r = 0.094, p = 0.00811</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oldpeak: Pearson r = -0.041, p = 0.2423</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thalach with oldpeak: Pearson r = -0.249, p = 0.0</w:t>
      </w:r>
    </w:p>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"trestbps" (resting blood pressure), with r=0.213; age with "thalach" (maximum heart rate), with r=-0.382; age with "oldpeak" (exercise-induced ST depression), with r=0.296; "thalach" with "oldpeak", with r=-0.249; and a weaker relationship between "trestbps" and "oldpeak" of r=0.164.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"trestbps" with "chol" (cholesterol), "trestbps" with "thalach", and "chol" with "thalach",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 cholesterol (r=-0.053, p=0.133) and cholesterol with "oldpeak" (r=-0.041, p=0.2423).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4. Chi-square statistics and p-values (p) for relationships between categorical variables:</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sex: Chi-square stat. = 62.34,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cp: Chi-square stat. = 77.76,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fbs: Chi-square stat. = 64.51,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restecg: Chi-square stat. = 325.05,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exang: Chi-square stat. = 111.37,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slope: Chi-square stat. = 239.14,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ca: Chi-square stat. = 238.53,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thal: Chi-square stat. = 867.0,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num: Chi-square stat. = 77.33,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cp: Chi-square stat. = 30.72,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fbs: Chi-square stat. = 6.38, p = 0.01153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restecg: Chi-square stat. = 3.63, p = 0.16249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exang: Chi-square stat. = 37.7,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lastRenderedPageBreak/>
        <w:t xml:space="preserve"> sex with slope: Chi-square stat. = 12.9, p = 0.00158</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ca: Chi-square stat. = 6.25, p = 0.18145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thal: Chi-square stat. = 96.04,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num: Chi-square stat. = 74.11,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fbs: Chi-square stat. = 7.12, p = 0.0681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restecg: Chi-square stat. = 21.66, p = 0.0014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exang: Chi-square stat. = 154.62,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slope: Chi-square stat. = 25.86, p = 0.00024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ca: Chi-square stat. = 28.4, p = 0.00483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thal: Chi-square stat. = 99.84,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num: Chi-square stat. = 218.6,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restecg: Chi-square stat. = 25.22,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exang: Chi-square stat. = 5.72, p = 0.01679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slope: Chi-square stat. = 5.47, p = 0.06491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ca: Chi-square stat. = 4.22, p = 0.37673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thal: Chi-square stat. = 30.59,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num: Chi-square stat. = 23.51, p = 0.0001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exang: Chi-square stat. = 24.0, p = 1e-05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slope: Chi-square stat. = 45.65,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ca: Chi-square stat. = 102.94,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thal: Chi-square stat. = 147.29,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num: Chi-square stat. = 28.41, p = 0.0004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slope: Chi-square stat. = 43.45,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exang with ca: Chi-square stat. = 2.37, p = 0.66865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thal: Chi-square stat. = 128.11,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num: Chi-square stat. = 202.15,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ca: Chi-square stat. = 31.22, p = 0.00013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thal: Chi-square stat. = 228.24,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num: Chi-square stat. = 61.85,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thal: Chi-square stat. = 62.82,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num: Chi-square stat. = 71.88,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 with num: Chi-square stat. = 153.74, p = 0.0</w:t>
      </w:r>
    </w:p>
    <w:p w:rsidR="00616ED9" w:rsidRPr="00616ED9" w:rsidRDefault="00616ED9" w:rsidP="00616ED9">
      <w:pPr>
        <w:rPr>
          <w:rFonts w:asciiTheme="minorHAnsi" w:hAnsiTheme="minorHAnsi" w:cstheme="minorHAnsi"/>
          <w:color w:val="000000"/>
          <w:sz w:val="21"/>
          <w:szCs w:val="21"/>
        </w:rPr>
      </w:pPr>
    </w:p>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"restecg"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"thal"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It is possible that the strong relationships location forms with other variables may be an artifact of data collection, with some locations collecting more data than others, potentially skewing the value-assigned missing data in some cases.</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The variable "fbs" (fasting blood sugar) shows weaker relationships with other variables. It does, however, bear a statistically significant relationship with the target variable "num" and thus may have </w:t>
      </w:r>
      <w:r w:rsidRPr="00616ED9">
        <w:rPr>
          <w:rFonts w:asciiTheme="minorHAnsi" w:hAnsiTheme="minorHAnsi" w:cstheme="minorHAnsi"/>
          <w:color w:val="000000"/>
          <w:sz w:val="22"/>
          <w:szCs w:val="22"/>
        </w:rPr>
        <w:lastRenderedPageBreak/>
        <w:t>predictive value. Importantly, here, all categorical variables tested with chi-square analysis show statistically significant relationships with "num",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Fbs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however, do show strongly statistically significant relationships with it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trestbps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thalach</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oldpeak</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Before training the dataset with machine learning classifiers,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w:t>
      </w:r>
      <w:r w:rsidRPr="00FD6AA0">
        <w:rPr>
          <w:rFonts w:asciiTheme="minorHAnsi" w:hAnsiTheme="minorHAnsi" w:cstheme="minorHAnsi"/>
          <w:color w:val="000000"/>
          <w:sz w:val="22"/>
          <w:szCs w:val="22"/>
        </w:rPr>
        <w:lastRenderedPageBreak/>
        <w:t>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XGBoost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In these figures and Tables 5 and 6 model classifier names are abbreviated, but abbreviations mean the following: "RF" represents random forest, "tuned RF" represents a random forest test with hyperparameter tuning using GridSearchCV, "MNB" represents multinomial naive bayes, "GNB" represents Gaussian naive bayes, "LogReg" represents logistic regression, "SVM" represents support vector machine, "LSVM" represents linear support vector machine, "DT" represents decision tree, "GB" represents gradient boosting classifier, "SGD" represents SGD classifier, "ET" represents extra trees classifier, "XGB" represents XGBoost,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CE6438">
      <w:pPr>
        <w:rPr>
          <w:rFonts w:asciiTheme="minorHAnsi" w:hAnsiTheme="minorHAnsi" w:cstheme="minorHAnsi"/>
        </w:rPr>
      </w:pPr>
      <w:r>
        <w:rPr>
          <w:rFonts w:asciiTheme="minorHAnsi" w:hAnsiTheme="minorHAnsi" w:cstheme="minorHAnsi"/>
          <w:noProof/>
        </w:rPr>
        <w:drawing>
          <wp:inline distT="0" distB="0" distL="0" distR="0">
            <wp:extent cx="3323213" cy="6205591"/>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loctablefixed.png"/>
                    <pic:cNvPicPr/>
                  </pic:nvPicPr>
                  <pic:blipFill>
                    <a:blip r:embed="rId23">
                      <a:extLst>
                        <a:ext uri="{28A0092B-C50C-407E-A947-70E740481C1C}">
                          <a14:useLocalDpi xmlns:a14="http://schemas.microsoft.com/office/drawing/2010/main" val="0"/>
                        </a:ext>
                      </a:extLst>
                    </a:blip>
                    <a:stretch>
                      <a:fillRect/>
                    </a:stretch>
                  </pic:blipFill>
                  <pic:spPr>
                    <a:xfrm>
                      <a:off x="0" y="0"/>
                      <a:ext cx="3331749" cy="6221530"/>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CE6438">
      <w:pPr>
        <w:rPr>
          <w:rFonts w:cstheme="minorHAnsi"/>
        </w:rPr>
      </w:pPr>
      <w:r>
        <w:rPr>
          <w:rFonts w:cstheme="minorHAnsi"/>
          <w:noProof/>
        </w:rPr>
        <w:drawing>
          <wp:inline distT="0" distB="0" distL="0" distR="0">
            <wp:extent cx="3010328" cy="55119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vetablefixed.png"/>
                    <pic:cNvPicPr/>
                  </pic:nvPicPr>
                  <pic:blipFill>
                    <a:blip r:embed="rId24">
                      <a:extLst>
                        <a:ext uri="{28A0092B-C50C-407E-A947-70E740481C1C}">
                          <a14:useLocalDpi xmlns:a14="http://schemas.microsoft.com/office/drawing/2010/main" val="0"/>
                        </a:ext>
                      </a:extLst>
                    </a:blip>
                    <a:stretch>
                      <a:fillRect/>
                    </a:stretch>
                  </pic:blipFill>
                  <pic:spPr>
                    <a:xfrm>
                      <a:off x="0" y="0"/>
                      <a:ext cx="3021899" cy="5533174"/>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 xml:space="preserve">Most classifiers perform fairly well with a binary target variable here, though linear SVM, SGD, and ET do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AC402C" w:rsidP="00AC402C">
      <w:pPr>
        <w:rPr>
          <w:rFonts w:cstheme="minorHAnsi"/>
          <w:sz w:val="22"/>
          <w:szCs w:val="22"/>
        </w:rPr>
      </w:pPr>
    </w:p>
    <w:p w:rsidR="00884D38" w:rsidRDefault="00884D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p>
    <w:p w:rsidR="00884D38" w:rsidRPr="00884D38" w:rsidRDefault="00884D38" w:rsidP="00AC402C">
      <w:pPr>
        <w:rPr>
          <w:rFonts w:asciiTheme="minorHAnsi" w:hAnsiTheme="minorHAnsi" w:cstheme="minorHAnsi"/>
          <w:b/>
        </w:rPr>
      </w:pPr>
      <w:r w:rsidRPr="00884D38">
        <w:rPr>
          <w:rFonts w:asciiTheme="minorHAnsi" w:hAnsiTheme="minorHAnsi" w:cstheme="minorHAnsi"/>
          <w:b/>
        </w:rPr>
        <w:lastRenderedPageBreak/>
        <w:t>Figure 10. Model performance on the full dataset</w:t>
      </w:r>
    </w:p>
    <w:p w:rsidR="00884D38" w:rsidRPr="00884D38" w:rsidRDefault="00884D38" w:rsidP="00AC402C">
      <w:pPr>
        <w:rPr>
          <w:rFonts w:cstheme="minorHAnsi"/>
          <w:sz w:val="16"/>
          <w:szCs w:val="16"/>
        </w:rPr>
      </w:pPr>
    </w:p>
    <w:p w:rsidR="00AC402C" w:rsidRPr="00AC402C" w:rsidRDefault="00CE6438" w:rsidP="00AC402C">
      <w:pPr>
        <w:rPr>
          <w:rFonts w:cstheme="minorHAnsi"/>
          <w:sz w:val="22"/>
          <w:szCs w:val="22"/>
        </w:rPr>
      </w:pPr>
      <w:r>
        <w:rPr>
          <w:rFonts w:cstheme="minorHAnsi"/>
          <w:noProof/>
          <w:sz w:val="22"/>
          <w:szCs w:val="22"/>
        </w:rPr>
        <w:drawing>
          <wp:inline distT="0" distB="0" distL="0" distR="0">
            <wp:extent cx="5681862" cy="4664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llocgraphfixed.png"/>
                    <pic:cNvPicPr/>
                  </pic:nvPicPr>
                  <pic:blipFill>
                    <a:blip r:embed="rId25">
                      <a:extLst>
                        <a:ext uri="{28A0092B-C50C-407E-A947-70E740481C1C}">
                          <a14:useLocalDpi xmlns:a14="http://schemas.microsoft.com/office/drawing/2010/main" val="0"/>
                        </a:ext>
                      </a:extLst>
                    </a:blip>
                    <a:stretch>
                      <a:fillRect/>
                    </a:stretch>
                  </pic:blipFill>
                  <pic:spPr>
                    <a:xfrm>
                      <a:off x="0" y="0"/>
                      <a:ext cx="5707483" cy="4685501"/>
                    </a:xfrm>
                    <a:prstGeom prst="rect">
                      <a:avLst/>
                    </a:prstGeom>
                  </pic:spPr>
                </pic:pic>
              </a:graphicData>
            </a:graphic>
          </wp:inline>
        </w:drawing>
      </w:r>
    </w:p>
    <w:p w:rsidR="00AC402C" w:rsidRDefault="00AC402C" w:rsidP="00AC402C">
      <w:pPr>
        <w:rPr>
          <w:rFonts w:cstheme="minorHAnsi"/>
          <w:sz w:val="22"/>
          <w:szCs w:val="22"/>
        </w:rPr>
      </w:pPr>
    </w:p>
    <w:p w:rsidR="00884D38" w:rsidRDefault="00884D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Pr="00884D38" w:rsidRDefault="00CE64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lastRenderedPageBreak/>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CE6438" w:rsidP="00AC402C">
      <w:pPr>
        <w:rPr>
          <w:rFonts w:cstheme="minorHAnsi"/>
          <w:sz w:val="22"/>
          <w:szCs w:val="22"/>
        </w:rPr>
      </w:pPr>
      <w:r>
        <w:rPr>
          <w:rFonts w:cstheme="minorHAnsi"/>
          <w:noProof/>
          <w:sz w:val="22"/>
          <w:szCs w:val="22"/>
        </w:rPr>
        <w:drawing>
          <wp:inline distT="0" distB="0" distL="0" distR="0">
            <wp:extent cx="5943600" cy="4128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evegraphfix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rsidR="00CE6438" w:rsidRDefault="00CE6438" w:rsidP="00AC402C">
      <w:pPr>
        <w:rPr>
          <w:rFonts w:cstheme="minorHAnsi"/>
          <w:sz w:val="22"/>
          <w:szCs w:val="22"/>
        </w:rPr>
      </w:pP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since the Cleveland subset could be said to contain relatively more accurate information. </w:t>
      </w:r>
      <w:r w:rsidR="00EF06A7" w:rsidRPr="007E44EC">
        <w:rPr>
          <w:rFonts w:asciiTheme="minorHAnsi" w:hAnsiTheme="minorHAnsi" w:cstheme="minorHAnsi"/>
          <w:sz w:val="22"/>
          <w:szCs w:val="22"/>
        </w:rPr>
        <w:t>Overall, examining the binary target of presence or absence of heart disease and using 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in this report in order to add XGBoost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Tables 7 and 8 contain a lot of detail, but the bottom line is that for the full dataset logistic regression, XGBoost,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XGBoost max_depth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XGBoost, and </w:t>
      </w:r>
      <w:r w:rsidRPr="00E14986">
        <w:rPr>
          <w:rFonts w:asciiTheme="minorHAnsi" w:hAnsiTheme="minorHAnsi" w:cstheme="minorHAnsi"/>
          <w:color w:val="000000"/>
          <w:sz w:val="22"/>
          <w:szCs w:val="22"/>
          <w:shd w:val="clear" w:color="auto" w:fill="FFFFFF"/>
        </w:rPr>
        <w:lastRenderedPageBreak/>
        <w:t xml:space="preserve">random forest models. This ranking is allocated by mean scores, too, so when maximum scores are considered XGBoost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C27182" w:rsidP="00AC402C">
      <w:pPr>
        <w:rPr>
          <w:rFonts w:cstheme="minorHAnsi"/>
          <w:sz w:val="22"/>
          <w:szCs w:val="22"/>
        </w:rPr>
      </w:pPr>
      <w:r>
        <w:rPr>
          <w:rFonts w:cstheme="minorHAnsi"/>
          <w:noProof/>
          <w:sz w:val="22"/>
          <w:szCs w:val="22"/>
        </w:rPr>
        <w:drawing>
          <wp:inline distT="0" distB="0" distL="0" distR="0">
            <wp:extent cx="6073763" cy="5784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Localltests.png"/>
                    <pic:cNvPicPr/>
                  </pic:nvPicPr>
                  <pic:blipFill>
                    <a:blip r:embed="rId29">
                      <a:extLst>
                        <a:ext uri="{28A0092B-C50C-407E-A947-70E740481C1C}">
                          <a14:useLocalDpi xmlns:a14="http://schemas.microsoft.com/office/drawing/2010/main" val="0"/>
                        </a:ext>
                      </a:extLst>
                    </a:blip>
                    <a:stretch>
                      <a:fillRect/>
                    </a:stretch>
                  </pic:blipFill>
                  <pic:spPr>
                    <a:xfrm>
                      <a:off x="0" y="0"/>
                      <a:ext cx="6079530" cy="5789843"/>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14986"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53928" cy="57535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Alltests.png"/>
                    <pic:cNvPicPr/>
                  </pic:nvPicPr>
                  <pic:blipFill>
                    <a:blip r:embed="rId30">
                      <a:extLst>
                        <a:ext uri="{28A0092B-C50C-407E-A947-70E740481C1C}">
                          <a14:useLocalDpi xmlns:a14="http://schemas.microsoft.com/office/drawing/2010/main" val="0"/>
                        </a:ext>
                      </a:extLst>
                    </a:blip>
                    <a:stretch>
                      <a:fillRect/>
                    </a:stretch>
                  </pic:blipFill>
                  <pic:spPr>
                    <a:xfrm>
                      <a:off x="0" y="0"/>
                      <a:ext cx="6158111" cy="5757439"/>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three leading models (hyperparameter-tuned random forest, non-tuned XGBoost, and non-tuned logistic regression)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Figure 12. ROC curves for full dataset with a binary target</w:t>
      </w:r>
    </w:p>
    <w:p w:rsidR="00BC7172" w:rsidRDefault="00BC7172" w:rsidP="00AC402C">
      <w:pPr>
        <w:rPr>
          <w:rFonts w:asciiTheme="minorHAnsi" w:hAnsiTheme="minorHAnsi" w:cstheme="minorHAnsi"/>
          <w:sz w:val="22"/>
          <w:szCs w:val="22"/>
        </w:rPr>
      </w:pPr>
    </w:p>
    <w:p w:rsidR="00BC7172"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2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Figure 13. Precision-recall curves for full dataset with a binary target</w:t>
      </w:r>
    </w:p>
    <w:p w:rsidR="00BC7172" w:rsidRDefault="00BC7172" w:rsidP="00AC402C">
      <w:pPr>
        <w:rPr>
          <w:rFonts w:asciiTheme="minorHAnsi" w:hAnsiTheme="minorHAnsi" w:cstheme="minorHAnsi"/>
          <w:sz w:val="22"/>
          <w:szCs w:val="22"/>
        </w:rPr>
      </w:pPr>
    </w:p>
    <w:p w:rsidR="00EE4117"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5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A61AFA"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scikit-learn with XGBoost, further explorations here will involve XGBoost results. </w:t>
      </w:r>
    </w:p>
    <w:p w:rsidR="00F25320" w:rsidRDefault="00F25320" w:rsidP="00AC402C">
      <w:pPr>
        <w:rPr>
          <w:rFonts w:asciiTheme="minorHAnsi" w:hAnsiTheme="minorHAnsi" w:cstheme="minorHAnsi"/>
          <w:sz w:val="22"/>
          <w:szCs w:val="22"/>
        </w:rPr>
      </w:pPr>
    </w:p>
    <w:p w:rsidR="006A108E" w:rsidRDefault="00F25320" w:rsidP="00AC402C">
      <w:pPr>
        <w:rPr>
          <w:rFonts w:asciiTheme="minorHAnsi" w:hAnsiTheme="minorHAnsi" w:cstheme="minorHAnsi"/>
          <w:sz w:val="22"/>
          <w:szCs w:val="22"/>
        </w:rPr>
      </w:pPr>
      <w:r>
        <w:rPr>
          <w:rFonts w:asciiTheme="minorHAnsi" w:hAnsiTheme="minorHAnsi" w:cstheme="minorHAnsi"/>
          <w:sz w:val="22"/>
          <w:szCs w:val="22"/>
        </w:rPr>
        <w:t>Figures 14-17 show feature importance metrics for various analyses with XGBoost. These models were trained with test_sizes of 0.33</w:t>
      </w:r>
      <w:r w:rsidR="006A108E">
        <w:rPr>
          <w:rFonts w:asciiTheme="minorHAnsi" w:hAnsiTheme="minorHAnsi" w:cstheme="minorHAnsi"/>
          <w:sz w:val="22"/>
          <w:szCs w:val="22"/>
        </w:rPr>
        <w:t xml:space="preserve"> and default parameters. With a multiclass target and using the full dataset (Figure 14), cholesterol, maximum heart rate (“thalach”), and age were the most prominent features influencing the model. These three features dominate, but with different order for the Cleveland subset, in each test (Figures 15-17). Following that, other features maintain roughly similar relative positions for each, though rankings vary slightly between tests. This does indicate that with XGBoost, the features are mostly telling the same stories for each analyses,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4. Feature importance</w:t>
      </w:r>
      <w:r w:rsidRPr="00BC7172">
        <w:rPr>
          <w:rFonts w:asciiTheme="minorHAnsi" w:hAnsiTheme="minorHAnsi" w:cstheme="minorHAnsi"/>
          <w:b/>
        </w:rPr>
        <w:t xml:space="preserve"> using XGBoost on 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2288" cy="3101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69_2-multiclass.png"/>
                    <pic:cNvPicPr/>
                  </pic:nvPicPr>
                  <pic:blipFill>
                    <a:blip r:embed="rId33">
                      <a:extLst>
                        <a:ext uri="{28A0092B-C50C-407E-A947-70E740481C1C}">
                          <a14:useLocalDpi xmlns:a14="http://schemas.microsoft.com/office/drawing/2010/main" val="0"/>
                        </a:ext>
                      </a:extLst>
                    </a:blip>
                    <a:stretch>
                      <a:fillRect/>
                    </a:stretch>
                  </pic:blipFill>
                  <pic:spPr>
                    <a:xfrm>
                      <a:off x="0" y="0"/>
                      <a:ext cx="5341310" cy="310663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5. Feature importance</w:t>
      </w:r>
      <w:r w:rsidRPr="00BC7172">
        <w:rPr>
          <w:rFonts w:asciiTheme="minorHAnsi" w:hAnsiTheme="minorHAnsi" w:cstheme="minorHAnsi"/>
          <w:b/>
        </w:rPr>
        <w:t xml:space="preserve"> using XGBoost on full dataset with a binary target</w:t>
      </w:r>
    </w:p>
    <w:p w:rsidR="000C24E3" w:rsidRDefault="000C24E3" w:rsidP="00AC402C">
      <w:pPr>
        <w:rPr>
          <w:rFonts w:asciiTheme="minorHAnsi" w:hAnsiTheme="minorHAnsi" w:cstheme="minorHAnsi"/>
          <w:sz w:val="22"/>
          <w:szCs w:val="22"/>
        </w:rPr>
      </w:pPr>
    </w:p>
    <w:p w:rsidR="009A3E1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73384" cy="3125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70_2-binary0.png"/>
                    <pic:cNvPicPr/>
                  </pic:nvPicPr>
                  <pic:blipFill>
                    <a:blip r:embed="rId34">
                      <a:extLst>
                        <a:ext uri="{28A0092B-C50C-407E-A947-70E740481C1C}">
                          <a14:useLocalDpi xmlns:a14="http://schemas.microsoft.com/office/drawing/2010/main" val="0"/>
                        </a:ext>
                      </a:extLst>
                    </a:blip>
                    <a:stretch>
                      <a:fillRect/>
                    </a:stretch>
                  </pic:blipFill>
                  <pic:spPr>
                    <a:xfrm>
                      <a:off x="0" y="0"/>
                      <a:ext cx="5388320" cy="3133976"/>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920510" cy="3256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61_2-multiclass.png"/>
                    <pic:cNvPicPr/>
                  </pic:nvPicPr>
                  <pic:blipFill>
                    <a:blip r:embed="rId35">
                      <a:extLst>
                        <a:ext uri="{28A0092B-C50C-407E-A947-70E740481C1C}">
                          <a14:useLocalDpi xmlns:a14="http://schemas.microsoft.com/office/drawing/2010/main" val="0"/>
                        </a:ext>
                      </a:extLst>
                    </a:blip>
                    <a:stretch>
                      <a:fillRect/>
                    </a:stretch>
                  </pic:blipFill>
                  <pic:spPr>
                    <a:xfrm>
                      <a:off x="0" y="0"/>
                      <a:ext cx="4938016" cy="3268495"/>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 with a binary target</w:t>
      </w:r>
    </w:p>
    <w:p w:rsidR="002F28F7" w:rsidRPr="00211C01"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59676" cy="3263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62_2-binary0.png"/>
                    <pic:cNvPicPr/>
                  </pic:nvPicPr>
                  <pic:blipFill>
                    <a:blip r:embed="rId36">
                      <a:extLst>
                        <a:ext uri="{28A0092B-C50C-407E-A947-70E740481C1C}">
                          <a14:useLocalDpi xmlns:a14="http://schemas.microsoft.com/office/drawing/2010/main" val="0"/>
                        </a:ext>
                      </a:extLst>
                    </a:blip>
                    <a:stretch>
                      <a:fillRect/>
                    </a:stretch>
                  </pic:blipFill>
                  <pic:spPr>
                    <a:xfrm>
                      <a:off x="0" y="0"/>
                      <a:ext cx="4863850" cy="326606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r>
        <w:rPr>
          <w:rFonts w:asciiTheme="minorHAnsi" w:hAnsiTheme="minorHAnsi" w:cstheme="minorHAnsi"/>
          <w:sz w:val="22"/>
          <w:szCs w:val="22"/>
        </w:rPr>
        <w:t>XGBoost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XGBoost trained using test_size=0.2</w:t>
      </w:r>
      <w:r>
        <w:rPr>
          <w:rFonts w:asciiTheme="minorHAnsi" w:hAnsiTheme="minorHAnsi" w:cstheme="minorHAnsi"/>
          <w:sz w:val="22"/>
          <w:szCs w:val="22"/>
        </w:rPr>
        <w:t xml:space="preserve">.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“cp”,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 xml:space="preserve">value, while this individual’s “oldpeak”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Table 9. Individual prediction score and feature contributions using XGBoost on full dataset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228392" cy="43767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contribstable.png"/>
                    <pic:cNvPicPr/>
                  </pic:nvPicPr>
                  <pic:blipFill>
                    <a:blip r:embed="rId37">
                      <a:extLst>
                        <a:ext uri="{28A0092B-C50C-407E-A947-70E740481C1C}">
                          <a14:useLocalDpi xmlns:a14="http://schemas.microsoft.com/office/drawing/2010/main" val="0"/>
                        </a:ext>
                      </a:extLst>
                    </a:blip>
                    <a:stretch>
                      <a:fillRect/>
                    </a:stretch>
                  </pic:blipFill>
                  <pic:spPr>
                    <a:xfrm>
                      <a:off x="0" y="0"/>
                      <a:ext cx="2234132" cy="438806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18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XGBoost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(test size=0.2).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XGBoost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Figure 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"cp", "exang", and "ca" values, along with the cholesterol level, age, and "slope" value are the features most strongly contributing to a lower risk for this individual. The "thalach", "fbs", "oldpeak"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19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iPython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 xml:space="preserve">For this individual, a chest pain (“cp”)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9</w:t>
      </w:r>
      <w:r w:rsidRPr="00BC7172">
        <w:rPr>
          <w:rFonts w:asciiTheme="minorHAnsi" w:hAnsiTheme="minorHAnsi" w:cstheme="minorHAnsi"/>
          <w:b/>
        </w:rPr>
        <w:t>. Global display of SHAP values with XGBoost</w:t>
      </w:r>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20)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Lundberg, Erion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20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 xml:space="preserve">In Figure 20 we see that chest pain (“cp”) is ranked most highly in feature importance, followed by exercise-induced angina (“exang”) and slope of the peak exercise ST segment (“slope”). This differs from the feature importance graph, also generated using XGBoost, from Figure 15. One advantage to viewing a SHAP summary plot </w:t>
      </w:r>
      <w:r w:rsidR="006346C0">
        <w:rPr>
          <w:rFonts w:asciiTheme="minorHAnsi" w:hAnsiTheme="minorHAnsi" w:cstheme="minorHAnsi"/>
          <w:sz w:val="22"/>
          <w:szCs w:val="22"/>
        </w:rPr>
        <w:t xml:space="preserve">is that it is easier to judge each feature; cholesterol ranks as most important in Figure 15, but it is in the middle of the pack in Figure 20. In Figure 20 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20</w:t>
      </w:r>
      <w:r w:rsidRPr="00DB3DD9">
        <w:rPr>
          <w:rFonts w:asciiTheme="minorHAnsi" w:hAnsiTheme="minorHAnsi" w:cstheme="minorHAnsi"/>
          <w:b/>
        </w:rPr>
        <w:t>. Summary plot of SHAP values</w:t>
      </w:r>
      <w:r w:rsidR="002C6774">
        <w:rPr>
          <w:rFonts w:asciiTheme="minorHAnsi" w:hAnsiTheme="minorHAnsi" w:cstheme="minorHAnsi"/>
          <w:b/>
        </w:rPr>
        <w:t xml:space="preserve"> with XGBoost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Another observation from Figure 20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21 shows another SHAP summary plot with a binary target generated from an XGBoost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20, with variables such as “exang”,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421CC9">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XGBoost and the Cleveland subset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s in Figure 19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"cp" specifically, it appears that a "cp" value of 4 is associated with presence of heart disease, whereas "cp"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"oldpeak" (ST depression induced by exercise and relative to rest) trend toward presence of heart disease the farther from 0 they are. Variable "thal" (thalassemia defect) correlates with predicted presence of heart disease if the value is 7, absence of heart disease if the value is 3, and a more complex relationship with heart disease if the value is 6; for some individuals thal=6 very slightly raises heart disease risk, while for others thal=6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("thalach")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different cardiovascular feature, resting blood pressure ("trestbps"),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"trestbps"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("fbs")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Resting electrocardiographic results ("restecg")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w:t>
      </w:r>
      <w:r w:rsidR="00BB0429">
        <w:rPr>
          <w:rFonts w:asciiTheme="minorHAnsi" w:hAnsiTheme="minorHAnsi"/>
          <w:color w:val="000000"/>
          <w:sz w:val="22"/>
          <w:szCs w:val="22"/>
        </w:rPr>
        <w:t xml:space="preserve">good </w:t>
      </w:r>
      <w:bookmarkStart w:id="0" w:name="_GoBack"/>
      <w:bookmarkEnd w:id="0"/>
      <w:r w:rsidRPr="004F2C60">
        <w:rPr>
          <w:rFonts w:asciiTheme="minorHAnsi" w:hAnsiTheme="minorHAnsi"/>
          <w:color w:val="000000"/>
          <w:sz w:val="22"/>
          <w:szCs w:val="22"/>
        </w:rPr>
        <w:t>cardiac health. For individuals showing restecg=2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lastRenderedPageBreak/>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Batista, D.S. “Hyperparamter optimization across multiple models in scikit-learn.”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Centers for Disease Control and Prevention. National Environmental Public HealthTracking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r w:rsidRPr="00714E63">
        <w:rPr>
          <w:rFonts w:asciiTheme="minorHAnsi" w:hAnsiTheme="minorHAnsi" w:cstheme="minorHAnsi"/>
          <w:sz w:val="22"/>
          <w:szCs w:val="22"/>
        </w:rPr>
        <w:t xml:space="preserve">Katsaroumpas, P. “Hyperparameter Grid Search across multiple models in scikit-learn.”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Erion, G.G., &amp; Lee, S.I. 2018. Consistent individualized feature attribution for tree ensembles. </w:t>
      </w:r>
      <w:r w:rsidRPr="00B30F68">
        <w:rPr>
          <w:rFonts w:asciiTheme="minorHAnsi" w:hAnsiTheme="minorHAnsi" w:cstheme="minorHAnsi"/>
          <w:color w:val="000000"/>
          <w:sz w:val="22"/>
          <w:szCs w:val="22"/>
        </w:rPr>
        <w:t xml:space="preserve">eprint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archive.ics.uci.edu/ml/datasets/Heart+Disease</w:t>
        </w:r>
      </w:hyperlink>
      <w:r w:rsidRPr="00714E63">
        <w:rPr>
          <w:rFonts w:asciiTheme="minorHAnsi" w:hAnsiTheme="minorHAnsi" w:cstheme="minorHAnsi"/>
          <w:color w:val="000000"/>
          <w:sz w:val="22"/>
          <w:szCs w:val="22"/>
        </w:rPr>
        <w:t>. Principal investigator information for component datasets used in this study: Hungarian Institute of Cardiology. Budapest: Andras Janosi, M.D.; V.A. Medical Center, Long Beach and Cleveland Clinic Foundation: Robert Detrano,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222" w:rsidRDefault="00E67222" w:rsidP="000A3B54">
      <w:r>
        <w:separator/>
      </w:r>
    </w:p>
  </w:endnote>
  <w:endnote w:type="continuationSeparator" w:id="0">
    <w:p w:rsidR="00E67222" w:rsidRDefault="00E67222"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A3B54" w:rsidRDefault="000A3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A3B54" w:rsidRDefault="000A3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222" w:rsidRDefault="00E67222" w:rsidP="000A3B54">
      <w:r>
        <w:separator/>
      </w:r>
    </w:p>
  </w:footnote>
  <w:footnote w:type="continuationSeparator" w:id="0">
    <w:p w:rsidR="00E67222" w:rsidRDefault="00E67222"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A3B54"/>
    <w:rsid w:val="000B7F16"/>
    <w:rsid w:val="000C24E3"/>
    <w:rsid w:val="001273CE"/>
    <w:rsid w:val="00127BAF"/>
    <w:rsid w:val="00153E9B"/>
    <w:rsid w:val="00191C66"/>
    <w:rsid w:val="001A3238"/>
    <w:rsid w:val="001B0FDE"/>
    <w:rsid w:val="00211C01"/>
    <w:rsid w:val="0021749C"/>
    <w:rsid w:val="00272AB1"/>
    <w:rsid w:val="0028030F"/>
    <w:rsid w:val="002C2A7F"/>
    <w:rsid w:val="002C6774"/>
    <w:rsid w:val="002F28F7"/>
    <w:rsid w:val="00303FF1"/>
    <w:rsid w:val="0031512F"/>
    <w:rsid w:val="003867C5"/>
    <w:rsid w:val="003E12FF"/>
    <w:rsid w:val="003F1EC2"/>
    <w:rsid w:val="00421CC9"/>
    <w:rsid w:val="00492AD5"/>
    <w:rsid w:val="004971CA"/>
    <w:rsid w:val="004B7B86"/>
    <w:rsid w:val="004D336F"/>
    <w:rsid w:val="004F2C60"/>
    <w:rsid w:val="0050379D"/>
    <w:rsid w:val="00512CBE"/>
    <w:rsid w:val="005D2815"/>
    <w:rsid w:val="005D452E"/>
    <w:rsid w:val="0061650E"/>
    <w:rsid w:val="00616ED9"/>
    <w:rsid w:val="006346C0"/>
    <w:rsid w:val="006A108E"/>
    <w:rsid w:val="00714E63"/>
    <w:rsid w:val="00717365"/>
    <w:rsid w:val="007A2891"/>
    <w:rsid w:val="007A4077"/>
    <w:rsid w:val="007E44EC"/>
    <w:rsid w:val="007E565A"/>
    <w:rsid w:val="00865A6B"/>
    <w:rsid w:val="00884D38"/>
    <w:rsid w:val="008C73E7"/>
    <w:rsid w:val="008F10AE"/>
    <w:rsid w:val="009001CC"/>
    <w:rsid w:val="0090581D"/>
    <w:rsid w:val="00966268"/>
    <w:rsid w:val="00982705"/>
    <w:rsid w:val="009A3E17"/>
    <w:rsid w:val="00A1298B"/>
    <w:rsid w:val="00A61AFA"/>
    <w:rsid w:val="00AC402C"/>
    <w:rsid w:val="00AC422D"/>
    <w:rsid w:val="00AD2672"/>
    <w:rsid w:val="00AF3FAE"/>
    <w:rsid w:val="00AF5FA1"/>
    <w:rsid w:val="00B25210"/>
    <w:rsid w:val="00B279C8"/>
    <w:rsid w:val="00B30F68"/>
    <w:rsid w:val="00B40226"/>
    <w:rsid w:val="00B60FBC"/>
    <w:rsid w:val="00B8404E"/>
    <w:rsid w:val="00B91B9E"/>
    <w:rsid w:val="00BB0429"/>
    <w:rsid w:val="00BC7172"/>
    <w:rsid w:val="00C27182"/>
    <w:rsid w:val="00C946D8"/>
    <w:rsid w:val="00CE6438"/>
    <w:rsid w:val="00D2560F"/>
    <w:rsid w:val="00D4677F"/>
    <w:rsid w:val="00D47F72"/>
    <w:rsid w:val="00D95D24"/>
    <w:rsid w:val="00DB3DD9"/>
    <w:rsid w:val="00DC2F66"/>
    <w:rsid w:val="00DE377A"/>
    <w:rsid w:val="00E14986"/>
    <w:rsid w:val="00E67222"/>
    <w:rsid w:val="00EE4117"/>
    <w:rsid w:val="00EF06A7"/>
    <w:rsid w:val="00F25320"/>
    <w:rsid w:val="00F45C05"/>
    <w:rsid w:val="00F7242E"/>
    <w:rsid w:val="00FD6AA0"/>
    <w:rsid w:val="00FD7595"/>
    <w:rsid w:val="00FE5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B77B"/>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34</Pages>
  <Words>7696</Words>
  <Characters>43870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48</cp:revision>
  <cp:lastPrinted>2018-06-13T10:03:00Z</cp:lastPrinted>
  <dcterms:created xsi:type="dcterms:W3CDTF">2018-06-12T01:56:00Z</dcterms:created>
  <dcterms:modified xsi:type="dcterms:W3CDTF">2018-06-13T17:44:00Z</dcterms:modified>
</cp:coreProperties>
</file>