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DF7D" w14:textId="5335781B" w:rsidR="00955E05" w:rsidRDefault="00A42563">
      <w:pPr>
        <w:pStyle w:val="5"/>
        <w:spacing w:beforeAutospacing="0" w:afterAutospacing="0"/>
        <w:rPr>
          <w:rFonts w:hint="default"/>
        </w:rPr>
      </w:pPr>
      <w:r>
        <w:rPr>
          <w:rFonts w:ascii="微软雅黑" w:eastAsia="微软雅黑" w:hAnsi="微软雅黑" w:cs="微软雅黑"/>
          <w:sz w:val="22"/>
          <w:szCs w:val="22"/>
        </w:rPr>
        <w:t>产品结构分布</w:t>
      </w:r>
    </w:p>
    <w:p w14:paraId="08257D94" w14:textId="77777777" w:rsidR="00955E05" w:rsidRDefault="00A42563">
      <w:pPr>
        <w:pStyle w:val="5"/>
        <w:spacing w:beforeAutospacing="0" w:afterAutospacing="0"/>
        <w:rPr>
          <w:rFonts w:ascii="微软雅黑" w:eastAsia="微软雅黑" w:hAnsi="微软雅黑" w:cs="微软雅黑" w:hint="default"/>
          <w:color w:val="2E75B5"/>
          <w:sz w:val="22"/>
          <w:szCs w:val="22"/>
        </w:rPr>
      </w:pPr>
      <w:r>
        <w:rPr>
          <w:rFonts w:ascii="微软雅黑" w:eastAsia="微软雅黑" w:hAnsi="微软雅黑" w:cs="微软雅黑"/>
          <w:color w:val="2E75B5"/>
          <w:sz w:val="22"/>
          <w:szCs w:val="22"/>
        </w:rPr>
        <w:t>存款产品渗透率</w:t>
      </w:r>
    </w:p>
    <w:p w14:paraId="214F4EF7" w14:textId="77777777" w:rsidR="00955E05" w:rsidRDefault="00A42563">
      <w:pPr>
        <w:pStyle w:val="a3"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A(A1)&gt;B(A1) -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存款产品渗透率高</w:t>
      </w:r>
      <w:r>
        <w:rPr>
          <w:rFonts w:ascii="微软雅黑" w:eastAsia="微软雅黑" w:hAnsi="微软雅黑" w:cs="微软雅黑" w:hint="eastAsia"/>
          <w:sz w:val="22"/>
          <w:szCs w:val="22"/>
        </w:rPr>
        <w:t>：与</w:t>
      </w:r>
      <w:r>
        <w:rPr>
          <w:rFonts w:ascii="微软雅黑" w:eastAsia="微软雅黑" w:hAnsi="微软雅黑" w:cs="微软雅黑" w:hint="eastAsia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行相比，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行的零售金融产品集中于零售存款，理财产品仅占</w:t>
      </w:r>
      <w:r>
        <w:rPr>
          <w:rFonts w:ascii="微软雅黑" w:eastAsia="微软雅黑" w:hAnsi="微软雅黑" w:cs="微软雅黑" w:hint="eastAsia"/>
          <w:sz w:val="22"/>
          <w:szCs w:val="22"/>
        </w:rPr>
        <w:t>A11</w:t>
      </w:r>
      <w:r>
        <w:rPr>
          <w:rFonts w:ascii="微软雅黑" w:eastAsia="微软雅黑" w:hAnsi="微软雅黑" w:cs="微软雅黑" w:hint="eastAsia"/>
          <w:sz w:val="22"/>
          <w:szCs w:val="22"/>
        </w:rPr>
        <w:t>，渗透率低，产品供给无法满足参财富客户多元化的投资需求，而且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行的存款产品占比远超（</w:t>
      </w:r>
      <w:r>
        <w:rPr>
          <w:rFonts w:ascii="微软雅黑" w:eastAsia="微软雅黑" w:hAnsi="微软雅黑" w:cs="微软雅黑" w:hint="eastAsia"/>
          <w:sz w:val="22"/>
          <w:szCs w:val="22"/>
        </w:rPr>
        <w:t>ifA2</w:t>
      </w:r>
      <w:r>
        <w:rPr>
          <w:rFonts w:ascii="微软雅黑" w:eastAsia="微软雅黑" w:hAnsi="微软雅黑" w:cs="微软雅黑" w:hint="eastAsia"/>
          <w:sz w:val="22"/>
          <w:szCs w:val="22"/>
        </w:rPr>
        <w:t>为正）</w:t>
      </w:r>
      <w:r>
        <w:rPr>
          <w:rFonts w:ascii="微软雅黑" w:eastAsia="微软雅黑" w:hAnsi="微软雅黑" w:cs="微软雅黑" w:hint="eastAsia"/>
          <w:sz w:val="22"/>
          <w:szCs w:val="22"/>
        </w:rPr>
        <w:t>/</w:t>
      </w:r>
      <w:r>
        <w:rPr>
          <w:rFonts w:ascii="微软雅黑" w:eastAsia="微软雅黑" w:hAnsi="微软雅黑" w:cs="微软雅黑" w:hint="eastAsia"/>
          <w:sz w:val="22"/>
          <w:szCs w:val="22"/>
        </w:rPr>
        <w:t>不足市场平均水平的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|A2|</w:t>
      </w:r>
    </w:p>
    <w:p w14:paraId="7A95160B" w14:textId="77777777" w:rsidR="00955E05" w:rsidRDefault="00A42563">
      <w:pPr>
        <w:pStyle w:val="a3"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A(A1)&lt;B(A1) - 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理财产品渗透率高：</w:t>
      </w:r>
      <w:r>
        <w:rPr>
          <w:rFonts w:ascii="微软雅黑" w:eastAsia="微软雅黑" w:hAnsi="微软雅黑" w:cs="微软雅黑" w:hint="eastAsia"/>
          <w:sz w:val="22"/>
          <w:szCs w:val="22"/>
        </w:rPr>
        <w:t>与</w:t>
      </w:r>
      <w:r>
        <w:rPr>
          <w:rFonts w:ascii="微软雅黑" w:eastAsia="微软雅黑" w:hAnsi="微软雅黑" w:cs="微软雅黑" w:hint="eastAsia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行相比，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行的零售金融产品集中于理财类产品，产品供给满足参财富客户多元化的投资需求，而且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行的理财产品占比远超（</w:t>
      </w:r>
      <w:r>
        <w:rPr>
          <w:rFonts w:ascii="微软雅黑" w:eastAsia="微软雅黑" w:hAnsi="微软雅黑" w:cs="微软雅黑" w:hint="eastAsia"/>
          <w:sz w:val="22"/>
          <w:szCs w:val="22"/>
        </w:rPr>
        <w:t>ifA22</w:t>
      </w:r>
      <w:r>
        <w:rPr>
          <w:rFonts w:ascii="微软雅黑" w:eastAsia="微软雅黑" w:hAnsi="微软雅黑" w:cs="微软雅黑" w:hint="eastAsia"/>
          <w:sz w:val="22"/>
          <w:szCs w:val="22"/>
        </w:rPr>
        <w:t>为正）</w:t>
      </w:r>
      <w:r>
        <w:rPr>
          <w:rFonts w:ascii="微软雅黑" w:eastAsia="微软雅黑" w:hAnsi="微软雅黑" w:cs="微软雅黑" w:hint="eastAsia"/>
          <w:sz w:val="22"/>
          <w:szCs w:val="22"/>
        </w:rPr>
        <w:t>/</w:t>
      </w:r>
      <w:r>
        <w:rPr>
          <w:rFonts w:ascii="微软雅黑" w:eastAsia="微软雅黑" w:hAnsi="微软雅黑" w:cs="微软雅黑" w:hint="eastAsia"/>
          <w:sz w:val="22"/>
          <w:szCs w:val="22"/>
        </w:rPr>
        <w:t>不足市场平均水平的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|A22|</w:t>
      </w:r>
    </w:p>
    <w:p w14:paraId="447BACAA" w14:textId="77777777" w:rsidR="00955E05" w:rsidRDefault="00A42563">
      <w:pPr>
        <w:pStyle w:val="5"/>
        <w:spacing w:beforeAutospacing="0" w:afterAutospacing="0"/>
        <w:rPr>
          <w:rFonts w:ascii="微软雅黑" w:eastAsia="微软雅黑" w:hAnsi="微软雅黑" w:cs="微软雅黑" w:hint="default"/>
          <w:color w:val="2E75B5"/>
          <w:sz w:val="22"/>
          <w:szCs w:val="22"/>
        </w:rPr>
      </w:pPr>
      <w:r>
        <w:rPr>
          <w:rFonts w:ascii="微软雅黑" w:eastAsia="微软雅黑" w:hAnsi="微软雅黑" w:cs="微软雅黑"/>
          <w:color w:val="2E75B5"/>
          <w:sz w:val="22"/>
          <w:szCs w:val="22"/>
        </w:rPr>
        <w:t>特色产品</w:t>
      </w:r>
    </w:p>
    <w:p w14:paraId="579BDB96" w14:textId="77777777" w:rsidR="00955E05" w:rsidRDefault="00A42563">
      <w:pPr>
        <w:pStyle w:val="a3"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A(A3)&lt;B(A3) -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特色产品市场竞争力不足</w:t>
      </w:r>
      <w:r>
        <w:rPr>
          <w:rFonts w:ascii="微软雅黑" w:eastAsia="微软雅黑" w:hAnsi="微软雅黑" w:cs="微软雅黑" w:hint="eastAsia"/>
          <w:sz w:val="22"/>
          <w:szCs w:val="22"/>
        </w:rPr>
        <w:t>：与</w:t>
      </w:r>
      <w:r>
        <w:rPr>
          <w:rFonts w:ascii="微软雅黑" w:eastAsia="微软雅黑" w:hAnsi="微软雅黑" w:cs="微软雅黑" w:hint="eastAsia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行相比，其现有产品</w:t>
      </w:r>
      <w:r>
        <w:rPr>
          <w:rFonts w:ascii="微软雅黑" w:eastAsia="微软雅黑" w:hAnsi="微软雅黑" w:cs="微软雅黑" w:hint="eastAsia"/>
          <w:sz w:val="22"/>
          <w:szCs w:val="22"/>
        </w:rPr>
        <w:t>B(A4)</w:t>
      </w:r>
      <w:r>
        <w:rPr>
          <w:rFonts w:ascii="微软雅黑" w:eastAsia="微软雅黑" w:hAnsi="微软雅黑" w:cs="微软雅黑" w:hint="eastAsia"/>
          <w:sz w:val="22"/>
          <w:szCs w:val="22"/>
        </w:rPr>
        <w:t>市场占有率高达</w:t>
      </w:r>
      <w:r>
        <w:rPr>
          <w:rFonts w:ascii="微软雅黑" w:eastAsia="微软雅黑" w:hAnsi="微软雅黑" w:cs="微软雅黑" w:hint="eastAsia"/>
          <w:sz w:val="22"/>
          <w:szCs w:val="22"/>
        </w:rPr>
        <w:t>A5,</w:t>
      </w:r>
      <w:r>
        <w:rPr>
          <w:rFonts w:ascii="微软雅黑" w:eastAsia="微软雅黑" w:hAnsi="微软雅黑" w:cs="微软雅黑" w:hint="eastAsia"/>
          <w:sz w:val="22"/>
          <w:szCs w:val="22"/>
        </w:rPr>
        <w:t>同类产品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行竞争优势明显不足，而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行自身的特色产品</w:t>
      </w:r>
      <w:r>
        <w:rPr>
          <w:rFonts w:ascii="微软雅黑" w:eastAsia="微软雅黑" w:hAnsi="微软雅黑" w:cs="微软雅黑" w:hint="eastAsia"/>
          <w:sz w:val="22"/>
          <w:szCs w:val="22"/>
        </w:rPr>
        <w:t>A4</w:t>
      </w:r>
      <w:r>
        <w:rPr>
          <w:rFonts w:ascii="微软雅黑" w:eastAsia="微软雅黑" w:hAnsi="微软雅黑" w:cs="微软雅黑" w:hint="eastAsia"/>
          <w:sz w:val="22"/>
          <w:szCs w:val="22"/>
        </w:rPr>
        <w:t>，没有起到产品承接互补的作用，非常缺乏针对高价值客户的钩子产品和特色财富产品</w:t>
      </w:r>
    </w:p>
    <w:p w14:paraId="1143DD91" w14:textId="77777777" w:rsidR="00955E05" w:rsidRDefault="00A42563">
      <w:pPr>
        <w:pStyle w:val="a3"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A(A3)&gt;B(A3) -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特色产品优势明显：</w:t>
      </w:r>
      <w:r>
        <w:rPr>
          <w:rFonts w:ascii="微软雅黑" w:eastAsia="微软雅黑" w:hAnsi="微软雅黑" w:cs="微软雅黑" w:hint="eastAsia"/>
          <w:sz w:val="22"/>
          <w:szCs w:val="22"/>
        </w:rPr>
        <w:t>与</w:t>
      </w:r>
      <w:r>
        <w:rPr>
          <w:rFonts w:ascii="微软雅黑" w:eastAsia="微软雅黑" w:hAnsi="微软雅黑" w:cs="微软雅黑" w:hint="eastAsia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行相比，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行的零售金融产品集中于理财类产品，产品供给满足参财富客户多元化的投资需求，而且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行的理财产品占比远超（</w:t>
      </w:r>
      <w:r>
        <w:rPr>
          <w:rFonts w:ascii="微软雅黑" w:eastAsia="微软雅黑" w:hAnsi="微软雅黑" w:cs="微软雅黑" w:hint="eastAsia"/>
          <w:sz w:val="22"/>
          <w:szCs w:val="22"/>
        </w:rPr>
        <w:t>ifA22</w:t>
      </w:r>
      <w:r>
        <w:rPr>
          <w:rFonts w:ascii="微软雅黑" w:eastAsia="微软雅黑" w:hAnsi="微软雅黑" w:cs="微软雅黑" w:hint="eastAsia"/>
          <w:sz w:val="22"/>
          <w:szCs w:val="22"/>
        </w:rPr>
        <w:t>为正）</w:t>
      </w:r>
      <w:r>
        <w:rPr>
          <w:rFonts w:ascii="微软雅黑" w:eastAsia="微软雅黑" w:hAnsi="微软雅黑" w:cs="微软雅黑" w:hint="eastAsia"/>
          <w:sz w:val="22"/>
          <w:szCs w:val="22"/>
        </w:rPr>
        <w:t>/</w:t>
      </w:r>
      <w:r>
        <w:rPr>
          <w:rFonts w:ascii="微软雅黑" w:eastAsia="微软雅黑" w:hAnsi="微软雅黑" w:cs="微软雅黑" w:hint="eastAsia"/>
          <w:sz w:val="22"/>
          <w:szCs w:val="22"/>
        </w:rPr>
        <w:t>不足市场平均水平的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|A22|</w:t>
      </w:r>
    </w:p>
    <w:p w14:paraId="7397AF82" w14:textId="77777777" w:rsidR="00955E05" w:rsidRDefault="00A42563">
      <w:pPr>
        <w:pStyle w:val="5"/>
        <w:spacing w:beforeAutospacing="0" w:afterAutospacing="0"/>
        <w:rPr>
          <w:rFonts w:ascii="微软雅黑" w:eastAsia="微软雅黑" w:hAnsi="微软雅黑" w:cs="微软雅黑" w:hint="default"/>
          <w:color w:val="2E75B5"/>
          <w:sz w:val="22"/>
          <w:szCs w:val="22"/>
        </w:rPr>
      </w:pPr>
      <w:r>
        <w:rPr>
          <w:rFonts w:ascii="微软雅黑" w:eastAsia="微软雅黑" w:hAnsi="微软雅黑" w:cs="微软雅黑"/>
          <w:color w:val="2E75B5"/>
          <w:sz w:val="22"/>
          <w:szCs w:val="22"/>
        </w:rPr>
        <w:t>弱势产品</w:t>
      </w:r>
    </w:p>
    <w:p w14:paraId="1D34F209" w14:textId="77777777" w:rsidR="00955E05" w:rsidRDefault="00A42563">
      <w:pPr>
        <w:pStyle w:val="a3"/>
        <w:spacing w:beforeAutospacing="0" w:afterAutospacing="0"/>
        <w:rPr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产品</w:t>
      </w:r>
      <w:r>
        <w:rPr>
          <w:rFonts w:ascii="Calibri" w:hAnsi="Calibri" w:cs="Calibri"/>
          <w:sz w:val="22"/>
          <w:szCs w:val="22"/>
        </w:rPr>
        <w:t>A7</w:t>
      </w:r>
      <w:r>
        <w:rPr>
          <w:rFonts w:ascii="微软雅黑" w:eastAsia="微软雅黑" w:hAnsi="微软雅黑" w:cs="微软雅黑" w:hint="eastAsia"/>
          <w:sz w:val="22"/>
          <w:szCs w:val="22"/>
        </w:rPr>
        <w:t>占有严重不足：与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行相比，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行的产品</w:t>
      </w:r>
      <w:r>
        <w:rPr>
          <w:rFonts w:ascii="Calibri" w:hAnsi="Calibri" w:cs="Calibri"/>
          <w:sz w:val="22"/>
          <w:szCs w:val="22"/>
        </w:rPr>
        <w:t>A7</w:t>
      </w:r>
      <w:r>
        <w:rPr>
          <w:rFonts w:ascii="微软雅黑" w:eastAsia="微软雅黑" w:hAnsi="微软雅黑" w:cs="微软雅黑" w:hint="eastAsia"/>
          <w:sz w:val="22"/>
          <w:szCs w:val="22"/>
        </w:rPr>
        <w:t>占比仅有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6</w:t>
      </w:r>
      <w:r>
        <w:rPr>
          <w:rFonts w:ascii="微软雅黑" w:eastAsia="微软雅黑" w:hAnsi="微软雅黑" w:cs="微软雅黑" w:hint="eastAsia"/>
          <w:sz w:val="22"/>
          <w:szCs w:val="22"/>
        </w:rPr>
        <w:t>,A</w:t>
      </w:r>
      <w:r>
        <w:rPr>
          <w:rFonts w:ascii="微软雅黑" w:eastAsia="微软雅黑" w:hAnsi="微软雅黑" w:cs="微软雅黑" w:hint="eastAsia"/>
          <w:sz w:val="22"/>
          <w:szCs w:val="22"/>
        </w:rPr>
        <w:t>行缺失此类产品的市场份额，无法吸引该产品的目标客群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，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 </w:t>
      </w:r>
      <w:r>
        <w:rPr>
          <w:rFonts w:ascii="微软雅黑" w:eastAsia="微软雅黑" w:hAnsi="微软雅黑" w:cs="微软雅黑" w:hint="eastAsia"/>
          <w:sz w:val="22"/>
          <w:szCs w:val="22"/>
        </w:rPr>
        <w:t>其较高的产品利率优势还未充分发挥</w:t>
      </w:r>
      <w:r>
        <w:rPr>
          <w:rFonts w:ascii="微软雅黑" w:eastAsia="微软雅黑" w:hAnsi="微软雅黑" w:cs="微软雅黑" w:hint="eastAsia"/>
          <w:sz w:val="22"/>
          <w:szCs w:val="22"/>
        </w:rPr>
        <w:t>.</w:t>
      </w:r>
    </w:p>
    <w:p w14:paraId="1335F4A6" w14:textId="77777777" w:rsidR="00955E05" w:rsidRDefault="00A42563">
      <w:pPr>
        <w:pStyle w:val="a3"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 </w:t>
      </w:r>
    </w:p>
    <w:p w14:paraId="17F752AF" w14:textId="77777777" w:rsidR="00955E05" w:rsidRDefault="00A42563">
      <w:pPr>
        <w:pStyle w:val="5"/>
        <w:spacing w:beforeAutospacing="0" w:afterAutospacing="0"/>
        <w:rPr>
          <w:rFonts w:ascii="微软雅黑" w:eastAsia="微软雅黑" w:hAnsi="微软雅黑" w:cs="微软雅黑" w:hint="default"/>
          <w:color w:val="2E75B5"/>
          <w:sz w:val="22"/>
          <w:szCs w:val="22"/>
        </w:rPr>
      </w:pPr>
      <w:r>
        <w:rPr>
          <w:rFonts w:ascii="微软雅黑" w:eastAsia="微软雅黑" w:hAnsi="微软雅黑" w:cs="微软雅黑"/>
          <w:color w:val="2E75B5"/>
          <w:sz w:val="22"/>
          <w:szCs w:val="22"/>
        </w:rPr>
        <w:t>产品期限分布</w:t>
      </w:r>
    </w:p>
    <w:p w14:paraId="062BB6E7" w14:textId="77777777" w:rsidR="00955E05" w:rsidRDefault="00A42563">
      <w:pPr>
        <w:pStyle w:val="a3"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A(A1)&gt;B(A1) -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短期产品占比较高</w:t>
      </w:r>
      <w:r>
        <w:rPr>
          <w:rFonts w:ascii="微软雅黑" w:eastAsia="微软雅黑" w:hAnsi="微软雅黑" w:cs="微软雅黑" w:hint="eastAsia"/>
          <w:sz w:val="22"/>
          <w:szCs w:val="22"/>
        </w:rPr>
        <w:t>：与</w:t>
      </w:r>
      <w:r>
        <w:rPr>
          <w:rFonts w:ascii="微软雅黑" w:eastAsia="微软雅黑" w:hAnsi="微软雅黑" w:cs="微软雅黑" w:hint="eastAsia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行相比，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行的短周期产品（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微软雅黑" w:hint="eastAsia"/>
          <w:sz w:val="22"/>
          <w:szCs w:val="22"/>
        </w:rPr>
        <w:t>月期以内）占总量的</w:t>
      </w:r>
      <w:r>
        <w:rPr>
          <w:rFonts w:ascii="Calibri" w:hAnsi="Calibri" w:cs="Calibri"/>
          <w:sz w:val="22"/>
          <w:szCs w:val="22"/>
        </w:rPr>
        <w:t>A1,</w:t>
      </w:r>
      <w:r>
        <w:rPr>
          <w:rFonts w:ascii="微软雅黑" w:eastAsia="微软雅黑" w:hAnsi="微软雅黑" w:cs="微软雅黑" w:hint="eastAsia"/>
          <w:sz w:val="22"/>
          <w:szCs w:val="22"/>
        </w:rPr>
        <w:t>远高于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行的</w:t>
      </w:r>
      <w:r>
        <w:rPr>
          <w:rFonts w:ascii="Calibri" w:hAnsi="Calibri" w:cs="Calibri"/>
          <w:sz w:val="22"/>
          <w:szCs w:val="22"/>
        </w:rPr>
        <w:t>A1,</w:t>
      </w:r>
      <w:r>
        <w:rPr>
          <w:rFonts w:ascii="微软雅黑" w:eastAsia="微软雅黑" w:hAnsi="微软雅黑" w:cs="微软雅黑" w:hint="eastAsia"/>
          <w:sz w:val="22"/>
          <w:szCs w:val="22"/>
        </w:rPr>
        <w:t>应持续增加短期爆款产品发行规模和频率，提高募集资金留存频率，并且通过产品期限调配和类活期产品的衔接，帮客户主动管理产品到期持币等待期间资金</w:t>
      </w:r>
    </w:p>
    <w:p w14:paraId="56147FA7" w14:textId="77777777" w:rsidR="00955E05" w:rsidRDefault="00A42563">
      <w:pPr>
        <w:pStyle w:val="a3"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A(A1)&lt;B(A1) - 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短期产品占比较低：</w:t>
      </w:r>
      <w:r>
        <w:rPr>
          <w:rFonts w:ascii="微软雅黑" w:eastAsia="微软雅黑" w:hAnsi="微软雅黑" w:cs="微软雅黑" w:hint="eastAsia"/>
          <w:sz w:val="22"/>
          <w:szCs w:val="22"/>
        </w:rPr>
        <w:t>与</w:t>
      </w:r>
      <w:r>
        <w:rPr>
          <w:rFonts w:ascii="微软雅黑" w:eastAsia="微软雅黑" w:hAnsi="微软雅黑" w:cs="微软雅黑" w:hint="eastAsia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行相比，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行的短周期产品（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微软雅黑" w:hint="eastAsia"/>
          <w:sz w:val="22"/>
          <w:szCs w:val="22"/>
        </w:rPr>
        <w:t>月期以内）占总量的</w:t>
      </w:r>
      <w:r>
        <w:rPr>
          <w:rFonts w:ascii="Calibri" w:hAnsi="Calibri" w:cs="Calibri"/>
          <w:sz w:val="22"/>
          <w:szCs w:val="22"/>
        </w:rPr>
        <w:t>A1,</w:t>
      </w:r>
      <w:r>
        <w:rPr>
          <w:rFonts w:ascii="微软雅黑" w:eastAsia="微软雅黑" w:hAnsi="微软雅黑" w:cs="微软雅黑" w:hint="eastAsia"/>
          <w:sz w:val="22"/>
          <w:szCs w:val="22"/>
        </w:rPr>
        <w:t>远低于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行的</w:t>
      </w:r>
      <w:r>
        <w:rPr>
          <w:rFonts w:ascii="Calibri" w:hAnsi="Calibri" w:cs="Calibri"/>
          <w:sz w:val="22"/>
          <w:szCs w:val="22"/>
        </w:rPr>
        <w:t>A1</w:t>
      </w:r>
      <w:r>
        <w:rPr>
          <w:rFonts w:ascii="微软雅黑" w:eastAsia="微软雅黑" w:hAnsi="微软雅黑" w:cs="微软雅黑" w:hint="eastAsia"/>
          <w:sz w:val="22"/>
          <w:szCs w:val="22"/>
        </w:rPr>
        <w:t>，应持续增加短期爆款产品发行规模和频率，提高募集资金留存频率，并且通过产品期限调配和类活期产品的衔接，帮客户主动管理产品到期持币等待期间资金</w:t>
      </w:r>
    </w:p>
    <w:p w14:paraId="6B720B4C" w14:textId="77777777" w:rsidR="00955E05" w:rsidRDefault="00A42563">
      <w:pPr>
        <w:pStyle w:val="a3"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A(A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)&gt;B(A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) -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长期产品占比较高</w:t>
      </w:r>
      <w:r>
        <w:rPr>
          <w:rFonts w:ascii="微软雅黑" w:eastAsia="微软雅黑" w:hAnsi="微软雅黑" w:cs="微软雅黑" w:hint="eastAsia"/>
          <w:sz w:val="22"/>
          <w:szCs w:val="22"/>
        </w:rPr>
        <w:t>：与</w:t>
      </w:r>
      <w:r>
        <w:rPr>
          <w:rFonts w:ascii="微软雅黑" w:eastAsia="微软雅黑" w:hAnsi="微软雅黑" w:cs="微软雅黑" w:hint="eastAsia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行相比，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行的长周期产品（</w:t>
      </w:r>
      <w:r>
        <w:rPr>
          <w:rFonts w:ascii="微软雅黑" w:eastAsia="微软雅黑" w:hAnsi="微软雅黑" w:cs="微软雅黑" w:hint="eastAsia"/>
          <w:sz w:val="22"/>
          <w:szCs w:val="22"/>
        </w:rPr>
        <w:t>3</w:t>
      </w:r>
      <w:r>
        <w:rPr>
          <w:rFonts w:ascii="微软雅黑" w:eastAsia="微软雅黑" w:hAnsi="微软雅黑" w:cs="微软雅黑" w:hint="eastAsia"/>
          <w:sz w:val="22"/>
          <w:szCs w:val="22"/>
        </w:rPr>
        <w:t>年以上）占总量的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sz w:val="22"/>
          <w:szCs w:val="22"/>
        </w:rPr>
        <w:t>远</w:t>
      </w:r>
      <w:r>
        <w:rPr>
          <w:rFonts w:ascii="微软雅黑" w:eastAsia="微软雅黑" w:hAnsi="微软雅黑" w:cs="微软雅黑" w:hint="eastAsia"/>
          <w:sz w:val="22"/>
          <w:szCs w:val="22"/>
        </w:rPr>
        <w:t>高于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行的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sz w:val="22"/>
          <w:szCs w:val="22"/>
        </w:rPr>
        <w:t>应持续增加长期产品发行规模和频率，提高客户粘性和在我行的资金留存率，并且配合短期产品，增加募集期资金和产品到期赎回资金有针对性地留存</w:t>
      </w:r>
    </w:p>
    <w:p w14:paraId="11285674" w14:textId="77777777" w:rsidR="00955E05" w:rsidRDefault="00A42563">
      <w:pPr>
        <w:pStyle w:val="a3"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A(A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)&lt;B(A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) - 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长期产品占比较低：</w:t>
      </w:r>
      <w:r>
        <w:rPr>
          <w:rFonts w:ascii="微软雅黑" w:eastAsia="微软雅黑" w:hAnsi="微软雅黑" w:cs="微软雅黑" w:hint="eastAsia"/>
          <w:sz w:val="22"/>
          <w:szCs w:val="22"/>
        </w:rPr>
        <w:t>与</w:t>
      </w:r>
      <w:r>
        <w:rPr>
          <w:rFonts w:ascii="微软雅黑" w:eastAsia="微软雅黑" w:hAnsi="微软雅黑" w:cs="微软雅黑" w:hint="eastAsia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行相比，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行的长周期产品（</w:t>
      </w:r>
      <w:r>
        <w:rPr>
          <w:rFonts w:ascii="微软雅黑" w:eastAsia="微软雅黑" w:hAnsi="微软雅黑" w:cs="微软雅黑" w:hint="eastAsia"/>
          <w:sz w:val="22"/>
          <w:szCs w:val="22"/>
        </w:rPr>
        <w:t>3</w:t>
      </w:r>
      <w:r>
        <w:rPr>
          <w:rFonts w:ascii="微软雅黑" w:eastAsia="微软雅黑" w:hAnsi="微软雅黑" w:cs="微软雅黑" w:hint="eastAsia"/>
          <w:sz w:val="22"/>
          <w:szCs w:val="22"/>
        </w:rPr>
        <w:t>年以上）占总量的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sz w:val="22"/>
          <w:szCs w:val="22"/>
        </w:rPr>
        <w:t>远低于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行的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微软雅黑" w:eastAsia="微软雅黑" w:hAnsi="微软雅黑" w:cs="微软雅黑" w:hint="eastAsia"/>
          <w:sz w:val="22"/>
          <w:szCs w:val="22"/>
        </w:rPr>
        <w:t>，应持续增加长期产品发行规模和频率，提高客户粘性和在我行的资金留存率，并且配合短期产品，增加募集期资金和产品到期赎回资金有针对性地留存</w:t>
      </w:r>
    </w:p>
    <w:p w14:paraId="53894CB9" w14:textId="77777777" w:rsidR="00955E05" w:rsidRDefault="00A42563">
      <w:pPr>
        <w:pStyle w:val="a3"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 </w:t>
      </w:r>
    </w:p>
    <w:p w14:paraId="555131F8" w14:textId="77777777" w:rsidR="00955E05" w:rsidRDefault="00A42563">
      <w:pPr>
        <w:pStyle w:val="a3"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产品利率分布</w:t>
      </w:r>
    </w:p>
    <w:p w14:paraId="26F6CBFD" w14:textId="77777777" w:rsidR="00955E05" w:rsidRDefault="00A42563">
      <w:pPr>
        <w:pStyle w:val="a3"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A(A1)&gt;B(A1) -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低成本产品占比偏高</w:t>
      </w:r>
      <w:r>
        <w:rPr>
          <w:rFonts w:ascii="微软雅黑" w:eastAsia="微软雅黑" w:hAnsi="微软雅黑" w:cs="微软雅黑" w:hint="eastAsia"/>
          <w:sz w:val="22"/>
          <w:szCs w:val="22"/>
        </w:rPr>
        <w:t>：与</w:t>
      </w:r>
      <w:r>
        <w:rPr>
          <w:rFonts w:ascii="微软雅黑" w:eastAsia="微软雅黑" w:hAnsi="微软雅黑" w:cs="微软雅黑" w:hint="eastAsia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行相比，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行的低成本产品（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微软雅黑" w:hint="eastAsia"/>
          <w:sz w:val="22"/>
          <w:szCs w:val="22"/>
        </w:rPr>
        <w:t>%</w:t>
      </w:r>
      <w:r>
        <w:rPr>
          <w:rFonts w:ascii="微软雅黑" w:eastAsia="微软雅黑" w:hAnsi="微软雅黑" w:cs="微软雅黑" w:hint="eastAsia"/>
          <w:sz w:val="22"/>
          <w:szCs w:val="22"/>
        </w:rPr>
        <w:t>以内）占总量的</w:t>
      </w:r>
      <w:r>
        <w:rPr>
          <w:rFonts w:ascii="Calibri" w:hAnsi="Calibri" w:cs="Calibri"/>
          <w:sz w:val="22"/>
          <w:szCs w:val="22"/>
        </w:rPr>
        <w:t>A1,</w:t>
      </w:r>
      <w:r>
        <w:rPr>
          <w:rFonts w:ascii="微软雅黑" w:eastAsia="微软雅黑" w:hAnsi="微软雅黑" w:cs="微软雅黑" w:hint="eastAsia"/>
          <w:sz w:val="22"/>
          <w:szCs w:val="22"/>
        </w:rPr>
        <w:t>远高于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行的</w:t>
      </w:r>
      <w:r>
        <w:rPr>
          <w:rFonts w:ascii="Calibri" w:hAnsi="Calibri" w:cs="Calibri"/>
          <w:sz w:val="22"/>
          <w:szCs w:val="22"/>
        </w:rPr>
        <w:t>A1</w:t>
      </w:r>
      <w:r>
        <w:rPr>
          <w:rFonts w:ascii="微软雅黑" w:eastAsia="微软雅黑" w:hAnsi="微软雅黑" w:cs="微软雅黑" w:hint="eastAsia"/>
          <w:sz w:val="22"/>
          <w:szCs w:val="22"/>
        </w:rPr>
        <w:t>，在关注高收益的爆款产品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同时，应持续增加低成本财富产品，配合周期性较灵活的产品设计，满足客户对流动性和便捷度的要求，同时提高此类型产品的收益率。</w:t>
      </w:r>
    </w:p>
    <w:p w14:paraId="64FC7B08" w14:textId="77777777" w:rsidR="00955E05" w:rsidRDefault="00A42563">
      <w:pPr>
        <w:pStyle w:val="a3"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A(A1)&lt;B(A1) - 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低成本产品占比偏低：</w:t>
      </w:r>
      <w:r>
        <w:rPr>
          <w:rFonts w:ascii="微软雅黑" w:eastAsia="微软雅黑" w:hAnsi="微软雅黑" w:cs="微软雅黑" w:hint="eastAsia"/>
          <w:sz w:val="22"/>
          <w:szCs w:val="22"/>
        </w:rPr>
        <w:t>与</w:t>
      </w:r>
      <w:r>
        <w:rPr>
          <w:rFonts w:ascii="微软雅黑" w:eastAsia="微软雅黑" w:hAnsi="微软雅黑" w:cs="微软雅黑" w:hint="eastAsia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行相比，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行的低成本产品（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微软雅黑" w:hint="eastAsia"/>
          <w:sz w:val="22"/>
          <w:szCs w:val="22"/>
        </w:rPr>
        <w:t>%</w:t>
      </w:r>
      <w:r>
        <w:rPr>
          <w:rFonts w:ascii="微软雅黑" w:eastAsia="微软雅黑" w:hAnsi="微软雅黑" w:cs="微软雅黑" w:hint="eastAsia"/>
          <w:sz w:val="22"/>
          <w:szCs w:val="22"/>
        </w:rPr>
        <w:t>以内）占总量的</w:t>
      </w:r>
      <w:r>
        <w:rPr>
          <w:rFonts w:ascii="Calibri" w:hAnsi="Calibri" w:cs="Calibri"/>
          <w:sz w:val="22"/>
          <w:szCs w:val="22"/>
        </w:rPr>
        <w:t>A1,</w:t>
      </w:r>
      <w:r>
        <w:rPr>
          <w:rFonts w:ascii="微软雅黑" w:eastAsia="微软雅黑" w:hAnsi="微软雅黑" w:cs="微软雅黑" w:hint="eastAsia"/>
          <w:sz w:val="22"/>
          <w:szCs w:val="22"/>
        </w:rPr>
        <w:t>远低于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行的</w:t>
      </w:r>
      <w:r>
        <w:rPr>
          <w:rFonts w:ascii="Calibri" w:hAnsi="Calibri" w:cs="Calibri"/>
          <w:sz w:val="22"/>
          <w:szCs w:val="22"/>
        </w:rPr>
        <w:t>A1,</w:t>
      </w:r>
      <w:r>
        <w:rPr>
          <w:rFonts w:ascii="微软雅黑" w:eastAsia="微软雅黑" w:hAnsi="微软雅黑" w:cs="微软雅黑" w:hint="eastAsia"/>
          <w:sz w:val="22"/>
          <w:szCs w:val="22"/>
        </w:rPr>
        <w:t>财富类产品中高息存款占比相对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sz w:val="22"/>
          <w:szCs w:val="22"/>
        </w:rPr>
        <w:t>势必会使得存款成本率攀升，在关注高收益的爆款产品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</w:rPr>
        <w:t>同时，应持续增加低成本财富产品，配合周期性较灵活的产品设计，满足客户对流动性和便捷度的要求，同时提高此类型产品的收益率</w:t>
      </w:r>
    </w:p>
    <w:p w14:paraId="4508BEBE" w14:textId="77777777" w:rsidR="00955E05" w:rsidRDefault="00A42563">
      <w:pPr>
        <w:pStyle w:val="a3"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A(A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)&gt;B(A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) -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高收益爆款占比高</w:t>
      </w:r>
      <w:r>
        <w:rPr>
          <w:rFonts w:ascii="微软雅黑" w:eastAsia="微软雅黑" w:hAnsi="微软雅黑" w:cs="微软雅黑" w:hint="eastAsia"/>
          <w:sz w:val="22"/>
          <w:szCs w:val="22"/>
        </w:rPr>
        <w:t>：与</w:t>
      </w:r>
      <w:r>
        <w:rPr>
          <w:rFonts w:ascii="微软雅黑" w:eastAsia="微软雅黑" w:hAnsi="微软雅黑" w:cs="微软雅黑" w:hint="eastAsia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行相比，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行的高收益产品（</w:t>
      </w:r>
      <w:r>
        <w:rPr>
          <w:rFonts w:ascii="Calibri" w:hAnsi="Calibri" w:cs="Calibri"/>
          <w:sz w:val="22"/>
          <w:szCs w:val="22"/>
        </w:rPr>
        <w:t>4.5</w:t>
      </w:r>
      <w:r>
        <w:rPr>
          <w:rFonts w:ascii="微软雅黑" w:eastAsia="微软雅黑" w:hAnsi="微软雅黑" w:cs="微软雅黑" w:hint="eastAsia"/>
          <w:sz w:val="22"/>
          <w:szCs w:val="22"/>
        </w:rPr>
        <w:t>%</w:t>
      </w:r>
      <w:r>
        <w:rPr>
          <w:rFonts w:ascii="微软雅黑" w:eastAsia="微软雅黑" w:hAnsi="微软雅黑" w:cs="微软雅黑" w:hint="eastAsia"/>
          <w:sz w:val="22"/>
          <w:szCs w:val="22"/>
        </w:rPr>
        <w:t>以上）占总量的</w:t>
      </w:r>
      <w:r>
        <w:rPr>
          <w:rFonts w:ascii="Calibri" w:hAnsi="Calibri" w:cs="Calibri"/>
          <w:sz w:val="22"/>
          <w:szCs w:val="22"/>
        </w:rPr>
        <w:t>A,</w:t>
      </w:r>
      <w:r>
        <w:rPr>
          <w:rFonts w:ascii="微软雅黑" w:eastAsia="微软雅黑" w:hAnsi="微软雅黑" w:cs="微软雅黑" w:hint="eastAsia"/>
          <w:sz w:val="22"/>
          <w:szCs w:val="22"/>
        </w:rPr>
        <w:t>远高于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行的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sz w:val="22"/>
          <w:szCs w:val="22"/>
        </w:rPr>
        <w:t>应由高收益爆款产品做好客户预热，适当延长高竞争力产品的募集周期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</w:p>
    <w:p w14:paraId="7B8A5AE2" w14:textId="77777777" w:rsidR="00955E05" w:rsidRDefault="00A42563">
      <w:pPr>
        <w:pStyle w:val="a3"/>
        <w:spacing w:beforeAutospacing="0" w:afterAutospacing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A(A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)&lt;B(A</w:t>
      </w:r>
      <w:r>
        <w:rPr>
          <w:rFonts w:ascii="微软雅黑" w:eastAsia="微软雅黑" w:hAnsi="微软雅黑" w:cs="微软雅黑" w:hint="eastAsia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) - </w:t>
      </w:r>
      <w:r>
        <w:rPr>
          <w:rFonts w:ascii="微软雅黑" w:eastAsia="微软雅黑" w:hAnsi="微软雅黑" w:cs="微软雅黑" w:hint="eastAsia"/>
          <w:b/>
          <w:sz w:val="22"/>
          <w:szCs w:val="22"/>
        </w:rPr>
        <w:t>高收益爆款占比低：</w:t>
      </w:r>
      <w:r>
        <w:rPr>
          <w:rFonts w:ascii="微软雅黑" w:eastAsia="微软雅黑" w:hAnsi="微软雅黑" w:cs="微软雅黑" w:hint="eastAsia"/>
          <w:sz w:val="22"/>
          <w:szCs w:val="22"/>
        </w:rPr>
        <w:t>与</w:t>
      </w:r>
      <w:r>
        <w:rPr>
          <w:rFonts w:ascii="微软雅黑" w:eastAsia="微软雅黑" w:hAnsi="微软雅黑" w:cs="微软雅黑" w:hint="eastAsia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行相比，</w:t>
      </w:r>
      <w:r>
        <w:rPr>
          <w:rFonts w:ascii="微软雅黑" w:eastAsia="微软雅黑" w:hAnsi="微软雅黑" w:cs="微软雅黑" w:hint="eastAsia"/>
          <w:sz w:val="22"/>
          <w:szCs w:val="22"/>
        </w:rPr>
        <w:t>A</w:t>
      </w:r>
      <w:r>
        <w:rPr>
          <w:rFonts w:ascii="微软雅黑" w:eastAsia="微软雅黑" w:hAnsi="微软雅黑" w:cs="微软雅黑" w:hint="eastAsia"/>
          <w:sz w:val="22"/>
          <w:szCs w:val="22"/>
        </w:rPr>
        <w:t>行的高收益产品（</w:t>
      </w:r>
      <w:r>
        <w:rPr>
          <w:rFonts w:ascii="Calibri" w:hAnsi="Calibri" w:cs="Calibri"/>
          <w:sz w:val="22"/>
          <w:szCs w:val="22"/>
        </w:rPr>
        <w:t>4.5</w:t>
      </w:r>
      <w:r>
        <w:rPr>
          <w:rFonts w:ascii="微软雅黑" w:eastAsia="微软雅黑" w:hAnsi="微软雅黑" w:cs="微软雅黑" w:hint="eastAsia"/>
          <w:sz w:val="22"/>
          <w:szCs w:val="22"/>
        </w:rPr>
        <w:t>%</w:t>
      </w:r>
      <w:r>
        <w:rPr>
          <w:rFonts w:ascii="微软雅黑" w:eastAsia="微软雅黑" w:hAnsi="微软雅黑" w:cs="微软雅黑" w:hint="eastAsia"/>
          <w:sz w:val="22"/>
          <w:szCs w:val="22"/>
        </w:rPr>
        <w:t>以上）占总量的</w:t>
      </w:r>
      <w:r>
        <w:rPr>
          <w:rFonts w:ascii="Calibri" w:hAnsi="Calibri" w:cs="Calibri"/>
          <w:sz w:val="22"/>
          <w:szCs w:val="22"/>
        </w:rPr>
        <w:t>A2,</w:t>
      </w:r>
      <w:r>
        <w:rPr>
          <w:rFonts w:ascii="微软雅黑" w:eastAsia="微软雅黑" w:hAnsi="微软雅黑" w:cs="微软雅黑" w:hint="eastAsia"/>
          <w:sz w:val="22"/>
          <w:szCs w:val="22"/>
        </w:rPr>
        <w:t>远低于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微软雅黑" w:hint="eastAsia"/>
          <w:sz w:val="22"/>
          <w:szCs w:val="22"/>
        </w:rPr>
        <w:t>行的</w:t>
      </w:r>
      <w:r>
        <w:rPr>
          <w:rFonts w:ascii="Calibri" w:hAnsi="Calibri" w:cs="Calibri"/>
          <w:sz w:val="22"/>
          <w:szCs w:val="22"/>
        </w:rPr>
        <w:t>A2</w:t>
      </w:r>
      <w:r>
        <w:rPr>
          <w:rFonts w:ascii="微软雅黑" w:eastAsia="微软雅黑" w:hAnsi="微软雅黑" w:cs="微软雅黑" w:hint="eastAsia"/>
          <w:sz w:val="22"/>
          <w:szCs w:val="22"/>
        </w:rPr>
        <w:t>，</w:t>
      </w:r>
    </w:p>
    <w:p w14:paraId="05CD8478" w14:textId="77777777" w:rsidR="00955E05" w:rsidRDefault="00A42563">
      <w:pPr>
        <w:pStyle w:val="a3"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标准定价的活定存缺乏对客吸引力，普通定期存款缺乏有力抓手。</w:t>
      </w:r>
    </w:p>
    <w:p w14:paraId="385FA684" w14:textId="77777777" w:rsidR="00955E05" w:rsidRDefault="00A4256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83F543" w14:textId="77777777" w:rsidR="00955E05" w:rsidRDefault="00A42563">
      <w:pPr>
        <w:pStyle w:val="a3"/>
        <w:spacing w:beforeAutospacing="0" w:afterAutospacing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 </w:t>
      </w:r>
    </w:p>
    <w:p w14:paraId="0964E6FB" w14:textId="77777777" w:rsidR="00955E05" w:rsidRDefault="00955E05"/>
    <w:sectPr w:rsidR="00955E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FE6696"/>
    <w:rsid w:val="00955E05"/>
    <w:rsid w:val="00A42563"/>
    <w:rsid w:val="4561219E"/>
    <w:rsid w:val="5F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2B615D"/>
  <w15:docId w15:val="{6452E7F8-8D23-7D44-B1D4-ABB76CB0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5">
    <w:name w:val="heading 5"/>
    <w:next w:val="a"/>
    <w:semiHidden/>
    <w:unhideWhenUsed/>
    <w:qFormat/>
    <w:pPr>
      <w:spacing w:beforeAutospacing="1" w:afterAutospacing="1"/>
      <w:outlineLvl w:val="4"/>
    </w:pPr>
    <w:rPr>
      <w:rFonts w:ascii="宋体" w:hAnsi="宋体" w:hint="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Wang Tianyu</cp:lastModifiedBy>
  <cp:revision>2</cp:revision>
  <dcterms:created xsi:type="dcterms:W3CDTF">2020-05-13T16:52:00Z</dcterms:created>
  <dcterms:modified xsi:type="dcterms:W3CDTF">2020-05-14T13:51:00Z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