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A0199B" w14:textId="77777777" w:rsidR="00D118BC" w:rsidRPr="00F07E08" w:rsidRDefault="00D118BC">
      <w:pPr>
        <w:spacing w:before="156"/>
        <w:jc w:val="center"/>
        <w:rPr>
          <w:rFonts w:ascii="微软雅黑" w:eastAsia="微软雅黑" w:hAnsi="微软雅黑"/>
          <w:b/>
          <w:bCs/>
          <w:sz w:val="52"/>
          <w:szCs w:val="52"/>
        </w:rPr>
      </w:pPr>
      <w:r w:rsidRPr="00F07E08">
        <w:rPr>
          <w:rFonts w:ascii="微软雅黑" w:eastAsia="微软雅黑" w:hAnsi="微软雅黑" w:hint="eastAsia"/>
          <w:b/>
          <w:bCs/>
          <w:sz w:val="52"/>
          <w:szCs w:val="52"/>
        </w:rPr>
        <w:t>FIN 8033BCF作業二</w:t>
      </w:r>
    </w:p>
    <w:p w14:paraId="49C2E827" w14:textId="323371C3" w:rsidR="009273EC" w:rsidRPr="00F07E08" w:rsidRDefault="00D118BC">
      <w:pPr>
        <w:spacing w:before="156"/>
        <w:jc w:val="center"/>
        <w:rPr>
          <w:rFonts w:ascii="微软雅黑" w:eastAsia="微软雅黑" w:hAnsi="微软雅黑"/>
          <w:b/>
          <w:bCs/>
          <w:sz w:val="44"/>
          <w:szCs w:val="44"/>
          <w:lang w:eastAsia="zh-TW"/>
        </w:rPr>
      </w:pPr>
      <w:r w:rsidRPr="00F07E08">
        <w:rPr>
          <w:rFonts w:ascii="微软雅黑" w:eastAsia="微软雅黑" w:hAnsi="微软雅黑" w:hint="eastAsia"/>
          <w:b/>
          <w:bCs/>
          <w:sz w:val="44"/>
          <w:szCs w:val="44"/>
        </w:rPr>
        <w:t>——</w:t>
      </w:r>
      <w:r w:rsidRPr="00F07E08">
        <w:rPr>
          <w:rFonts w:ascii="微软雅黑" w:eastAsia="微软雅黑" w:hAnsi="微软雅黑" w:hint="eastAsia"/>
          <w:b/>
          <w:bCs/>
          <w:sz w:val="44"/>
          <w:szCs w:val="44"/>
          <w:lang w:eastAsia="zh-TW"/>
        </w:rPr>
        <w:t>海底撈</w:t>
      </w:r>
    </w:p>
    <w:tbl>
      <w:tblPr>
        <w:tblpPr w:leftFromText="180" w:rightFromText="180" w:vertAnchor="text" w:horzAnchor="margin" w:tblpXSpec="center" w:tblpY="2216"/>
        <w:tblW w:w="3681" w:type="dxa"/>
        <w:tblLook w:val="04A0" w:firstRow="1" w:lastRow="0" w:firstColumn="1" w:lastColumn="0" w:noHBand="0" w:noVBand="1"/>
      </w:tblPr>
      <w:tblGrid>
        <w:gridCol w:w="1696"/>
        <w:gridCol w:w="1985"/>
      </w:tblGrid>
      <w:tr w:rsidR="00EC1DB2" w:rsidRPr="00F07E08" w14:paraId="6A7E7099" w14:textId="77777777" w:rsidTr="00BD3459">
        <w:trPr>
          <w:trHeight w:val="639"/>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034F69" w14:textId="77777777" w:rsidR="00D118BC" w:rsidRPr="00F07E08" w:rsidRDefault="00D118BC" w:rsidP="00C873C5">
            <w:pPr>
              <w:jc w:val="center"/>
              <w:rPr>
                <w:rFonts w:ascii="微软雅黑" w:eastAsia="微软雅黑" w:hAnsi="微软雅黑"/>
                <w:sz w:val="22"/>
                <w:szCs w:val="22"/>
              </w:rPr>
            </w:pPr>
            <w:r w:rsidRPr="00F07E08">
              <w:rPr>
                <w:rFonts w:ascii="微软雅黑" w:eastAsia="微软雅黑" w:hAnsi="微软雅黑" w:hint="eastAsia"/>
                <w:sz w:val="22"/>
                <w:szCs w:val="22"/>
              </w:rPr>
              <w:t>學號</w:t>
            </w:r>
          </w:p>
        </w:tc>
        <w:tc>
          <w:tcPr>
            <w:tcW w:w="1985" w:type="dxa"/>
            <w:tcBorders>
              <w:top w:val="single" w:sz="4" w:space="0" w:color="auto"/>
              <w:left w:val="nil"/>
              <w:bottom w:val="single" w:sz="4" w:space="0" w:color="auto"/>
              <w:right w:val="single" w:sz="4" w:space="0" w:color="auto"/>
            </w:tcBorders>
            <w:shd w:val="clear" w:color="auto" w:fill="auto"/>
            <w:noWrap/>
            <w:vAlign w:val="bottom"/>
            <w:hideMark/>
          </w:tcPr>
          <w:p w14:paraId="350A62D6" w14:textId="77777777" w:rsidR="00D118BC" w:rsidRPr="00F07E08" w:rsidRDefault="00D118BC" w:rsidP="00C873C5">
            <w:pPr>
              <w:jc w:val="center"/>
              <w:rPr>
                <w:rFonts w:ascii="微软雅黑" w:eastAsia="微软雅黑" w:hAnsi="微软雅黑"/>
                <w:sz w:val="22"/>
                <w:szCs w:val="22"/>
              </w:rPr>
            </w:pPr>
            <w:r w:rsidRPr="00F07E08">
              <w:rPr>
                <w:rFonts w:ascii="微软雅黑" w:eastAsia="微软雅黑" w:hAnsi="微软雅黑" w:hint="eastAsia"/>
                <w:sz w:val="22"/>
                <w:szCs w:val="22"/>
              </w:rPr>
              <w:t>姓名</w:t>
            </w:r>
          </w:p>
        </w:tc>
      </w:tr>
      <w:tr w:rsidR="00EC1DB2" w:rsidRPr="00F07E08" w14:paraId="3D5986BC" w14:textId="77777777" w:rsidTr="00BD3459">
        <w:trPr>
          <w:trHeight w:val="639"/>
        </w:trPr>
        <w:tc>
          <w:tcPr>
            <w:tcW w:w="1696" w:type="dxa"/>
            <w:tcBorders>
              <w:top w:val="nil"/>
              <w:left w:val="single" w:sz="4" w:space="0" w:color="auto"/>
              <w:bottom w:val="single" w:sz="4" w:space="0" w:color="auto"/>
              <w:right w:val="single" w:sz="4" w:space="0" w:color="auto"/>
            </w:tcBorders>
            <w:shd w:val="clear" w:color="000000" w:fill="FFFFFF"/>
            <w:vAlign w:val="bottom"/>
            <w:hideMark/>
          </w:tcPr>
          <w:p w14:paraId="0FB29B04" w14:textId="77777777" w:rsidR="00D118BC" w:rsidRPr="00F07E08" w:rsidRDefault="00D118BC" w:rsidP="00C873C5">
            <w:pPr>
              <w:jc w:val="center"/>
              <w:rPr>
                <w:rFonts w:ascii="微软雅黑" w:eastAsia="微软雅黑" w:hAnsi="微软雅黑" w:cs="Arial"/>
                <w:sz w:val="22"/>
                <w:szCs w:val="22"/>
              </w:rPr>
            </w:pPr>
            <w:r w:rsidRPr="00F07E08">
              <w:rPr>
                <w:rFonts w:ascii="微软雅黑" w:eastAsia="微软雅黑" w:hAnsi="微软雅黑" w:cs="Arial"/>
                <w:sz w:val="22"/>
                <w:szCs w:val="22"/>
              </w:rPr>
              <w:t>13635344</w:t>
            </w:r>
          </w:p>
        </w:tc>
        <w:tc>
          <w:tcPr>
            <w:tcW w:w="1985" w:type="dxa"/>
            <w:tcBorders>
              <w:top w:val="nil"/>
              <w:left w:val="nil"/>
              <w:bottom w:val="single" w:sz="4" w:space="0" w:color="auto"/>
              <w:right w:val="single" w:sz="4" w:space="0" w:color="auto"/>
            </w:tcBorders>
            <w:shd w:val="clear" w:color="000000" w:fill="FFFFFF"/>
            <w:vAlign w:val="bottom"/>
            <w:hideMark/>
          </w:tcPr>
          <w:p w14:paraId="51F19E7A" w14:textId="2E24F8B2" w:rsidR="00D118BC" w:rsidRPr="00F07E08" w:rsidRDefault="00D118BC" w:rsidP="00C873C5">
            <w:pPr>
              <w:jc w:val="center"/>
              <w:rPr>
                <w:rFonts w:ascii="微软雅黑" w:eastAsia="微软雅黑" w:hAnsi="微软雅黑" w:cs="Arial"/>
                <w:sz w:val="22"/>
                <w:szCs w:val="22"/>
              </w:rPr>
            </w:pPr>
            <w:r w:rsidRPr="00F07E08">
              <w:rPr>
                <w:rFonts w:ascii="微软雅黑" w:eastAsia="微软雅黑" w:hAnsi="微软雅黑" w:cs="Arial"/>
                <w:sz w:val="22"/>
                <w:szCs w:val="22"/>
              </w:rPr>
              <w:t>崔尤斌</w:t>
            </w:r>
          </w:p>
        </w:tc>
      </w:tr>
      <w:tr w:rsidR="00EC1DB2" w:rsidRPr="00F07E08" w14:paraId="626DF88C" w14:textId="77777777" w:rsidTr="00BD3459">
        <w:trPr>
          <w:trHeight w:val="639"/>
        </w:trPr>
        <w:tc>
          <w:tcPr>
            <w:tcW w:w="1696" w:type="dxa"/>
            <w:tcBorders>
              <w:top w:val="nil"/>
              <w:left w:val="single" w:sz="4" w:space="0" w:color="auto"/>
              <w:bottom w:val="single" w:sz="4" w:space="0" w:color="auto"/>
              <w:right w:val="single" w:sz="4" w:space="0" w:color="auto"/>
            </w:tcBorders>
            <w:shd w:val="clear" w:color="000000" w:fill="FFFFFF"/>
            <w:vAlign w:val="bottom"/>
            <w:hideMark/>
          </w:tcPr>
          <w:p w14:paraId="2E92C106" w14:textId="77777777" w:rsidR="00D118BC" w:rsidRPr="00F07E08" w:rsidRDefault="00D118BC" w:rsidP="00C873C5">
            <w:pPr>
              <w:jc w:val="center"/>
              <w:rPr>
                <w:rFonts w:ascii="微软雅黑" w:eastAsia="微软雅黑" w:hAnsi="微软雅黑" w:cs="Arial"/>
                <w:sz w:val="22"/>
                <w:szCs w:val="22"/>
              </w:rPr>
            </w:pPr>
            <w:r w:rsidRPr="00F07E08">
              <w:rPr>
                <w:rFonts w:ascii="微软雅黑" w:eastAsia="微软雅黑" w:hAnsi="微软雅黑" w:cs="Arial"/>
                <w:sz w:val="22"/>
                <w:szCs w:val="22"/>
              </w:rPr>
              <w:t>13665557</w:t>
            </w:r>
          </w:p>
        </w:tc>
        <w:tc>
          <w:tcPr>
            <w:tcW w:w="1985" w:type="dxa"/>
            <w:tcBorders>
              <w:top w:val="nil"/>
              <w:left w:val="nil"/>
              <w:bottom w:val="single" w:sz="4" w:space="0" w:color="auto"/>
              <w:right w:val="single" w:sz="4" w:space="0" w:color="auto"/>
            </w:tcBorders>
            <w:shd w:val="clear" w:color="000000" w:fill="FFFFFF"/>
            <w:vAlign w:val="bottom"/>
            <w:hideMark/>
          </w:tcPr>
          <w:p w14:paraId="4F03DE24" w14:textId="77777777" w:rsidR="00D118BC" w:rsidRPr="00F07E08" w:rsidRDefault="00D118BC" w:rsidP="00C873C5">
            <w:pPr>
              <w:jc w:val="center"/>
              <w:rPr>
                <w:rFonts w:ascii="微软雅黑" w:eastAsia="微软雅黑" w:hAnsi="微软雅黑" w:cs="Arial"/>
                <w:sz w:val="22"/>
                <w:szCs w:val="22"/>
              </w:rPr>
            </w:pPr>
            <w:r w:rsidRPr="00F07E08">
              <w:rPr>
                <w:rFonts w:ascii="微软雅黑" w:eastAsia="微软雅黑" w:hAnsi="微软雅黑" w:cs="Arial"/>
                <w:sz w:val="22"/>
                <w:szCs w:val="22"/>
              </w:rPr>
              <w:t>秦伯特</w:t>
            </w:r>
          </w:p>
        </w:tc>
      </w:tr>
      <w:tr w:rsidR="00EC1DB2" w:rsidRPr="00F07E08" w14:paraId="2EF56151" w14:textId="77777777" w:rsidTr="00BD3459">
        <w:trPr>
          <w:trHeight w:val="639"/>
        </w:trPr>
        <w:tc>
          <w:tcPr>
            <w:tcW w:w="1696" w:type="dxa"/>
            <w:tcBorders>
              <w:top w:val="nil"/>
              <w:left w:val="single" w:sz="4" w:space="0" w:color="auto"/>
              <w:bottom w:val="single" w:sz="4" w:space="0" w:color="auto"/>
              <w:right w:val="single" w:sz="4" w:space="0" w:color="auto"/>
            </w:tcBorders>
            <w:shd w:val="clear" w:color="000000" w:fill="FFFFFF"/>
            <w:vAlign w:val="bottom"/>
            <w:hideMark/>
          </w:tcPr>
          <w:p w14:paraId="2FE4FB29" w14:textId="77777777" w:rsidR="00D118BC" w:rsidRPr="00F07E08" w:rsidRDefault="00D118BC" w:rsidP="00C873C5">
            <w:pPr>
              <w:jc w:val="center"/>
              <w:rPr>
                <w:rFonts w:ascii="微软雅黑" w:eastAsia="微软雅黑" w:hAnsi="微软雅黑" w:cs="Arial"/>
                <w:sz w:val="22"/>
                <w:szCs w:val="22"/>
              </w:rPr>
            </w:pPr>
            <w:r w:rsidRPr="00F07E08">
              <w:rPr>
                <w:rFonts w:ascii="微软雅黑" w:eastAsia="微软雅黑" w:hAnsi="微软雅黑" w:cs="Arial"/>
                <w:sz w:val="22"/>
                <w:szCs w:val="22"/>
              </w:rPr>
              <w:t>13738529</w:t>
            </w:r>
          </w:p>
        </w:tc>
        <w:tc>
          <w:tcPr>
            <w:tcW w:w="1985" w:type="dxa"/>
            <w:tcBorders>
              <w:top w:val="nil"/>
              <w:left w:val="nil"/>
              <w:bottom w:val="single" w:sz="4" w:space="0" w:color="auto"/>
              <w:right w:val="single" w:sz="4" w:space="0" w:color="auto"/>
            </w:tcBorders>
            <w:shd w:val="clear" w:color="000000" w:fill="FFFFFF"/>
            <w:vAlign w:val="bottom"/>
            <w:hideMark/>
          </w:tcPr>
          <w:p w14:paraId="7E8427BC" w14:textId="77777777" w:rsidR="00D118BC" w:rsidRPr="00F07E08" w:rsidRDefault="00D118BC" w:rsidP="00C873C5">
            <w:pPr>
              <w:jc w:val="center"/>
              <w:rPr>
                <w:rFonts w:ascii="微软雅黑" w:eastAsia="微软雅黑" w:hAnsi="微软雅黑" w:cs="Arial"/>
                <w:sz w:val="22"/>
                <w:szCs w:val="22"/>
              </w:rPr>
            </w:pPr>
            <w:r w:rsidRPr="00F07E08">
              <w:rPr>
                <w:rFonts w:ascii="微软雅黑" w:eastAsia="微软雅黑" w:hAnsi="微软雅黑" w:cs="Arial"/>
                <w:sz w:val="22"/>
                <w:szCs w:val="22"/>
              </w:rPr>
              <w:t>欧倩</w:t>
            </w:r>
          </w:p>
        </w:tc>
      </w:tr>
      <w:tr w:rsidR="00EC1DB2" w:rsidRPr="00F07E08" w14:paraId="186DCF72" w14:textId="77777777" w:rsidTr="00BD3459">
        <w:trPr>
          <w:trHeight w:val="639"/>
        </w:trPr>
        <w:tc>
          <w:tcPr>
            <w:tcW w:w="1696" w:type="dxa"/>
            <w:tcBorders>
              <w:top w:val="nil"/>
              <w:left w:val="single" w:sz="4" w:space="0" w:color="auto"/>
              <w:bottom w:val="single" w:sz="4" w:space="0" w:color="auto"/>
              <w:right w:val="single" w:sz="4" w:space="0" w:color="auto"/>
            </w:tcBorders>
            <w:shd w:val="clear" w:color="000000" w:fill="FFFFFF"/>
            <w:vAlign w:val="bottom"/>
            <w:hideMark/>
          </w:tcPr>
          <w:p w14:paraId="16A32A62" w14:textId="77777777" w:rsidR="00D118BC" w:rsidRPr="00F07E08" w:rsidRDefault="00D118BC" w:rsidP="00C873C5">
            <w:pPr>
              <w:jc w:val="center"/>
              <w:rPr>
                <w:rFonts w:ascii="微软雅黑" w:eastAsia="微软雅黑" w:hAnsi="微软雅黑" w:cs="Arial"/>
                <w:sz w:val="22"/>
                <w:szCs w:val="22"/>
              </w:rPr>
            </w:pPr>
            <w:r w:rsidRPr="00F07E08">
              <w:rPr>
                <w:rFonts w:ascii="微软雅黑" w:eastAsia="微软雅黑" w:hAnsi="微软雅黑" w:cs="Arial"/>
                <w:sz w:val="22"/>
                <w:szCs w:val="22"/>
              </w:rPr>
              <w:t>13542300</w:t>
            </w:r>
          </w:p>
        </w:tc>
        <w:tc>
          <w:tcPr>
            <w:tcW w:w="1985" w:type="dxa"/>
            <w:tcBorders>
              <w:top w:val="nil"/>
              <w:left w:val="nil"/>
              <w:bottom w:val="single" w:sz="4" w:space="0" w:color="auto"/>
              <w:right w:val="single" w:sz="4" w:space="0" w:color="auto"/>
            </w:tcBorders>
            <w:shd w:val="clear" w:color="000000" w:fill="FFFFFF"/>
            <w:vAlign w:val="bottom"/>
            <w:hideMark/>
          </w:tcPr>
          <w:p w14:paraId="0C9DAFCC" w14:textId="77777777" w:rsidR="00D118BC" w:rsidRPr="00F07E08" w:rsidRDefault="00D118BC" w:rsidP="00C873C5">
            <w:pPr>
              <w:jc w:val="center"/>
              <w:rPr>
                <w:rFonts w:ascii="微软雅黑" w:eastAsia="微软雅黑" w:hAnsi="微软雅黑" w:cs="Arial"/>
                <w:sz w:val="22"/>
                <w:szCs w:val="22"/>
              </w:rPr>
            </w:pPr>
            <w:r w:rsidRPr="00F07E08">
              <w:rPr>
                <w:rFonts w:ascii="微软雅黑" w:eastAsia="微软雅黑" w:hAnsi="微软雅黑" w:cs="Arial"/>
                <w:sz w:val="22"/>
                <w:szCs w:val="22"/>
              </w:rPr>
              <w:t>毛晓莉</w:t>
            </w:r>
          </w:p>
        </w:tc>
      </w:tr>
      <w:tr w:rsidR="00EC1DB2" w:rsidRPr="00F07E08" w14:paraId="1ACB6DCB" w14:textId="77777777" w:rsidTr="00BD3459">
        <w:trPr>
          <w:trHeight w:val="639"/>
        </w:trPr>
        <w:tc>
          <w:tcPr>
            <w:tcW w:w="1696" w:type="dxa"/>
            <w:tcBorders>
              <w:top w:val="nil"/>
              <w:left w:val="single" w:sz="4" w:space="0" w:color="auto"/>
              <w:bottom w:val="single" w:sz="4" w:space="0" w:color="auto"/>
              <w:right w:val="single" w:sz="4" w:space="0" w:color="auto"/>
            </w:tcBorders>
            <w:shd w:val="clear" w:color="000000" w:fill="FFFFFF"/>
            <w:vAlign w:val="bottom"/>
            <w:hideMark/>
          </w:tcPr>
          <w:p w14:paraId="47BC13F1" w14:textId="77777777" w:rsidR="00D118BC" w:rsidRPr="00F07E08" w:rsidRDefault="00D118BC" w:rsidP="00C873C5">
            <w:pPr>
              <w:jc w:val="center"/>
              <w:rPr>
                <w:rFonts w:ascii="微软雅黑" w:eastAsia="微软雅黑" w:hAnsi="微软雅黑" w:cs="Arial"/>
                <w:sz w:val="22"/>
                <w:szCs w:val="22"/>
              </w:rPr>
            </w:pPr>
            <w:r w:rsidRPr="00F07E08">
              <w:rPr>
                <w:rFonts w:ascii="微软雅黑" w:eastAsia="微软雅黑" w:hAnsi="微软雅黑" w:cs="Arial"/>
                <w:sz w:val="22"/>
                <w:szCs w:val="22"/>
              </w:rPr>
              <w:t>13541040</w:t>
            </w:r>
          </w:p>
        </w:tc>
        <w:tc>
          <w:tcPr>
            <w:tcW w:w="1985" w:type="dxa"/>
            <w:tcBorders>
              <w:top w:val="nil"/>
              <w:left w:val="nil"/>
              <w:bottom w:val="single" w:sz="4" w:space="0" w:color="auto"/>
              <w:right w:val="single" w:sz="4" w:space="0" w:color="auto"/>
            </w:tcBorders>
            <w:shd w:val="clear" w:color="000000" w:fill="FFFFFF"/>
            <w:vAlign w:val="bottom"/>
            <w:hideMark/>
          </w:tcPr>
          <w:p w14:paraId="1555E1FD" w14:textId="77777777" w:rsidR="00D118BC" w:rsidRPr="00F07E08" w:rsidRDefault="00D118BC" w:rsidP="00C873C5">
            <w:pPr>
              <w:jc w:val="center"/>
              <w:rPr>
                <w:rFonts w:ascii="微软雅黑" w:eastAsia="微软雅黑" w:hAnsi="微软雅黑" w:cs="Arial"/>
                <w:sz w:val="22"/>
                <w:szCs w:val="22"/>
              </w:rPr>
            </w:pPr>
            <w:r w:rsidRPr="00F07E08">
              <w:rPr>
                <w:rFonts w:ascii="微软雅黑" w:eastAsia="微软雅黑" w:hAnsi="微软雅黑" w:cs="Arial"/>
                <w:sz w:val="22"/>
                <w:szCs w:val="22"/>
              </w:rPr>
              <w:t>于佳美</w:t>
            </w:r>
          </w:p>
        </w:tc>
      </w:tr>
      <w:tr w:rsidR="00EC1DB2" w:rsidRPr="00F07E08" w14:paraId="34917C0D" w14:textId="77777777" w:rsidTr="00BD3459">
        <w:trPr>
          <w:trHeight w:val="639"/>
        </w:trPr>
        <w:tc>
          <w:tcPr>
            <w:tcW w:w="1696" w:type="dxa"/>
            <w:tcBorders>
              <w:top w:val="nil"/>
              <w:left w:val="single" w:sz="4" w:space="0" w:color="auto"/>
              <w:bottom w:val="single" w:sz="4" w:space="0" w:color="auto"/>
              <w:right w:val="single" w:sz="4" w:space="0" w:color="auto"/>
            </w:tcBorders>
            <w:shd w:val="clear" w:color="000000" w:fill="FFFFFF"/>
            <w:vAlign w:val="bottom"/>
            <w:hideMark/>
          </w:tcPr>
          <w:p w14:paraId="093FD825" w14:textId="77777777" w:rsidR="00D118BC" w:rsidRPr="00F07E08" w:rsidRDefault="00D118BC" w:rsidP="00C873C5">
            <w:pPr>
              <w:jc w:val="center"/>
              <w:rPr>
                <w:rFonts w:ascii="微软雅黑" w:eastAsia="微软雅黑" w:hAnsi="微软雅黑" w:cs="Arial"/>
                <w:sz w:val="22"/>
                <w:szCs w:val="22"/>
              </w:rPr>
            </w:pPr>
            <w:r w:rsidRPr="00F07E08">
              <w:rPr>
                <w:rFonts w:ascii="微软雅黑" w:eastAsia="微软雅黑" w:hAnsi="微软雅黑" w:cs="Arial"/>
                <w:sz w:val="22"/>
                <w:szCs w:val="22"/>
              </w:rPr>
              <w:t>13521212</w:t>
            </w:r>
          </w:p>
        </w:tc>
        <w:tc>
          <w:tcPr>
            <w:tcW w:w="1985" w:type="dxa"/>
            <w:tcBorders>
              <w:top w:val="nil"/>
              <w:left w:val="nil"/>
              <w:bottom w:val="single" w:sz="4" w:space="0" w:color="auto"/>
              <w:right w:val="single" w:sz="4" w:space="0" w:color="auto"/>
            </w:tcBorders>
            <w:shd w:val="clear" w:color="000000" w:fill="FFFFFF"/>
            <w:vAlign w:val="bottom"/>
            <w:hideMark/>
          </w:tcPr>
          <w:p w14:paraId="7153BD49" w14:textId="77777777" w:rsidR="00D118BC" w:rsidRPr="00F07E08" w:rsidRDefault="00D118BC" w:rsidP="00C873C5">
            <w:pPr>
              <w:jc w:val="center"/>
              <w:rPr>
                <w:rFonts w:ascii="微软雅黑" w:eastAsia="微软雅黑" w:hAnsi="微软雅黑" w:cs="Arial"/>
                <w:sz w:val="22"/>
                <w:szCs w:val="22"/>
              </w:rPr>
            </w:pPr>
            <w:r w:rsidRPr="00F07E08">
              <w:rPr>
                <w:rFonts w:ascii="微软雅黑" w:eastAsia="微软雅黑" w:hAnsi="微软雅黑" w:cs="Arial"/>
                <w:sz w:val="22"/>
                <w:szCs w:val="22"/>
              </w:rPr>
              <w:t>高枧苟</w:t>
            </w:r>
          </w:p>
        </w:tc>
      </w:tr>
    </w:tbl>
    <w:p w14:paraId="19C1E8C6" w14:textId="77777777" w:rsidR="00385D8B" w:rsidRPr="00F07E08" w:rsidRDefault="00385D8B" w:rsidP="00C873C5">
      <w:pPr>
        <w:jc w:val="center"/>
        <w:rPr>
          <w:rFonts w:ascii="微软雅黑" w:eastAsia="微软雅黑" w:hAnsi="微软雅黑"/>
          <w:sz w:val="22"/>
          <w:szCs w:val="22"/>
        </w:rPr>
      </w:pPr>
    </w:p>
    <w:p w14:paraId="3CD19613" w14:textId="77777777" w:rsidR="00385D8B" w:rsidRPr="00F07E08" w:rsidRDefault="00385D8B" w:rsidP="00C873C5">
      <w:pPr>
        <w:jc w:val="center"/>
        <w:rPr>
          <w:rFonts w:ascii="微软雅黑" w:eastAsia="微软雅黑" w:hAnsi="微软雅黑"/>
          <w:sz w:val="22"/>
          <w:szCs w:val="22"/>
        </w:rPr>
      </w:pPr>
    </w:p>
    <w:p w14:paraId="60FD5EE0" w14:textId="3F0BA54F" w:rsidR="00D118BC" w:rsidRPr="00F07E08" w:rsidRDefault="00D118BC" w:rsidP="00385D8B">
      <w:pPr>
        <w:jc w:val="center"/>
        <w:rPr>
          <w:rFonts w:ascii="微软雅黑" w:eastAsia="微软雅黑" w:hAnsi="微软雅黑"/>
          <w:b/>
          <w:bCs/>
          <w:sz w:val="22"/>
          <w:szCs w:val="22"/>
          <w:lang w:eastAsia="zh-TW"/>
        </w:rPr>
      </w:pPr>
      <w:r w:rsidRPr="00F07E08">
        <w:rPr>
          <w:rFonts w:ascii="微软雅黑" w:eastAsia="微软雅黑" w:hAnsi="微软雅黑" w:hint="eastAsia"/>
          <w:b/>
          <w:bCs/>
          <w:sz w:val="22"/>
          <w:szCs w:val="22"/>
          <w:lang w:eastAsia="zh-TW"/>
        </w:rPr>
        <w:t>組別：T07 B組</w:t>
      </w:r>
    </w:p>
    <w:p w14:paraId="34333139" w14:textId="77777777" w:rsidR="00D118BC" w:rsidRPr="00F07E08" w:rsidRDefault="00D118BC">
      <w:pPr>
        <w:spacing w:before="156"/>
        <w:jc w:val="center"/>
        <w:rPr>
          <w:rFonts w:ascii="微软雅黑" w:eastAsia="微软雅黑" w:hAnsi="微软雅黑"/>
          <w:b/>
          <w:bCs/>
          <w:sz w:val="52"/>
          <w:szCs w:val="52"/>
          <w:lang w:eastAsia="zh-TW"/>
        </w:rPr>
      </w:pPr>
    </w:p>
    <w:p w14:paraId="73E447A0" w14:textId="77777777" w:rsidR="00D118BC" w:rsidRPr="00F07E08" w:rsidRDefault="00D118BC">
      <w:pPr>
        <w:spacing w:before="156"/>
        <w:jc w:val="center"/>
        <w:rPr>
          <w:rFonts w:ascii="微软雅黑" w:eastAsia="微软雅黑" w:hAnsi="微软雅黑"/>
          <w:b/>
          <w:bCs/>
          <w:sz w:val="52"/>
          <w:szCs w:val="52"/>
        </w:rPr>
      </w:pPr>
    </w:p>
    <w:p w14:paraId="16C27DA8" w14:textId="77777777" w:rsidR="00C873C5" w:rsidRPr="00F07E08" w:rsidRDefault="00C873C5">
      <w:pPr>
        <w:spacing w:before="156"/>
        <w:jc w:val="center"/>
        <w:rPr>
          <w:rFonts w:ascii="微软雅黑" w:eastAsia="微软雅黑" w:hAnsi="微软雅黑"/>
          <w:b/>
          <w:bCs/>
          <w:sz w:val="52"/>
          <w:szCs w:val="52"/>
        </w:rPr>
      </w:pPr>
    </w:p>
    <w:p w14:paraId="4E08FE71" w14:textId="77777777" w:rsidR="00C873C5" w:rsidRPr="00F07E08" w:rsidRDefault="00C873C5">
      <w:pPr>
        <w:spacing w:before="156"/>
        <w:jc w:val="center"/>
        <w:rPr>
          <w:rFonts w:ascii="微软雅黑" w:eastAsia="微软雅黑" w:hAnsi="微软雅黑"/>
          <w:b/>
          <w:bCs/>
          <w:sz w:val="52"/>
          <w:szCs w:val="52"/>
        </w:rPr>
      </w:pPr>
    </w:p>
    <w:p w14:paraId="4D9ED778" w14:textId="77777777" w:rsidR="00C873C5" w:rsidRPr="00F07E08" w:rsidRDefault="00C873C5">
      <w:pPr>
        <w:spacing w:before="156"/>
        <w:jc w:val="center"/>
        <w:rPr>
          <w:rFonts w:ascii="微软雅黑" w:eastAsia="微软雅黑" w:hAnsi="微软雅黑"/>
          <w:b/>
          <w:bCs/>
          <w:sz w:val="52"/>
          <w:szCs w:val="52"/>
        </w:rPr>
      </w:pPr>
    </w:p>
    <w:p w14:paraId="728D6D3B" w14:textId="77777777" w:rsidR="00D118BC" w:rsidRPr="00F07E08" w:rsidRDefault="00D118BC">
      <w:pPr>
        <w:spacing w:before="156"/>
        <w:jc w:val="center"/>
        <w:rPr>
          <w:rFonts w:ascii="微软雅黑" w:eastAsia="微软雅黑" w:hAnsi="微软雅黑"/>
          <w:b/>
          <w:bCs/>
          <w:sz w:val="52"/>
          <w:szCs w:val="52"/>
          <w:lang w:eastAsia="zh-TW"/>
        </w:rPr>
      </w:pPr>
    </w:p>
    <w:p w14:paraId="1F7EEF17" w14:textId="5678E9DC" w:rsidR="00B052AC" w:rsidRPr="00F07E08" w:rsidRDefault="00D118BC" w:rsidP="00B052AC">
      <w:pPr>
        <w:spacing w:after="0" w:line="240" w:lineRule="auto"/>
        <w:rPr>
          <w:rFonts w:ascii="微软雅黑" w:eastAsia="微软雅黑" w:hAnsi="微软雅黑"/>
          <w:lang w:eastAsia="zh-TW"/>
        </w:rPr>
      </w:pPr>
      <w:r w:rsidRPr="00F07E08">
        <w:rPr>
          <w:rFonts w:ascii="微软雅黑" w:eastAsia="微软雅黑" w:hAnsi="微软雅黑"/>
          <w:lang w:eastAsia="zh-TW"/>
        </w:rPr>
        <w:br w:type="page"/>
      </w:r>
    </w:p>
    <w:p w14:paraId="5550F104" w14:textId="4F773097" w:rsidR="009273EC" w:rsidRPr="0080276D" w:rsidRDefault="00000000" w:rsidP="0080276D">
      <w:pPr>
        <w:pStyle w:val="2"/>
        <w:rPr>
          <w:rFonts w:ascii="微软雅黑" w:eastAsia="微软雅黑" w:hAnsi="微软雅黑"/>
          <w:b/>
          <w:bCs/>
          <w:lang w:eastAsia="zh-TW"/>
        </w:rPr>
      </w:pPr>
      <w:bookmarkStart w:id="0" w:name="_Toc180601367"/>
      <w:r w:rsidRPr="0080276D">
        <w:rPr>
          <w:rFonts w:ascii="微软雅黑" w:eastAsia="微软雅黑" w:hAnsi="微软雅黑" w:hint="eastAsia"/>
          <w:b/>
          <w:bCs/>
          <w:lang w:eastAsia="zh-TW"/>
        </w:rPr>
        <w:lastRenderedPageBreak/>
        <w:t>一、公司摘要</w:t>
      </w:r>
      <w:bookmarkEnd w:id="0"/>
    </w:p>
    <w:p w14:paraId="1D3AFFEC" w14:textId="77777777" w:rsidR="009273EC" w:rsidRPr="0080276D" w:rsidRDefault="00000000" w:rsidP="0080276D">
      <w:pPr>
        <w:pStyle w:val="3"/>
        <w:rPr>
          <w:rFonts w:ascii="微软雅黑" w:eastAsia="微软雅黑" w:hAnsi="微软雅黑"/>
          <w:b/>
          <w:bCs/>
          <w:lang w:eastAsia="zh-TW"/>
        </w:rPr>
      </w:pPr>
      <w:bookmarkStart w:id="1" w:name="_Toc180601368"/>
      <w:r w:rsidRPr="0080276D">
        <w:rPr>
          <w:rFonts w:ascii="微软雅黑" w:eastAsia="微软雅黑" w:hAnsi="微软雅黑"/>
          <w:b/>
          <w:bCs/>
          <w:lang w:eastAsia="zh-TW"/>
        </w:rPr>
        <w:t>1.</w:t>
      </w:r>
      <w:r w:rsidRPr="0080276D">
        <w:rPr>
          <w:rFonts w:ascii="微软雅黑" w:eastAsia="微软雅黑" w:hAnsi="微软雅黑" w:hint="eastAsia"/>
          <w:b/>
          <w:bCs/>
          <w:lang w:eastAsia="zh-TW"/>
        </w:rPr>
        <w:t>公司簡介</w:t>
      </w:r>
      <w:bookmarkEnd w:id="1"/>
    </w:p>
    <w:p w14:paraId="7B78AF90" w14:textId="77777777" w:rsidR="009273EC" w:rsidRPr="00F07E08" w:rsidRDefault="00000000" w:rsidP="005C610F">
      <w:pPr>
        <w:spacing w:before="156"/>
        <w:jc w:val="both"/>
        <w:rPr>
          <w:rFonts w:ascii="微软雅黑" w:eastAsia="微软雅黑" w:hAnsi="微软雅黑"/>
          <w:lang w:eastAsia="zh-TW"/>
        </w:rPr>
      </w:pPr>
      <w:r w:rsidRPr="00F07E08">
        <w:rPr>
          <w:rFonts w:ascii="微软雅黑" w:eastAsia="微软雅黑" w:hAnsi="微软雅黑" w:hint="eastAsia"/>
          <w:lang w:eastAsia="zh-TW"/>
        </w:rPr>
        <w:t>海底撈是主打火鍋品類的中式餐飲品牌。海底撈品牌在中式餐飲行業已經形成一種獨特的文化現象，成為極致服務體驗和就餐體驗的代名詞。</w:t>
      </w:r>
    </w:p>
    <w:p w14:paraId="5FF4154E" w14:textId="77777777" w:rsidR="009273EC" w:rsidRPr="0080276D" w:rsidRDefault="00000000" w:rsidP="0080276D">
      <w:pPr>
        <w:pStyle w:val="3"/>
        <w:rPr>
          <w:rFonts w:ascii="微软雅黑" w:eastAsia="微软雅黑" w:hAnsi="微软雅黑"/>
          <w:b/>
          <w:bCs/>
        </w:rPr>
      </w:pPr>
      <w:bookmarkStart w:id="2" w:name="_Toc180601369"/>
      <w:r w:rsidRPr="0080276D">
        <w:rPr>
          <w:rFonts w:ascii="微软雅黑" w:eastAsia="微软雅黑" w:hAnsi="微软雅黑"/>
          <w:b/>
          <w:bCs/>
          <w:lang w:eastAsia="zh-TW"/>
        </w:rPr>
        <w:t>2.</w:t>
      </w:r>
      <w:r w:rsidRPr="0080276D">
        <w:rPr>
          <w:rFonts w:ascii="微软雅黑" w:eastAsia="微软雅黑" w:hAnsi="微软雅黑" w:hint="eastAsia"/>
          <w:b/>
          <w:bCs/>
          <w:lang w:eastAsia="zh-TW"/>
        </w:rPr>
        <w:t>發展歷程</w:t>
      </w:r>
      <w:bookmarkEnd w:id="2"/>
    </w:p>
    <w:p w14:paraId="31E2440D" w14:textId="413841B2" w:rsidR="009273EC" w:rsidRPr="00F07E08" w:rsidRDefault="00382773" w:rsidP="005C610F">
      <w:pPr>
        <w:spacing w:before="156"/>
        <w:jc w:val="both"/>
        <w:rPr>
          <w:rFonts w:ascii="微软雅黑" w:eastAsia="微软雅黑" w:hAnsi="微软雅黑"/>
        </w:rPr>
      </w:pPr>
      <w:r w:rsidRPr="00F07E08">
        <w:rPr>
          <w:rFonts w:ascii="微软雅黑" w:eastAsia="微软雅黑" w:hAnsi="微软雅黑"/>
          <w:noProof/>
        </w:rPr>
        <w:drawing>
          <wp:inline distT="0" distB="0" distL="0" distR="0" wp14:anchorId="263D157E" wp14:editId="2A068FCC">
            <wp:extent cx="6645910" cy="2632710"/>
            <wp:effectExtent l="0" t="0" r="0" b="0"/>
            <wp:docPr id="74422533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25332" name=""/>
                    <pic:cNvPicPr/>
                  </pic:nvPicPr>
                  <pic:blipFill>
                    <a:blip r:embed="rId8"/>
                    <a:stretch>
                      <a:fillRect/>
                    </a:stretch>
                  </pic:blipFill>
                  <pic:spPr>
                    <a:xfrm>
                      <a:off x="0" y="0"/>
                      <a:ext cx="6645910" cy="2632710"/>
                    </a:xfrm>
                    <a:prstGeom prst="rect">
                      <a:avLst/>
                    </a:prstGeom>
                  </pic:spPr>
                </pic:pic>
              </a:graphicData>
            </a:graphic>
          </wp:inline>
        </w:drawing>
      </w:r>
    </w:p>
    <w:p w14:paraId="50598415" w14:textId="77777777" w:rsidR="009273EC" w:rsidRPr="0080276D" w:rsidRDefault="00000000" w:rsidP="0080276D">
      <w:pPr>
        <w:pStyle w:val="3"/>
        <w:rPr>
          <w:rFonts w:ascii="微软雅黑" w:eastAsia="微软雅黑" w:hAnsi="微软雅黑"/>
          <w:b/>
          <w:bCs/>
        </w:rPr>
      </w:pPr>
      <w:bookmarkStart w:id="3" w:name="_Toc180601370"/>
      <w:r w:rsidRPr="0080276D">
        <w:rPr>
          <w:rFonts w:ascii="微软雅黑" w:eastAsia="微软雅黑" w:hAnsi="微软雅黑"/>
          <w:b/>
          <w:bCs/>
          <w:lang w:eastAsia="zh-TW"/>
        </w:rPr>
        <w:t>3.</w:t>
      </w:r>
      <w:r w:rsidRPr="0080276D">
        <w:rPr>
          <w:rFonts w:ascii="微软雅黑" w:eastAsia="微软雅黑" w:hAnsi="微软雅黑" w:hint="eastAsia"/>
          <w:b/>
          <w:bCs/>
          <w:lang w:eastAsia="zh-TW"/>
        </w:rPr>
        <w:t>股權結構</w:t>
      </w:r>
      <w:bookmarkEnd w:id="3"/>
    </w:p>
    <w:p w14:paraId="152CFFE9" w14:textId="68319483" w:rsidR="009273EC" w:rsidRPr="00F07E08" w:rsidRDefault="00662728" w:rsidP="00FA429C">
      <w:pPr>
        <w:spacing w:before="156"/>
        <w:jc w:val="center"/>
        <w:rPr>
          <w:rFonts w:ascii="微软雅黑" w:eastAsia="微软雅黑" w:hAnsi="微软雅黑"/>
        </w:rPr>
      </w:pPr>
      <w:r w:rsidRPr="00F07E08">
        <w:rPr>
          <w:rFonts w:ascii="微软雅黑" w:eastAsia="微软雅黑" w:hAnsi="微软雅黑"/>
          <w:noProof/>
        </w:rPr>
        <w:drawing>
          <wp:inline distT="0" distB="0" distL="0" distR="0" wp14:anchorId="511B44F9" wp14:editId="44A4ADF6">
            <wp:extent cx="4969823" cy="3111719"/>
            <wp:effectExtent l="0" t="0" r="2540" b="0"/>
            <wp:docPr id="133457491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74914" name=""/>
                    <pic:cNvPicPr/>
                  </pic:nvPicPr>
                  <pic:blipFill>
                    <a:blip r:embed="rId9"/>
                    <a:stretch>
                      <a:fillRect/>
                    </a:stretch>
                  </pic:blipFill>
                  <pic:spPr>
                    <a:xfrm>
                      <a:off x="0" y="0"/>
                      <a:ext cx="4972955" cy="3113680"/>
                    </a:xfrm>
                    <a:prstGeom prst="rect">
                      <a:avLst/>
                    </a:prstGeom>
                  </pic:spPr>
                </pic:pic>
              </a:graphicData>
            </a:graphic>
          </wp:inline>
        </w:drawing>
      </w:r>
    </w:p>
    <w:p w14:paraId="7A623ECB" w14:textId="77777777" w:rsidR="009273EC" w:rsidRPr="00F07E08" w:rsidRDefault="00000000" w:rsidP="005C610F">
      <w:pPr>
        <w:spacing w:before="156"/>
        <w:jc w:val="both"/>
        <w:rPr>
          <w:rFonts w:ascii="微软雅黑" w:eastAsia="微软雅黑" w:hAnsi="微软雅黑"/>
          <w:lang w:eastAsia="zh-TW"/>
        </w:rPr>
      </w:pPr>
      <w:r w:rsidRPr="00F07E08">
        <w:rPr>
          <w:rFonts w:ascii="微软雅黑" w:eastAsia="微软雅黑" w:hAnsi="微软雅黑" w:hint="eastAsia"/>
          <w:lang w:eastAsia="zh-TW"/>
        </w:rPr>
        <w:t>張勇淑萍夫婦處於絕對控股地位。</w:t>
      </w:r>
    </w:p>
    <w:p w14:paraId="260FF7F2" w14:textId="77777777" w:rsidR="009273EC" w:rsidRPr="0080276D" w:rsidRDefault="00000000" w:rsidP="0080276D">
      <w:pPr>
        <w:pStyle w:val="2"/>
        <w:rPr>
          <w:rFonts w:ascii="微软雅黑" w:eastAsia="微软雅黑" w:hAnsi="微软雅黑"/>
          <w:b/>
          <w:bCs/>
          <w:lang w:eastAsia="zh-TW"/>
        </w:rPr>
      </w:pPr>
      <w:bookmarkStart w:id="4" w:name="_Toc180601371"/>
      <w:r w:rsidRPr="0080276D">
        <w:rPr>
          <w:rFonts w:ascii="微软雅黑" w:eastAsia="微软雅黑" w:hAnsi="微软雅黑" w:hint="eastAsia"/>
          <w:b/>
          <w:bCs/>
          <w:lang w:eastAsia="zh-TW"/>
        </w:rPr>
        <w:lastRenderedPageBreak/>
        <w:t>二、行業概述</w:t>
      </w:r>
      <w:bookmarkEnd w:id="4"/>
    </w:p>
    <w:p w14:paraId="31AFC053" w14:textId="6E509964" w:rsidR="00F23825" w:rsidRPr="0080276D" w:rsidRDefault="00F23825" w:rsidP="0080276D">
      <w:pPr>
        <w:pStyle w:val="3"/>
        <w:rPr>
          <w:rFonts w:ascii="微软雅黑" w:eastAsia="微软雅黑" w:hAnsi="微软雅黑"/>
          <w:b/>
          <w:bCs/>
          <w:lang w:eastAsia="zh-TW"/>
        </w:rPr>
      </w:pPr>
      <w:r w:rsidRPr="0080276D">
        <w:rPr>
          <w:rFonts w:ascii="微软雅黑" w:eastAsia="微软雅黑" w:hAnsi="微软雅黑" w:hint="eastAsia"/>
          <w:b/>
          <w:bCs/>
          <w:lang w:eastAsia="zh-TW"/>
        </w:rPr>
        <w:t>1. 疫情後打破行業收入穩定增長趨勢，行業</w:t>
      </w:r>
      <w:r w:rsidR="00570AC3" w:rsidRPr="0080276D">
        <w:rPr>
          <w:rFonts w:ascii="微软雅黑" w:eastAsia="微软雅黑" w:hAnsi="微软雅黑" w:hint="eastAsia"/>
          <w:b/>
          <w:bCs/>
          <w:lang w:eastAsia="zh-TW"/>
        </w:rPr>
        <w:t>增長能否</w:t>
      </w:r>
      <w:r w:rsidRPr="0080276D">
        <w:rPr>
          <w:rFonts w:ascii="微软雅黑" w:eastAsia="微软雅黑" w:hAnsi="微软雅黑" w:hint="eastAsia"/>
          <w:b/>
          <w:bCs/>
          <w:lang w:eastAsia="zh-TW"/>
        </w:rPr>
        <w:t>回到疫情前還要觀察</w:t>
      </w:r>
    </w:p>
    <w:p w14:paraId="0092F714" w14:textId="370ED607" w:rsidR="00C833D0" w:rsidRPr="00F07E08" w:rsidRDefault="009D63AE" w:rsidP="006854B5">
      <w:pPr>
        <w:jc w:val="center"/>
        <w:rPr>
          <w:rFonts w:ascii="微软雅黑" w:eastAsia="微软雅黑" w:hAnsi="微软雅黑"/>
        </w:rPr>
      </w:pPr>
      <w:r w:rsidRPr="00F07E08">
        <w:rPr>
          <w:rFonts w:ascii="微软雅黑" w:eastAsia="微软雅黑" w:hAnsi="微软雅黑"/>
          <w:noProof/>
        </w:rPr>
        <w:drawing>
          <wp:inline distT="0" distB="0" distL="0" distR="0" wp14:anchorId="3E52DFFE" wp14:editId="3821FA5E">
            <wp:extent cx="4572000" cy="2743200"/>
            <wp:effectExtent l="0" t="0" r="0" b="0"/>
            <wp:docPr id="1244255010" name="圖表 1">
              <a:extLst xmlns:a="http://schemas.openxmlformats.org/drawingml/2006/main">
                <a:ext uri="{FF2B5EF4-FFF2-40B4-BE49-F238E27FC236}">
                  <a16:creationId xmlns:a16="http://schemas.microsoft.com/office/drawing/2014/main" id="{ED417730-1C22-5EE6-5A56-CDCE217F68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BE4A1B5" w14:textId="77777777" w:rsidR="006854B5" w:rsidRDefault="00F23825" w:rsidP="0080276D">
      <w:pPr>
        <w:pStyle w:val="3"/>
        <w:rPr>
          <w:rFonts w:ascii="微软雅黑" w:eastAsia="微软雅黑" w:hAnsi="微软雅黑"/>
          <w:b/>
          <w:bCs/>
        </w:rPr>
      </w:pPr>
      <w:r w:rsidRPr="0080276D">
        <w:rPr>
          <w:rFonts w:ascii="微软雅黑" w:eastAsia="微软雅黑" w:hAnsi="微软雅黑" w:hint="eastAsia"/>
          <w:b/>
          <w:bCs/>
        </w:rPr>
        <w:t xml:space="preserve">2. </w:t>
      </w:r>
      <w:r w:rsidRPr="0080276D">
        <w:rPr>
          <w:rFonts w:ascii="微软雅黑" w:eastAsia="微软雅黑" w:hAnsi="微软雅黑"/>
          <w:b/>
          <w:bCs/>
          <w:lang w:eastAsia="zh-TW"/>
        </w:rPr>
        <w:t>2024</w:t>
      </w:r>
      <w:r w:rsidRPr="0080276D">
        <w:rPr>
          <w:rFonts w:ascii="微软雅黑" w:eastAsia="微软雅黑" w:hAnsi="微软雅黑" w:hint="eastAsia"/>
          <w:b/>
          <w:bCs/>
          <w:lang w:eastAsia="zh-TW"/>
        </w:rPr>
        <w:t>年</w:t>
      </w:r>
      <w:r w:rsidRPr="0080276D">
        <w:rPr>
          <w:rFonts w:ascii="微软雅黑" w:eastAsia="微软雅黑" w:hAnsi="微软雅黑"/>
          <w:b/>
          <w:bCs/>
          <w:lang w:eastAsia="zh-TW"/>
        </w:rPr>
        <w:t>1</w:t>
      </w:r>
      <w:r w:rsidRPr="0080276D">
        <w:rPr>
          <w:rFonts w:ascii="微软雅黑" w:eastAsia="微软雅黑" w:hAnsi="微软雅黑" w:hint="eastAsia"/>
          <w:b/>
          <w:bCs/>
          <w:lang w:eastAsia="zh-TW"/>
        </w:rPr>
        <w:t>至</w:t>
      </w:r>
      <w:r w:rsidRPr="0080276D">
        <w:rPr>
          <w:rFonts w:ascii="微软雅黑" w:eastAsia="微软雅黑" w:hAnsi="微软雅黑"/>
          <w:b/>
          <w:bCs/>
          <w:lang w:eastAsia="zh-TW"/>
        </w:rPr>
        <w:t>8</w:t>
      </w:r>
      <w:r w:rsidRPr="0080276D">
        <w:rPr>
          <w:rFonts w:ascii="微软雅黑" w:eastAsia="微软雅黑" w:hAnsi="微软雅黑" w:hint="eastAsia"/>
          <w:b/>
          <w:bCs/>
          <w:lang w:eastAsia="zh-TW"/>
        </w:rPr>
        <w:t>月行業趨勢</w:t>
      </w:r>
    </w:p>
    <w:p w14:paraId="143FD567" w14:textId="5BF89E7A" w:rsidR="00F23825" w:rsidRPr="0080276D" w:rsidRDefault="006854B5" w:rsidP="006854B5">
      <w:pPr>
        <w:jc w:val="center"/>
      </w:pPr>
      <w:r w:rsidRPr="00F07E08">
        <w:rPr>
          <w:noProof/>
          <w:lang w:eastAsia="zh-TW"/>
        </w:rPr>
        <w:drawing>
          <wp:inline distT="0" distB="0" distL="0" distR="0" wp14:anchorId="1FAA8DE4" wp14:editId="6D121CC5">
            <wp:extent cx="5274310" cy="5200015"/>
            <wp:effectExtent l="0" t="0" r="0" b="0"/>
            <wp:docPr id="201247502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75026" name=""/>
                    <pic:cNvPicPr/>
                  </pic:nvPicPr>
                  <pic:blipFill>
                    <a:blip r:embed="rId11"/>
                    <a:stretch>
                      <a:fillRect/>
                    </a:stretch>
                  </pic:blipFill>
                  <pic:spPr>
                    <a:xfrm>
                      <a:off x="0" y="0"/>
                      <a:ext cx="5274310" cy="5200015"/>
                    </a:xfrm>
                    <a:prstGeom prst="rect">
                      <a:avLst/>
                    </a:prstGeom>
                  </pic:spPr>
                </pic:pic>
              </a:graphicData>
            </a:graphic>
          </wp:inline>
        </w:drawing>
      </w:r>
    </w:p>
    <w:p w14:paraId="2AB4BC32" w14:textId="54812D6A" w:rsidR="00C833D0" w:rsidRPr="00F07E08" w:rsidRDefault="00C833D0" w:rsidP="00C833D0">
      <w:pPr>
        <w:jc w:val="center"/>
        <w:rPr>
          <w:rFonts w:ascii="微软雅黑" w:eastAsia="微软雅黑" w:hAnsi="微软雅黑"/>
        </w:rPr>
      </w:pPr>
      <w:r w:rsidRPr="00F07E08">
        <w:rPr>
          <w:rFonts w:ascii="微软雅黑" w:eastAsia="微软雅黑" w:hAnsi="微软雅黑"/>
          <w:noProof/>
        </w:rPr>
        <w:lastRenderedPageBreak/>
        <w:drawing>
          <wp:inline distT="0" distB="0" distL="0" distR="0" wp14:anchorId="3079B471" wp14:editId="480C2BD7">
            <wp:extent cx="5274310" cy="5344160"/>
            <wp:effectExtent l="0" t="0" r="0" b="0"/>
            <wp:docPr id="83226104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61041" name=""/>
                    <pic:cNvPicPr/>
                  </pic:nvPicPr>
                  <pic:blipFill>
                    <a:blip r:embed="rId12"/>
                    <a:stretch>
                      <a:fillRect/>
                    </a:stretch>
                  </pic:blipFill>
                  <pic:spPr>
                    <a:xfrm>
                      <a:off x="0" y="0"/>
                      <a:ext cx="5274310" cy="5344160"/>
                    </a:xfrm>
                    <a:prstGeom prst="rect">
                      <a:avLst/>
                    </a:prstGeom>
                  </pic:spPr>
                </pic:pic>
              </a:graphicData>
            </a:graphic>
          </wp:inline>
        </w:drawing>
      </w:r>
    </w:p>
    <w:p w14:paraId="6552BBB8" w14:textId="2FB49BEA" w:rsidR="00C572B3" w:rsidRPr="00F07E08" w:rsidRDefault="00C572B3" w:rsidP="00C572B3">
      <w:pPr>
        <w:rPr>
          <w:rFonts w:ascii="微软雅黑" w:eastAsia="微软雅黑" w:hAnsi="微软雅黑"/>
          <w:lang w:eastAsia="zh-TW"/>
        </w:rPr>
      </w:pPr>
      <w:r w:rsidRPr="00F07E08">
        <w:rPr>
          <w:rFonts w:ascii="微软雅黑" w:eastAsia="微软雅黑" w:hAnsi="微软雅黑" w:hint="eastAsia"/>
          <w:lang w:eastAsia="zh-TW"/>
        </w:rPr>
        <w:t>從開店速度來看，西式速食和咖啡等品牌都在加速開店，火鍋、酸菜魚、茶飲則出現明顯分化。但是，因消費不振，各細分行業的客單價整體呈現下降趨勢。</w:t>
      </w:r>
    </w:p>
    <w:p w14:paraId="5655A656" w14:textId="77777777" w:rsidR="00407AD1" w:rsidRPr="0080276D" w:rsidRDefault="00F23825" w:rsidP="0080276D">
      <w:pPr>
        <w:pStyle w:val="3"/>
        <w:rPr>
          <w:rFonts w:ascii="微软雅黑" w:eastAsia="微软雅黑" w:hAnsi="微软雅黑"/>
          <w:b/>
          <w:bCs/>
          <w:lang w:eastAsia="zh-TW"/>
        </w:rPr>
      </w:pPr>
      <w:r w:rsidRPr="0080276D">
        <w:rPr>
          <w:rFonts w:ascii="微软雅黑" w:eastAsia="微软雅黑" w:hAnsi="微软雅黑" w:hint="eastAsia"/>
          <w:b/>
          <w:bCs/>
          <w:lang w:eastAsia="zh-TW"/>
        </w:rPr>
        <w:t xml:space="preserve">3. </w:t>
      </w:r>
      <w:r w:rsidRPr="0080276D">
        <w:rPr>
          <w:rFonts w:ascii="微软雅黑" w:eastAsia="微软雅黑" w:hAnsi="微软雅黑"/>
          <w:b/>
          <w:bCs/>
          <w:lang w:eastAsia="zh-TW"/>
        </w:rPr>
        <w:t>24H1</w:t>
      </w:r>
      <w:r w:rsidRPr="0080276D">
        <w:rPr>
          <w:rFonts w:ascii="微软雅黑" w:eastAsia="微软雅黑" w:hAnsi="微软雅黑" w:hint="eastAsia"/>
          <w:b/>
          <w:bCs/>
          <w:lang w:eastAsia="zh-TW"/>
        </w:rPr>
        <w:t>在行業競爭加劇背景下，頭部餐飲品牌經營策略發生分化</w:t>
      </w:r>
    </w:p>
    <w:p w14:paraId="4EA859BD" w14:textId="3A1F1AD8" w:rsidR="00F23825" w:rsidRPr="00F07E08" w:rsidRDefault="00407AD1" w:rsidP="0080276D">
      <w:pPr>
        <w:jc w:val="center"/>
        <w:rPr>
          <w:lang w:eastAsia="zh-TW"/>
        </w:rPr>
      </w:pPr>
      <w:r w:rsidRPr="00F07E08">
        <w:rPr>
          <w:noProof/>
        </w:rPr>
        <w:drawing>
          <wp:inline distT="0" distB="0" distL="0" distR="0" wp14:anchorId="4C9447AD" wp14:editId="6F8EA205">
            <wp:extent cx="5274310" cy="2162175"/>
            <wp:effectExtent l="0" t="0" r="2540" b="9525"/>
            <wp:docPr id="75758839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88396"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2162175"/>
                    </a:xfrm>
                    <a:prstGeom prst="rect">
                      <a:avLst/>
                    </a:prstGeom>
                  </pic:spPr>
                </pic:pic>
              </a:graphicData>
            </a:graphic>
          </wp:inline>
        </w:drawing>
      </w:r>
    </w:p>
    <w:p w14:paraId="2739E41B" w14:textId="77777777" w:rsidR="00407AD1" w:rsidRDefault="00407AD1" w:rsidP="0080276D">
      <w:pPr>
        <w:jc w:val="center"/>
      </w:pPr>
      <w:r w:rsidRPr="00F07E08">
        <w:rPr>
          <w:noProof/>
        </w:rPr>
        <w:lastRenderedPageBreak/>
        <w:drawing>
          <wp:inline distT="0" distB="0" distL="0" distR="0" wp14:anchorId="2279461D" wp14:editId="434E75D4">
            <wp:extent cx="5274310" cy="5187950"/>
            <wp:effectExtent l="0" t="0" r="2540" b="0"/>
            <wp:docPr id="119396117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61170"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5187950"/>
                    </a:xfrm>
                    <a:prstGeom prst="rect">
                      <a:avLst/>
                    </a:prstGeom>
                  </pic:spPr>
                </pic:pic>
              </a:graphicData>
            </a:graphic>
          </wp:inline>
        </w:drawing>
      </w:r>
      <w:bookmarkStart w:id="5" w:name="_Toc180601372"/>
    </w:p>
    <w:p w14:paraId="374AE2CB" w14:textId="340B0E8C" w:rsidR="009273EC" w:rsidRPr="0080276D" w:rsidRDefault="00EA3494" w:rsidP="00C572B3">
      <w:pPr>
        <w:pStyle w:val="2"/>
        <w:rPr>
          <w:rFonts w:ascii="微软雅黑" w:eastAsia="微软雅黑" w:hAnsi="微软雅黑"/>
          <w:b/>
          <w:bCs/>
          <w:color w:val="auto"/>
          <w:lang w:eastAsia="zh-TW"/>
        </w:rPr>
      </w:pPr>
      <w:r w:rsidRPr="0080276D">
        <w:rPr>
          <w:rFonts w:ascii="微软雅黑" w:eastAsia="微软雅黑" w:hAnsi="微软雅黑" w:hint="eastAsia"/>
          <w:b/>
          <w:bCs/>
          <w:color w:val="auto"/>
          <w:lang w:eastAsia="zh-TW"/>
        </w:rPr>
        <w:t>三、財務比率</w:t>
      </w:r>
      <w:bookmarkEnd w:id="5"/>
    </w:p>
    <w:p w14:paraId="4EEB4775" w14:textId="5BF33294" w:rsidR="009273EC" w:rsidRPr="00F07E08" w:rsidRDefault="00000000" w:rsidP="00AD2065">
      <w:pPr>
        <w:jc w:val="center"/>
        <w:rPr>
          <w:rFonts w:ascii="微软雅黑" w:eastAsia="微软雅黑" w:hAnsi="微软雅黑"/>
          <w:b/>
          <w:bCs/>
          <w:lang w:eastAsia="zh-TW"/>
        </w:rPr>
      </w:pPr>
      <w:r w:rsidRPr="00F07E08">
        <w:rPr>
          <w:rFonts w:ascii="微软雅黑" w:eastAsia="微软雅黑" w:hAnsi="微软雅黑" w:hint="eastAsia"/>
          <w:b/>
          <w:bCs/>
          <w:lang w:eastAsia="zh-TW"/>
        </w:rPr>
        <w:t>中期業績財務報表</w:t>
      </w:r>
    </w:p>
    <w:p w14:paraId="332138CF" w14:textId="65602B0B" w:rsidR="009273EC" w:rsidRPr="00F07E08" w:rsidRDefault="00000000" w:rsidP="00FA429C">
      <w:pPr>
        <w:jc w:val="center"/>
        <w:rPr>
          <w:rFonts w:ascii="微软雅黑" w:eastAsia="微软雅黑" w:hAnsi="微软雅黑"/>
          <w:bdr w:val="single" w:sz="4" w:space="0" w:color="auto"/>
        </w:rPr>
      </w:pPr>
      <w:r w:rsidRPr="00F07E08">
        <w:rPr>
          <w:rFonts w:ascii="微软雅黑" w:eastAsia="微软雅黑" w:hAnsi="微软雅黑" w:hint="eastAsia"/>
          <w:noProof/>
          <w:bdr w:val="single" w:sz="4" w:space="0" w:color="auto"/>
        </w:rPr>
        <w:lastRenderedPageBreak/>
        <w:drawing>
          <wp:inline distT="0" distB="0" distL="114300" distR="114300" wp14:anchorId="48FDE489" wp14:editId="26A2CE8B">
            <wp:extent cx="1864426" cy="4199679"/>
            <wp:effectExtent l="0" t="0" r="2540" b="0"/>
            <wp:docPr id="1" name="图片 1" descr="36ce529d4383a4ed9fd9b7529070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6ce529d4383a4ed9fd9b7529070351"/>
                    <pic:cNvPicPr>
                      <a:picLocks noChangeAspect="1"/>
                    </pic:cNvPicPr>
                  </pic:nvPicPr>
                  <pic:blipFill rotWithShape="1">
                    <a:blip r:embed="rId15"/>
                    <a:srcRect r="77592" b="18141"/>
                    <a:stretch/>
                  </pic:blipFill>
                  <pic:spPr bwMode="auto">
                    <a:xfrm>
                      <a:off x="0" y="0"/>
                      <a:ext cx="1870507" cy="4213376"/>
                    </a:xfrm>
                    <a:prstGeom prst="rect">
                      <a:avLst/>
                    </a:prstGeom>
                    <a:ln>
                      <a:noFill/>
                    </a:ln>
                    <a:extLst>
                      <a:ext uri="{53640926-AAD7-44D8-BBD7-CCE9431645EC}">
                        <a14:shadowObscured xmlns:a14="http://schemas.microsoft.com/office/drawing/2010/main"/>
                      </a:ext>
                    </a:extLst>
                  </pic:spPr>
                </pic:pic>
              </a:graphicData>
            </a:graphic>
          </wp:inline>
        </w:drawing>
      </w:r>
      <w:r w:rsidR="00FA429C" w:rsidRPr="00F07E08">
        <w:rPr>
          <w:rFonts w:ascii="微软雅黑" w:eastAsia="微软雅黑" w:hAnsi="微软雅黑" w:hint="eastAsia"/>
          <w:noProof/>
          <w:bdr w:val="single" w:sz="4" w:space="0" w:color="auto"/>
        </w:rPr>
        <w:drawing>
          <wp:inline distT="0" distB="0" distL="114300" distR="114300" wp14:anchorId="17B5B924" wp14:editId="2B5F3F1A">
            <wp:extent cx="1317667" cy="4199679"/>
            <wp:effectExtent l="0" t="0" r="0" b="0"/>
            <wp:docPr id="967864124" name="图片 1" descr="36ce529d4383a4ed9fd9b7529070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6ce529d4383a4ed9fd9b7529070351"/>
                    <pic:cNvPicPr>
                      <a:picLocks noChangeAspect="1"/>
                    </pic:cNvPicPr>
                  </pic:nvPicPr>
                  <pic:blipFill rotWithShape="1">
                    <a:blip r:embed="rId15"/>
                    <a:srcRect l="31329" r="52834" b="18141"/>
                    <a:stretch/>
                  </pic:blipFill>
                  <pic:spPr bwMode="auto">
                    <a:xfrm>
                      <a:off x="0" y="0"/>
                      <a:ext cx="1321965" cy="4213376"/>
                    </a:xfrm>
                    <a:prstGeom prst="rect">
                      <a:avLst/>
                    </a:prstGeom>
                    <a:ln>
                      <a:noFill/>
                    </a:ln>
                    <a:extLst>
                      <a:ext uri="{53640926-AAD7-44D8-BBD7-CCE9431645EC}">
                        <a14:shadowObscured xmlns:a14="http://schemas.microsoft.com/office/drawing/2010/main"/>
                      </a:ext>
                    </a:extLst>
                  </pic:spPr>
                </pic:pic>
              </a:graphicData>
            </a:graphic>
          </wp:inline>
        </w:drawing>
      </w:r>
      <w:r w:rsidR="001A1217" w:rsidRPr="00F07E08">
        <w:rPr>
          <w:rFonts w:ascii="微软雅黑" w:eastAsia="微软雅黑" w:hAnsi="微软雅黑" w:hint="eastAsia"/>
          <w:bdr w:val="single" w:sz="4" w:space="0" w:color="auto"/>
        </w:rPr>
        <w:t xml:space="preserve">                  </w:t>
      </w:r>
      <w:r w:rsidR="00FA429C" w:rsidRPr="00F07E08">
        <w:rPr>
          <w:rFonts w:ascii="微软雅黑" w:eastAsia="微软雅黑" w:hAnsi="微软雅黑" w:hint="eastAsia"/>
          <w:noProof/>
          <w:bdr w:val="single" w:sz="4" w:space="0" w:color="auto"/>
        </w:rPr>
        <w:drawing>
          <wp:inline distT="0" distB="0" distL="114300" distR="114300" wp14:anchorId="051B73EE" wp14:editId="10A7FB4E">
            <wp:extent cx="1205345" cy="5179285"/>
            <wp:effectExtent l="0" t="0" r="0" b="2540"/>
            <wp:docPr id="1343209826" name="图片 1" descr="36ce529d4383a4ed9fd9b7529070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6ce529d4383a4ed9fd9b7529070351"/>
                    <pic:cNvPicPr>
                      <a:picLocks noChangeAspect="1"/>
                    </pic:cNvPicPr>
                  </pic:nvPicPr>
                  <pic:blipFill rotWithShape="1">
                    <a:blip r:embed="rId15"/>
                    <a:srcRect l="53298" r="32352"/>
                    <a:stretch/>
                  </pic:blipFill>
                  <pic:spPr bwMode="auto">
                    <a:xfrm>
                      <a:off x="0" y="0"/>
                      <a:ext cx="1208668" cy="5193562"/>
                    </a:xfrm>
                    <a:prstGeom prst="rect">
                      <a:avLst/>
                    </a:prstGeom>
                    <a:ln>
                      <a:noFill/>
                    </a:ln>
                    <a:extLst>
                      <a:ext uri="{53640926-AAD7-44D8-BBD7-CCE9431645EC}">
                        <a14:shadowObscured xmlns:a14="http://schemas.microsoft.com/office/drawing/2010/main"/>
                      </a:ext>
                    </a:extLst>
                  </pic:spPr>
                </pic:pic>
              </a:graphicData>
            </a:graphic>
          </wp:inline>
        </w:drawing>
      </w:r>
      <w:r w:rsidR="00FA429C" w:rsidRPr="00F07E08">
        <w:rPr>
          <w:rFonts w:ascii="微软雅黑" w:eastAsia="微软雅黑" w:hAnsi="微软雅黑" w:hint="eastAsia"/>
          <w:noProof/>
          <w:bdr w:val="single" w:sz="4" w:space="0" w:color="auto"/>
        </w:rPr>
        <w:drawing>
          <wp:inline distT="0" distB="0" distL="114300" distR="114300" wp14:anchorId="07EE1175" wp14:editId="62982C9A">
            <wp:extent cx="1252092" cy="5180965"/>
            <wp:effectExtent l="0" t="0" r="5715" b="635"/>
            <wp:docPr id="1989981615" name="图片 1" descr="36ce529d4383a4ed9fd9b7529070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6ce529d4383a4ed9fd9b7529070351"/>
                    <pic:cNvPicPr>
                      <a:picLocks noChangeAspect="1"/>
                    </pic:cNvPicPr>
                  </pic:nvPicPr>
                  <pic:blipFill rotWithShape="1">
                    <a:blip r:embed="rId15"/>
                    <a:srcRect l="85099" r="-1"/>
                    <a:stretch/>
                  </pic:blipFill>
                  <pic:spPr bwMode="auto">
                    <a:xfrm>
                      <a:off x="0" y="0"/>
                      <a:ext cx="1255136" cy="5193562"/>
                    </a:xfrm>
                    <a:prstGeom prst="rect">
                      <a:avLst/>
                    </a:prstGeom>
                    <a:ln>
                      <a:noFill/>
                    </a:ln>
                    <a:extLst>
                      <a:ext uri="{53640926-AAD7-44D8-BBD7-CCE9431645EC}">
                        <a14:shadowObscured xmlns:a14="http://schemas.microsoft.com/office/drawing/2010/main"/>
                      </a:ext>
                    </a:extLst>
                  </pic:spPr>
                </pic:pic>
              </a:graphicData>
            </a:graphic>
          </wp:inline>
        </w:drawing>
      </w:r>
    </w:p>
    <w:p w14:paraId="1C8D26DB" w14:textId="385B1001" w:rsidR="009273EC" w:rsidRPr="00F07E08" w:rsidRDefault="00000000" w:rsidP="001A1217">
      <w:pPr>
        <w:jc w:val="center"/>
        <w:rPr>
          <w:rFonts w:ascii="微软雅黑" w:eastAsia="微软雅黑" w:hAnsi="微软雅黑"/>
          <w:bdr w:val="single" w:sz="4" w:space="0" w:color="auto"/>
        </w:rPr>
      </w:pPr>
      <w:r w:rsidRPr="00F07E08">
        <w:rPr>
          <w:rFonts w:ascii="微软雅黑" w:eastAsia="微软雅黑" w:hAnsi="微软雅黑" w:hint="eastAsia"/>
          <w:noProof/>
          <w:bdr w:val="single" w:sz="4" w:space="0" w:color="auto"/>
        </w:rPr>
        <w:lastRenderedPageBreak/>
        <w:drawing>
          <wp:inline distT="0" distB="0" distL="114300" distR="114300" wp14:anchorId="48508818" wp14:editId="12D4343F">
            <wp:extent cx="1787236" cy="4971113"/>
            <wp:effectExtent l="0" t="0" r="3810" b="1270"/>
            <wp:docPr id="2" name="图片 2" descr="9d3b76b2878e2138146983bf4af7c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d3b76b2878e2138146983bf4af7ccf"/>
                    <pic:cNvPicPr>
                      <a:picLocks noChangeAspect="1"/>
                    </pic:cNvPicPr>
                  </pic:nvPicPr>
                  <pic:blipFill rotWithShape="1">
                    <a:blip r:embed="rId16"/>
                    <a:srcRect r="73542"/>
                    <a:stretch/>
                  </pic:blipFill>
                  <pic:spPr bwMode="auto">
                    <a:xfrm>
                      <a:off x="0" y="0"/>
                      <a:ext cx="1793465" cy="4988439"/>
                    </a:xfrm>
                    <a:prstGeom prst="rect">
                      <a:avLst/>
                    </a:prstGeom>
                    <a:ln>
                      <a:noFill/>
                    </a:ln>
                    <a:extLst>
                      <a:ext uri="{53640926-AAD7-44D8-BBD7-CCE9431645EC}">
                        <a14:shadowObscured xmlns:a14="http://schemas.microsoft.com/office/drawing/2010/main"/>
                      </a:ext>
                    </a:extLst>
                  </pic:spPr>
                </pic:pic>
              </a:graphicData>
            </a:graphic>
          </wp:inline>
        </w:drawing>
      </w:r>
      <w:r w:rsidR="001A1217" w:rsidRPr="00F07E08">
        <w:rPr>
          <w:rFonts w:ascii="微软雅黑" w:eastAsia="微软雅黑" w:hAnsi="微软雅黑" w:hint="eastAsia"/>
          <w:noProof/>
          <w:bdr w:val="single" w:sz="4" w:space="0" w:color="auto"/>
        </w:rPr>
        <w:drawing>
          <wp:inline distT="0" distB="0" distL="114300" distR="114300" wp14:anchorId="1881C770" wp14:editId="29DF454E">
            <wp:extent cx="1073388" cy="4971367"/>
            <wp:effectExtent l="0" t="0" r="0" b="1270"/>
            <wp:docPr id="1122959671" name="图片 2" descr="9d3b76b2878e2138146983bf4af7c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d3b76b2878e2138146983bf4af7ccf"/>
                    <pic:cNvPicPr>
                      <a:picLocks noChangeAspect="1"/>
                    </pic:cNvPicPr>
                  </pic:nvPicPr>
                  <pic:blipFill rotWithShape="1">
                    <a:blip r:embed="rId16"/>
                    <a:srcRect l="30832" r="53279"/>
                    <a:stretch/>
                  </pic:blipFill>
                  <pic:spPr bwMode="auto">
                    <a:xfrm>
                      <a:off x="0" y="0"/>
                      <a:ext cx="1080484" cy="5004230"/>
                    </a:xfrm>
                    <a:prstGeom prst="rect">
                      <a:avLst/>
                    </a:prstGeom>
                    <a:ln>
                      <a:noFill/>
                    </a:ln>
                    <a:extLst>
                      <a:ext uri="{53640926-AAD7-44D8-BBD7-CCE9431645EC}">
                        <a14:shadowObscured xmlns:a14="http://schemas.microsoft.com/office/drawing/2010/main"/>
                      </a:ext>
                    </a:extLst>
                  </pic:spPr>
                </pic:pic>
              </a:graphicData>
            </a:graphic>
          </wp:inline>
        </w:drawing>
      </w:r>
    </w:p>
    <w:p w14:paraId="3963CD58" w14:textId="3CA59CDA" w:rsidR="009273EC" w:rsidRPr="0080276D" w:rsidRDefault="004728DF" w:rsidP="0080276D">
      <w:pPr>
        <w:pStyle w:val="3"/>
        <w:rPr>
          <w:rFonts w:ascii="微软雅黑" w:eastAsia="微软雅黑" w:hAnsi="微软雅黑"/>
          <w:b/>
          <w:bCs/>
          <w:lang w:eastAsia="zh-TW"/>
        </w:rPr>
      </w:pPr>
      <w:bookmarkStart w:id="6" w:name="_Toc180601373"/>
      <w:r w:rsidRPr="0080276D">
        <w:rPr>
          <w:rFonts w:ascii="微软雅黑" w:eastAsia="微软雅黑" w:hAnsi="微软雅黑" w:hint="eastAsia"/>
          <w:b/>
          <w:bCs/>
          <w:lang w:eastAsia="zh-TW"/>
        </w:rPr>
        <w:t>1.淨營運資本</w:t>
      </w:r>
      <w:bookmarkEnd w:id="6"/>
    </w:p>
    <w:p w14:paraId="557FEA39" w14:textId="6B851BEF" w:rsidR="00905F79" w:rsidRDefault="00000000" w:rsidP="004E5CF0">
      <w:pPr>
        <w:jc w:val="both"/>
        <w:rPr>
          <w:rFonts w:ascii="微软雅黑" w:eastAsia="微软雅黑" w:hAnsi="微软雅黑"/>
          <w:lang w:eastAsia="zh-TW"/>
        </w:rPr>
      </w:pPr>
      <w:r w:rsidRPr="0080276D">
        <w:rPr>
          <w:rFonts w:ascii="微软雅黑" w:eastAsia="微软雅黑" w:hAnsi="微软雅黑" w:hint="eastAsia"/>
          <w:lang w:eastAsia="zh-TW"/>
        </w:rPr>
        <w:t>淨營運資本</w:t>
      </w:r>
      <w:r w:rsidRPr="0080276D">
        <w:rPr>
          <w:rFonts w:ascii="微软雅黑" w:eastAsia="微软雅黑" w:hAnsi="微软雅黑"/>
          <w:lang w:eastAsia="zh-TW"/>
        </w:rPr>
        <w:t>=</w:t>
      </w:r>
      <w:r w:rsidRPr="0080276D">
        <w:rPr>
          <w:rFonts w:ascii="微软雅黑" w:eastAsia="微软雅黑" w:hAnsi="微软雅黑" w:hint="eastAsia"/>
          <w:lang w:eastAsia="zh-TW"/>
        </w:rPr>
        <w:t>流動資產</w:t>
      </w:r>
      <w:r w:rsidRPr="0080276D">
        <w:rPr>
          <w:rFonts w:ascii="微软雅黑" w:eastAsia="微软雅黑" w:hAnsi="微软雅黑"/>
          <w:lang w:eastAsia="zh-TW"/>
        </w:rPr>
        <w:t>-</w:t>
      </w:r>
      <w:r w:rsidRPr="0080276D">
        <w:rPr>
          <w:rFonts w:ascii="微软雅黑" w:eastAsia="微软雅黑" w:hAnsi="微软雅黑" w:hint="eastAsia"/>
          <w:lang w:eastAsia="zh-TW"/>
        </w:rPr>
        <w:t>流動負債</w:t>
      </w:r>
      <w:r w:rsidRPr="0080276D">
        <w:rPr>
          <w:rFonts w:ascii="微软雅黑" w:eastAsia="微软雅黑" w:hAnsi="微软雅黑"/>
          <w:lang w:eastAsia="zh-TW"/>
        </w:rPr>
        <w:t>=</w:t>
      </w:r>
      <w:r w:rsidR="007D3B55" w:rsidRPr="0080276D">
        <w:rPr>
          <w:rFonts w:ascii="微软雅黑" w:eastAsia="微软雅黑" w:hAnsi="微软雅黑" w:hint="eastAsia"/>
          <w:lang w:eastAsia="zh-TW"/>
        </w:rPr>
        <w:t>(</w:t>
      </w:r>
      <w:r w:rsidRPr="0080276D">
        <w:rPr>
          <w:rFonts w:ascii="微软雅黑" w:eastAsia="微软雅黑" w:hAnsi="微软雅黑"/>
          <w:lang w:eastAsia="zh-TW"/>
        </w:rPr>
        <w:t>16689933-10417988)=6271945</w:t>
      </w:r>
    </w:p>
    <w:p w14:paraId="15E2F462" w14:textId="5AA98BD1" w:rsidR="00814328" w:rsidRPr="00814328" w:rsidRDefault="00814328" w:rsidP="00814328">
      <w:pPr>
        <w:jc w:val="center"/>
        <w:rPr>
          <w:rFonts w:ascii="微软雅黑" w:eastAsia="微软雅黑" w:hAnsi="微软雅黑"/>
          <w:lang w:eastAsia="zh-TW"/>
        </w:rPr>
      </w:pPr>
      <w:r>
        <w:rPr>
          <w:noProof/>
        </w:rPr>
        <w:drawing>
          <wp:inline distT="0" distB="0" distL="0" distR="0" wp14:anchorId="3565C092" wp14:editId="2A722319">
            <wp:extent cx="4572000" cy="2743200"/>
            <wp:effectExtent l="0" t="0" r="0" b="0"/>
            <wp:docPr id="474009849" name="圖表 1">
              <a:extLst xmlns:a="http://schemas.openxmlformats.org/drawingml/2006/main">
                <a:ext uri="{FF2B5EF4-FFF2-40B4-BE49-F238E27FC236}">
                  <a16:creationId xmlns:a16="http://schemas.microsoft.com/office/drawing/2014/main" id="{3FA0A646-6BB7-9CDA-BEAA-796AB29E39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F506C07" w14:textId="22EB86FB" w:rsidR="009273EC" w:rsidRPr="00F07E08" w:rsidRDefault="00000000" w:rsidP="004E5CF0">
      <w:pPr>
        <w:rPr>
          <w:rFonts w:ascii="微软雅黑" w:eastAsia="微软雅黑" w:hAnsi="微软雅黑"/>
          <w:lang w:eastAsia="zh-TW"/>
        </w:rPr>
      </w:pPr>
      <w:r w:rsidRPr="00F07E08">
        <w:rPr>
          <w:rFonts w:ascii="微软雅黑" w:eastAsia="微软雅黑" w:hAnsi="微软雅黑" w:hint="eastAsia"/>
          <w:lang w:eastAsia="zh-TW"/>
        </w:rPr>
        <w:t>短期內可用於經營的資金充足，</w:t>
      </w:r>
      <w:r w:rsidR="00952999" w:rsidRPr="00F07E08">
        <w:rPr>
          <w:rFonts w:ascii="微软雅黑" w:eastAsia="微软雅黑" w:hAnsi="微软雅黑" w:hint="eastAsia"/>
          <w:lang w:eastAsia="zh-TW"/>
        </w:rPr>
        <w:t>滿足</w:t>
      </w:r>
      <w:r w:rsidRPr="00F07E08">
        <w:rPr>
          <w:rFonts w:ascii="微软雅黑" w:eastAsia="微软雅黑" w:hAnsi="微软雅黑" w:hint="eastAsia"/>
          <w:lang w:eastAsia="zh-TW"/>
        </w:rPr>
        <w:t>企業日常經營需要。</w:t>
      </w:r>
    </w:p>
    <w:p w14:paraId="4B4D375D" w14:textId="34745DBA" w:rsidR="009273EC" w:rsidRPr="0080276D" w:rsidRDefault="004728DF" w:rsidP="0080276D">
      <w:pPr>
        <w:pStyle w:val="3"/>
        <w:rPr>
          <w:rFonts w:ascii="微软雅黑" w:eastAsia="微软雅黑" w:hAnsi="微软雅黑"/>
          <w:b/>
          <w:bCs/>
          <w:lang w:eastAsia="zh-TW"/>
        </w:rPr>
      </w:pPr>
      <w:bookmarkStart w:id="7" w:name="_Toc180601374"/>
      <w:r w:rsidRPr="0080276D">
        <w:rPr>
          <w:rFonts w:ascii="微软雅黑" w:eastAsia="微软雅黑" w:hAnsi="微软雅黑" w:hint="eastAsia"/>
          <w:b/>
          <w:bCs/>
          <w:lang w:eastAsia="zh-TW"/>
        </w:rPr>
        <w:lastRenderedPageBreak/>
        <w:t>2.流動比率</w:t>
      </w:r>
      <w:bookmarkEnd w:id="7"/>
    </w:p>
    <w:p w14:paraId="6C51B722" w14:textId="144A230C" w:rsidR="009273EC" w:rsidRDefault="00000000" w:rsidP="004E5CF0">
      <w:pPr>
        <w:jc w:val="both"/>
        <w:rPr>
          <w:rFonts w:ascii="微软雅黑" w:eastAsia="微软雅黑" w:hAnsi="微软雅黑"/>
          <w:lang w:eastAsia="zh-TW"/>
        </w:rPr>
      </w:pPr>
      <w:r w:rsidRPr="0080276D">
        <w:rPr>
          <w:rFonts w:ascii="微软雅黑" w:eastAsia="微软雅黑" w:hAnsi="微软雅黑" w:hint="eastAsia"/>
          <w:lang w:eastAsia="zh-TW"/>
        </w:rPr>
        <w:t>流動比率</w:t>
      </w:r>
      <w:r w:rsidRPr="0080276D">
        <w:rPr>
          <w:rFonts w:ascii="微软雅黑" w:eastAsia="微软雅黑" w:hAnsi="微软雅黑"/>
          <w:lang w:eastAsia="zh-TW"/>
        </w:rPr>
        <w:t>=</w:t>
      </w:r>
      <w:r w:rsidRPr="0080276D">
        <w:rPr>
          <w:rFonts w:ascii="微软雅黑" w:eastAsia="微软雅黑" w:hAnsi="微软雅黑" w:hint="eastAsia"/>
          <w:lang w:eastAsia="zh-TW"/>
        </w:rPr>
        <w:t>流動資產</w:t>
      </w:r>
      <w:r w:rsidRPr="0080276D">
        <w:rPr>
          <w:rFonts w:ascii="微软雅黑" w:eastAsia="微软雅黑" w:hAnsi="微软雅黑" w:cs="Arial"/>
          <w:lang w:eastAsia="zh-TW"/>
        </w:rPr>
        <w:t>÷</w:t>
      </w:r>
      <w:r w:rsidRPr="0080276D">
        <w:rPr>
          <w:rFonts w:ascii="微软雅黑" w:eastAsia="微软雅黑" w:hAnsi="微软雅黑" w:hint="eastAsia"/>
          <w:lang w:eastAsia="zh-TW"/>
        </w:rPr>
        <w:t>流動負債</w:t>
      </w:r>
      <w:r w:rsidRPr="0080276D">
        <w:rPr>
          <w:rFonts w:ascii="微软雅黑" w:eastAsia="微软雅黑" w:hAnsi="微软雅黑"/>
          <w:lang w:eastAsia="zh-TW"/>
        </w:rPr>
        <w:t>=</w:t>
      </w:r>
      <w:r w:rsidR="007D3B55" w:rsidRPr="0080276D">
        <w:rPr>
          <w:rFonts w:ascii="微软雅黑" w:eastAsia="微软雅黑" w:hAnsi="微软雅黑" w:hint="eastAsia"/>
          <w:lang w:eastAsia="zh-TW"/>
        </w:rPr>
        <w:t>(</w:t>
      </w:r>
      <w:r w:rsidRPr="0080276D">
        <w:rPr>
          <w:rFonts w:ascii="微软雅黑" w:eastAsia="微软雅黑" w:hAnsi="微软雅黑"/>
          <w:lang w:eastAsia="zh-TW"/>
        </w:rPr>
        <w:t>16689933</w:t>
      </w:r>
      <w:r w:rsidRPr="0080276D">
        <w:rPr>
          <w:rFonts w:ascii="微软雅黑" w:eastAsia="微软雅黑" w:hAnsi="微软雅黑" w:cs="Arial"/>
          <w:lang w:eastAsia="zh-TW"/>
        </w:rPr>
        <w:t>÷</w:t>
      </w:r>
      <w:r w:rsidRPr="0080276D">
        <w:rPr>
          <w:rFonts w:ascii="微软雅黑" w:eastAsia="微软雅黑" w:hAnsi="微软雅黑"/>
          <w:lang w:eastAsia="zh-TW"/>
        </w:rPr>
        <w:t>10417988</w:t>
      </w:r>
      <w:r w:rsidR="007D3B55" w:rsidRPr="0080276D">
        <w:rPr>
          <w:rFonts w:ascii="微软雅黑" w:eastAsia="微软雅黑" w:hAnsi="微软雅黑" w:hint="eastAsia"/>
          <w:lang w:eastAsia="zh-TW"/>
        </w:rPr>
        <w:t>)</w:t>
      </w:r>
      <w:r w:rsidRPr="0080276D">
        <w:rPr>
          <w:rFonts w:ascii="微软雅黑" w:eastAsia="微软雅黑" w:hAnsi="微软雅黑"/>
          <w:lang w:eastAsia="zh-TW"/>
        </w:rPr>
        <w:t>=1.60</w:t>
      </w:r>
    </w:p>
    <w:p w14:paraId="100DB88B" w14:textId="2837D1F4" w:rsidR="00814328" w:rsidRPr="0080276D" w:rsidRDefault="00814328" w:rsidP="00814328">
      <w:pPr>
        <w:jc w:val="center"/>
        <w:rPr>
          <w:rFonts w:ascii="微软雅黑" w:eastAsia="微软雅黑" w:hAnsi="微软雅黑"/>
          <w:lang w:eastAsia="zh-TW"/>
        </w:rPr>
      </w:pPr>
      <w:r>
        <w:rPr>
          <w:noProof/>
        </w:rPr>
        <w:drawing>
          <wp:inline distT="0" distB="0" distL="0" distR="0" wp14:anchorId="007E37DD" wp14:editId="25CF8133">
            <wp:extent cx="4572000" cy="2743200"/>
            <wp:effectExtent l="0" t="0" r="0" b="0"/>
            <wp:docPr id="1316915501" name="圖表 1">
              <a:extLst xmlns:a="http://schemas.openxmlformats.org/drawingml/2006/main">
                <a:ext uri="{FF2B5EF4-FFF2-40B4-BE49-F238E27FC236}">
                  <a16:creationId xmlns:a16="http://schemas.microsoft.com/office/drawing/2014/main" id="{90A6CDA6-B205-8E58-E862-52944A25B0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5EB9714" w14:textId="0BA16C76" w:rsidR="009273EC" w:rsidRPr="00F07E08" w:rsidRDefault="00000000" w:rsidP="004E5CF0">
      <w:pPr>
        <w:rPr>
          <w:rFonts w:ascii="微软雅黑" w:eastAsia="微软雅黑" w:hAnsi="微软雅黑"/>
          <w:lang w:eastAsia="zh-TW"/>
        </w:rPr>
      </w:pPr>
      <w:r w:rsidRPr="00F07E08">
        <w:rPr>
          <w:rFonts w:ascii="微软雅黑" w:eastAsia="微软雅黑" w:hAnsi="微软雅黑" w:hint="eastAsia"/>
          <w:lang w:eastAsia="zh-TW"/>
        </w:rPr>
        <w:t>流動比率</w:t>
      </w:r>
      <w:r w:rsidR="00952999" w:rsidRPr="00F07E08">
        <w:rPr>
          <w:rFonts w:ascii="微软雅黑" w:eastAsia="微软雅黑" w:hAnsi="微软雅黑" w:hint="eastAsia"/>
          <w:lang w:eastAsia="zh-TW"/>
        </w:rPr>
        <w:t>處於</w:t>
      </w:r>
      <w:r w:rsidRPr="00F07E08">
        <w:rPr>
          <w:rFonts w:ascii="微软雅黑" w:eastAsia="微软雅黑" w:hAnsi="微软雅黑"/>
          <w:lang w:eastAsia="zh-TW"/>
        </w:rPr>
        <w:t>1.5-2</w:t>
      </w:r>
      <w:r w:rsidR="00952999" w:rsidRPr="00F07E08">
        <w:rPr>
          <w:rFonts w:ascii="微软雅黑" w:eastAsia="微软雅黑" w:hAnsi="微软雅黑" w:hint="eastAsia"/>
          <w:lang w:eastAsia="zh-TW"/>
        </w:rPr>
        <w:t>理想區間</w:t>
      </w:r>
      <w:r w:rsidRPr="00F07E08">
        <w:rPr>
          <w:rFonts w:ascii="微软雅黑" w:eastAsia="微软雅黑" w:hAnsi="微软雅黑" w:hint="eastAsia"/>
          <w:lang w:eastAsia="zh-TW"/>
        </w:rPr>
        <w:t>。</w:t>
      </w:r>
    </w:p>
    <w:p w14:paraId="0A0F9A55" w14:textId="2795BF35" w:rsidR="009273EC" w:rsidRPr="0080276D" w:rsidRDefault="004728DF" w:rsidP="0080276D">
      <w:pPr>
        <w:pStyle w:val="3"/>
        <w:rPr>
          <w:rFonts w:ascii="微软雅黑" w:eastAsia="微软雅黑" w:hAnsi="微软雅黑"/>
          <w:b/>
          <w:bCs/>
          <w:lang w:eastAsia="zh-TW"/>
        </w:rPr>
      </w:pPr>
      <w:bookmarkStart w:id="8" w:name="_Toc180601375"/>
      <w:r w:rsidRPr="0080276D">
        <w:rPr>
          <w:rFonts w:ascii="微软雅黑" w:eastAsia="微软雅黑" w:hAnsi="微软雅黑" w:hint="eastAsia"/>
          <w:b/>
          <w:bCs/>
          <w:lang w:eastAsia="zh-TW"/>
        </w:rPr>
        <w:t>3.速動比率</w:t>
      </w:r>
      <w:bookmarkEnd w:id="8"/>
    </w:p>
    <w:p w14:paraId="13A06DF9" w14:textId="6CE1F568" w:rsidR="009273EC" w:rsidRDefault="00000000" w:rsidP="004E5CF0">
      <w:pPr>
        <w:jc w:val="both"/>
        <w:rPr>
          <w:rFonts w:ascii="微软雅黑" w:eastAsia="微软雅黑" w:hAnsi="微软雅黑"/>
          <w:lang w:eastAsia="zh-TW"/>
        </w:rPr>
      </w:pPr>
      <w:r w:rsidRPr="0080276D">
        <w:rPr>
          <w:rFonts w:ascii="微软雅黑" w:eastAsia="微软雅黑" w:hAnsi="微软雅黑" w:hint="eastAsia"/>
          <w:lang w:eastAsia="zh-TW"/>
        </w:rPr>
        <w:t>速動比率</w:t>
      </w:r>
      <w:r w:rsidRPr="0080276D">
        <w:rPr>
          <w:rFonts w:ascii="微软雅黑" w:eastAsia="微软雅黑" w:hAnsi="微软雅黑"/>
          <w:lang w:eastAsia="zh-TW"/>
        </w:rPr>
        <w:t>=</w:t>
      </w:r>
      <w:r w:rsidR="007D3B55" w:rsidRPr="0080276D">
        <w:rPr>
          <w:rFonts w:ascii="微软雅黑" w:eastAsia="微软雅黑" w:hAnsi="微软雅黑" w:hint="eastAsia"/>
          <w:lang w:eastAsia="zh-TW"/>
        </w:rPr>
        <w:t>(</w:t>
      </w:r>
      <w:r w:rsidRPr="0080276D">
        <w:rPr>
          <w:rFonts w:ascii="微软雅黑" w:eastAsia="微软雅黑" w:hAnsi="微软雅黑" w:hint="eastAsia"/>
          <w:lang w:eastAsia="zh-TW"/>
        </w:rPr>
        <w:t>流動資產</w:t>
      </w:r>
      <w:r w:rsidRPr="0080276D">
        <w:rPr>
          <w:rFonts w:ascii="微软雅黑" w:eastAsia="微软雅黑" w:hAnsi="微软雅黑"/>
          <w:lang w:eastAsia="zh-TW"/>
        </w:rPr>
        <w:t>-</w:t>
      </w:r>
      <w:r w:rsidRPr="0080276D">
        <w:rPr>
          <w:rFonts w:ascii="微软雅黑" w:eastAsia="微软雅黑" w:hAnsi="微软雅黑" w:hint="eastAsia"/>
          <w:lang w:eastAsia="zh-TW"/>
        </w:rPr>
        <w:t>存貨</w:t>
      </w:r>
      <w:r w:rsidR="007D3B55" w:rsidRPr="0080276D">
        <w:rPr>
          <w:rFonts w:ascii="微软雅黑" w:eastAsia="微软雅黑" w:hAnsi="微软雅黑" w:hint="eastAsia"/>
          <w:lang w:eastAsia="zh-TW"/>
        </w:rPr>
        <w:t>)</w:t>
      </w:r>
      <w:r w:rsidRPr="0080276D">
        <w:rPr>
          <w:rFonts w:ascii="微软雅黑" w:eastAsia="微软雅黑" w:hAnsi="微软雅黑" w:cs="Arial"/>
          <w:lang w:eastAsia="zh-TW"/>
        </w:rPr>
        <w:t>÷</w:t>
      </w:r>
      <w:r w:rsidRPr="0080276D">
        <w:rPr>
          <w:rFonts w:ascii="微软雅黑" w:eastAsia="微软雅黑" w:hAnsi="微软雅黑" w:hint="eastAsia"/>
          <w:lang w:eastAsia="zh-TW"/>
        </w:rPr>
        <w:t>流動負債</w:t>
      </w:r>
      <w:r w:rsidRPr="0080276D">
        <w:rPr>
          <w:rFonts w:ascii="微软雅黑" w:eastAsia="微软雅黑" w:hAnsi="微软雅黑"/>
          <w:lang w:eastAsia="zh-TW"/>
        </w:rPr>
        <w:t>=</w:t>
      </w:r>
      <w:r w:rsidR="007D3B55" w:rsidRPr="0080276D">
        <w:rPr>
          <w:rFonts w:ascii="微软雅黑" w:eastAsia="微软雅黑" w:hAnsi="微软雅黑" w:hint="eastAsia"/>
          <w:lang w:eastAsia="zh-TW"/>
        </w:rPr>
        <w:t>(</w:t>
      </w:r>
      <w:r w:rsidRPr="0080276D">
        <w:rPr>
          <w:rFonts w:ascii="微软雅黑" w:eastAsia="微软雅黑" w:hAnsi="微软雅黑"/>
          <w:lang w:eastAsia="zh-TW"/>
        </w:rPr>
        <w:t>16689933-818867</w:t>
      </w:r>
      <w:r w:rsidR="007D3B55" w:rsidRPr="0080276D">
        <w:rPr>
          <w:rFonts w:ascii="微软雅黑" w:eastAsia="微软雅黑" w:hAnsi="微软雅黑" w:hint="eastAsia"/>
          <w:lang w:eastAsia="zh-TW"/>
        </w:rPr>
        <w:t>)</w:t>
      </w:r>
      <w:r w:rsidRPr="0080276D">
        <w:rPr>
          <w:rFonts w:ascii="微软雅黑" w:eastAsia="微软雅黑" w:hAnsi="微软雅黑" w:cs="Arial"/>
          <w:lang w:eastAsia="zh-TW"/>
        </w:rPr>
        <w:t>÷</w:t>
      </w:r>
      <w:r w:rsidRPr="0080276D">
        <w:rPr>
          <w:rFonts w:ascii="微软雅黑" w:eastAsia="微软雅黑" w:hAnsi="微软雅黑"/>
          <w:lang w:eastAsia="zh-TW"/>
        </w:rPr>
        <w:t>10417988=1.52</w:t>
      </w:r>
    </w:p>
    <w:p w14:paraId="6DEA073E" w14:textId="51F5C72B" w:rsidR="0062332A" w:rsidRPr="0080276D" w:rsidRDefault="0062332A" w:rsidP="0062332A">
      <w:pPr>
        <w:jc w:val="center"/>
        <w:rPr>
          <w:rFonts w:ascii="微软雅黑" w:eastAsia="微软雅黑" w:hAnsi="微软雅黑"/>
          <w:lang w:eastAsia="zh-TW"/>
        </w:rPr>
      </w:pPr>
      <w:r>
        <w:rPr>
          <w:noProof/>
        </w:rPr>
        <w:drawing>
          <wp:inline distT="0" distB="0" distL="0" distR="0" wp14:anchorId="5CE69915" wp14:editId="158B9A04">
            <wp:extent cx="4572000" cy="2743200"/>
            <wp:effectExtent l="0" t="0" r="0" b="0"/>
            <wp:docPr id="1381238799" name="圖表 1">
              <a:extLst xmlns:a="http://schemas.openxmlformats.org/drawingml/2006/main">
                <a:ext uri="{FF2B5EF4-FFF2-40B4-BE49-F238E27FC236}">
                  <a16:creationId xmlns:a16="http://schemas.microsoft.com/office/drawing/2014/main" id="{D6BA0DBE-9E1A-A232-3B93-FCD8BEF95C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CA79AB0" w14:textId="0CCEDB92" w:rsidR="009273EC" w:rsidRPr="00F07E08" w:rsidRDefault="00952999" w:rsidP="004E5CF0">
      <w:pPr>
        <w:rPr>
          <w:rFonts w:ascii="微软雅黑" w:eastAsia="微软雅黑" w:hAnsi="微软雅黑"/>
          <w:lang w:eastAsia="zh-TW"/>
        </w:rPr>
      </w:pPr>
      <w:r w:rsidRPr="00F07E08">
        <w:rPr>
          <w:rFonts w:ascii="微软雅黑" w:eastAsia="微软雅黑" w:hAnsi="微软雅黑" w:hint="eastAsia"/>
          <w:lang w:eastAsia="zh-TW"/>
        </w:rPr>
        <w:t>速動比率大於1，短期償債能力穩健。</w:t>
      </w:r>
    </w:p>
    <w:p w14:paraId="14E61261" w14:textId="10200055" w:rsidR="009273EC" w:rsidRPr="0080276D" w:rsidRDefault="004728DF" w:rsidP="0080276D">
      <w:pPr>
        <w:pStyle w:val="3"/>
        <w:rPr>
          <w:rFonts w:ascii="微软雅黑" w:eastAsia="微软雅黑" w:hAnsi="微软雅黑"/>
          <w:b/>
          <w:bCs/>
          <w:lang w:eastAsia="zh-TW"/>
        </w:rPr>
      </w:pPr>
      <w:bookmarkStart w:id="9" w:name="_Toc180601376"/>
      <w:r w:rsidRPr="0080276D">
        <w:rPr>
          <w:rFonts w:ascii="微软雅黑" w:eastAsia="微软雅黑" w:hAnsi="微软雅黑" w:hint="eastAsia"/>
          <w:b/>
          <w:bCs/>
          <w:lang w:eastAsia="zh-TW"/>
        </w:rPr>
        <w:t>4.負債比率</w:t>
      </w:r>
      <w:bookmarkEnd w:id="9"/>
    </w:p>
    <w:p w14:paraId="595BCECE" w14:textId="37DC0AE8" w:rsidR="009273EC" w:rsidRPr="0080276D" w:rsidRDefault="00000000" w:rsidP="004E5CF0">
      <w:pPr>
        <w:jc w:val="both"/>
        <w:rPr>
          <w:rFonts w:ascii="微软雅黑" w:eastAsia="微软雅黑" w:hAnsi="微软雅黑" w:cs="Arial"/>
          <w:lang w:eastAsia="zh-TW"/>
        </w:rPr>
      </w:pPr>
      <w:r w:rsidRPr="0080276D">
        <w:rPr>
          <w:rFonts w:ascii="微软雅黑" w:eastAsia="微软雅黑" w:hAnsi="微软雅黑" w:hint="eastAsia"/>
          <w:lang w:eastAsia="zh-TW"/>
        </w:rPr>
        <w:t>負債比率</w:t>
      </w:r>
      <w:r w:rsidRPr="0080276D">
        <w:rPr>
          <w:rFonts w:ascii="微软雅黑" w:eastAsia="微软雅黑" w:hAnsi="微软雅黑"/>
          <w:lang w:eastAsia="zh-TW"/>
        </w:rPr>
        <w:t>=</w:t>
      </w:r>
      <w:r w:rsidRPr="0080276D">
        <w:rPr>
          <w:rFonts w:ascii="微软雅黑" w:eastAsia="微软雅黑" w:hAnsi="微软雅黑" w:hint="eastAsia"/>
          <w:lang w:eastAsia="zh-TW"/>
        </w:rPr>
        <w:t>負債總額</w:t>
      </w:r>
      <w:r w:rsidRPr="0080276D">
        <w:rPr>
          <w:rFonts w:ascii="微软雅黑" w:eastAsia="微软雅黑" w:hAnsi="微软雅黑" w:cs="Arial"/>
          <w:lang w:eastAsia="zh-TW"/>
        </w:rPr>
        <w:t>÷</w:t>
      </w:r>
      <w:r w:rsidRPr="0080276D">
        <w:rPr>
          <w:rFonts w:ascii="微软雅黑" w:eastAsia="微软雅黑" w:hAnsi="微软雅黑" w:cs="Arial" w:hint="eastAsia"/>
          <w:lang w:eastAsia="zh-TW"/>
        </w:rPr>
        <w:t>資產總額</w:t>
      </w:r>
      <w:r w:rsidR="001F6CA0" w:rsidRPr="0080276D">
        <w:rPr>
          <w:rFonts w:ascii="微软雅黑" w:eastAsia="微软雅黑" w:hAnsi="微软雅黑"/>
          <w:lang w:eastAsia="zh-TW"/>
        </w:rPr>
        <w:t>=</w:t>
      </w:r>
      <w:r w:rsidR="001F6CA0" w:rsidRPr="0080276D">
        <w:rPr>
          <w:rFonts w:ascii="微软雅黑" w:eastAsia="微软雅黑" w:hAnsi="微软雅黑" w:hint="eastAsia"/>
          <w:lang w:eastAsia="zh-TW"/>
        </w:rPr>
        <w:t>(流動負債</w:t>
      </w:r>
      <w:r w:rsidR="001F6CA0" w:rsidRPr="0080276D">
        <w:rPr>
          <w:rFonts w:ascii="微软雅黑" w:eastAsia="微软雅黑" w:hAnsi="微软雅黑"/>
          <w:lang w:eastAsia="zh-TW"/>
        </w:rPr>
        <w:t>+</w:t>
      </w:r>
      <w:r w:rsidR="001F6CA0" w:rsidRPr="0080276D">
        <w:rPr>
          <w:rFonts w:ascii="微软雅黑" w:eastAsia="微软雅黑" w:hAnsi="微软雅黑" w:hint="eastAsia"/>
          <w:lang w:eastAsia="zh-TW"/>
        </w:rPr>
        <w:t>非流動負債)</w:t>
      </w:r>
      <w:r w:rsidR="001F6CA0" w:rsidRPr="0080276D">
        <w:rPr>
          <w:rFonts w:ascii="微软雅黑" w:eastAsia="微软雅黑" w:hAnsi="微软雅黑" w:cs="Arial"/>
          <w:lang w:eastAsia="zh-TW"/>
        </w:rPr>
        <w:t>÷</w:t>
      </w:r>
      <w:r w:rsidR="001F6CA0" w:rsidRPr="0080276D">
        <w:rPr>
          <w:rFonts w:ascii="微软雅黑" w:eastAsia="微软雅黑" w:hAnsi="微软雅黑" w:cs="Arial" w:hint="eastAsia"/>
          <w:lang w:eastAsia="zh-TW"/>
        </w:rPr>
        <w:t>(</w:t>
      </w:r>
      <w:r w:rsidR="001F6CA0" w:rsidRPr="0080276D">
        <w:rPr>
          <w:rFonts w:ascii="微软雅黑" w:eastAsia="微软雅黑" w:hAnsi="微软雅黑" w:hint="eastAsia"/>
          <w:lang w:eastAsia="zh-TW"/>
        </w:rPr>
        <w:t>負債總額</w:t>
      </w:r>
      <w:r w:rsidR="001F6CA0" w:rsidRPr="0080276D">
        <w:rPr>
          <w:rFonts w:ascii="微软雅黑" w:eastAsia="微软雅黑" w:hAnsi="微软雅黑"/>
          <w:lang w:eastAsia="zh-TW"/>
        </w:rPr>
        <w:t>+</w:t>
      </w:r>
      <w:r w:rsidR="001F6CA0" w:rsidRPr="0080276D">
        <w:rPr>
          <w:rFonts w:ascii="微软雅黑" w:eastAsia="微软雅黑" w:hAnsi="微软雅黑" w:hint="eastAsia"/>
          <w:lang w:eastAsia="zh-TW"/>
        </w:rPr>
        <w:t>權益總額</w:t>
      </w:r>
      <w:r w:rsidR="001F6CA0" w:rsidRPr="0080276D">
        <w:rPr>
          <w:rFonts w:ascii="微软雅黑" w:eastAsia="微软雅黑" w:hAnsi="微软雅黑" w:cs="Arial" w:hint="eastAsia"/>
          <w:lang w:eastAsia="zh-TW"/>
        </w:rPr>
        <w:t>)</w:t>
      </w:r>
    </w:p>
    <w:p w14:paraId="3F632208" w14:textId="2B16A69C" w:rsidR="001F6CA0" w:rsidRDefault="001F6CA0" w:rsidP="004E5CF0">
      <w:pPr>
        <w:jc w:val="both"/>
        <w:rPr>
          <w:rFonts w:ascii="微软雅黑" w:eastAsia="微软雅黑" w:hAnsi="微软雅黑"/>
          <w:lang w:eastAsia="zh-TW"/>
        </w:rPr>
      </w:pPr>
      <w:r w:rsidRPr="0080276D">
        <w:rPr>
          <w:rFonts w:ascii="微软雅黑" w:eastAsia="微软雅黑" w:hAnsi="微软雅黑"/>
          <w:lang w:eastAsia="zh-TW"/>
        </w:rPr>
        <w:t>=</w:t>
      </w:r>
      <w:r w:rsidRPr="0080276D">
        <w:rPr>
          <w:rFonts w:ascii="微软雅黑" w:eastAsia="微软雅黑" w:hAnsi="微软雅黑" w:hint="eastAsia"/>
          <w:lang w:eastAsia="zh-TW"/>
        </w:rPr>
        <w:t>(</w:t>
      </w:r>
      <w:r w:rsidRPr="0080276D">
        <w:rPr>
          <w:rFonts w:ascii="微软雅黑" w:eastAsia="微软雅黑" w:hAnsi="微软雅黑"/>
          <w:lang w:eastAsia="zh-TW"/>
        </w:rPr>
        <w:t>10417988+5415518</w:t>
      </w:r>
      <w:r w:rsidRPr="0080276D">
        <w:rPr>
          <w:rFonts w:ascii="微软雅黑" w:eastAsia="微软雅黑" w:hAnsi="微软雅黑" w:hint="eastAsia"/>
          <w:lang w:eastAsia="zh-TW"/>
        </w:rPr>
        <w:t>)</w:t>
      </w:r>
      <w:r w:rsidRPr="0080276D">
        <w:rPr>
          <w:rFonts w:ascii="微软雅黑" w:eastAsia="微软雅黑" w:hAnsi="微软雅黑" w:cs="Arial"/>
          <w:lang w:eastAsia="zh-TW"/>
        </w:rPr>
        <w:t>÷</w:t>
      </w:r>
      <w:r w:rsidR="001606A9" w:rsidRPr="0080276D">
        <w:rPr>
          <w:rFonts w:ascii="微软雅黑" w:eastAsia="微软雅黑" w:hAnsi="微软雅黑" w:cs="Arial" w:hint="eastAsia"/>
          <w:lang w:eastAsia="zh-TW"/>
        </w:rPr>
        <w:t>(</w:t>
      </w:r>
      <w:r w:rsidR="001606A9" w:rsidRPr="0080276D">
        <w:rPr>
          <w:rFonts w:ascii="微软雅黑" w:eastAsia="微软雅黑" w:hAnsi="微软雅黑"/>
          <w:lang w:eastAsia="zh-TW"/>
        </w:rPr>
        <w:t>15833506+9539163</w:t>
      </w:r>
      <w:r w:rsidR="001606A9" w:rsidRPr="0080276D">
        <w:rPr>
          <w:rFonts w:ascii="微软雅黑" w:eastAsia="微软雅黑" w:hAnsi="微软雅黑" w:cs="Arial" w:hint="eastAsia"/>
          <w:lang w:eastAsia="zh-TW"/>
        </w:rPr>
        <w:t>)</w:t>
      </w:r>
      <w:r w:rsidR="001606A9" w:rsidRPr="0080276D">
        <w:rPr>
          <w:rFonts w:ascii="微软雅黑" w:eastAsia="微软雅黑" w:hAnsi="微软雅黑"/>
          <w:lang w:eastAsia="zh-TW"/>
        </w:rPr>
        <w:t>=62.40%</w:t>
      </w:r>
    </w:p>
    <w:p w14:paraId="7E4B8BF0" w14:textId="33447006" w:rsidR="0078553C" w:rsidRPr="0080276D" w:rsidRDefault="0078553C" w:rsidP="0078553C">
      <w:pPr>
        <w:jc w:val="center"/>
        <w:rPr>
          <w:rFonts w:ascii="微软雅黑" w:eastAsia="微软雅黑" w:hAnsi="微软雅黑" w:cs="Arial"/>
          <w:lang w:eastAsia="zh-TW"/>
        </w:rPr>
      </w:pPr>
      <w:r w:rsidRPr="00F07E08">
        <w:rPr>
          <w:rFonts w:ascii="微软雅黑" w:eastAsia="微软雅黑" w:hAnsi="微软雅黑"/>
          <w:noProof/>
        </w:rPr>
        <w:lastRenderedPageBreak/>
        <w:drawing>
          <wp:inline distT="0" distB="0" distL="0" distR="0" wp14:anchorId="638A5724" wp14:editId="474E1D4B">
            <wp:extent cx="4572000" cy="2743200"/>
            <wp:effectExtent l="0" t="0" r="0" b="0"/>
            <wp:docPr id="200471415" name="圖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77006F4" w14:textId="62962B56" w:rsidR="009273EC" w:rsidRPr="0080276D" w:rsidRDefault="00AF5FF9" w:rsidP="004E5CF0">
      <w:pPr>
        <w:jc w:val="both"/>
        <w:rPr>
          <w:rFonts w:ascii="微软雅黑" w:eastAsia="微软雅黑" w:hAnsi="微软雅黑"/>
          <w:lang w:eastAsia="zh-TW"/>
        </w:rPr>
      </w:pPr>
      <w:r w:rsidRPr="0080276D">
        <w:rPr>
          <w:rFonts w:ascii="微软雅黑" w:eastAsia="微软雅黑" w:hAnsi="微软雅黑" w:hint="eastAsia"/>
          <w:lang w:eastAsia="zh-TW"/>
        </w:rPr>
        <w:t>負債比率較高，存在一定的財務風險，需關注</w:t>
      </w:r>
      <w:r w:rsidR="003B7930" w:rsidRPr="0080276D">
        <w:rPr>
          <w:rFonts w:ascii="微软雅黑" w:eastAsia="微软雅黑" w:hAnsi="微软雅黑" w:hint="eastAsia"/>
          <w:lang w:eastAsia="zh-TW"/>
        </w:rPr>
        <w:t>償債</w:t>
      </w:r>
      <w:r w:rsidRPr="0080276D">
        <w:rPr>
          <w:rFonts w:ascii="微软雅黑" w:eastAsia="微软雅黑" w:hAnsi="微软雅黑" w:hint="eastAsia"/>
          <w:lang w:eastAsia="zh-TW"/>
        </w:rPr>
        <w:t>能力和利息負擔。</w:t>
      </w:r>
    </w:p>
    <w:p w14:paraId="0FC78A52" w14:textId="7A8CC9FF" w:rsidR="009273EC" w:rsidRPr="0080276D" w:rsidRDefault="004728DF" w:rsidP="0080276D">
      <w:pPr>
        <w:pStyle w:val="3"/>
        <w:rPr>
          <w:rFonts w:ascii="微软雅黑" w:eastAsia="微软雅黑" w:hAnsi="微软雅黑"/>
          <w:b/>
          <w:bCs/>
          <w:lang w:eastAsia="zh-TW"/>
        </w:rPr>
      </w:pPr>
      <w:bookmarkStart w:id="10" w:name="_Toc180601377"/>
      <w:r w:rsidRPr="0080276D">
        <w:rPr>
          <w:rFonts w:ascii="微软雅黑" w:eastAsia="微软雅黑" w:hAnsi="微软雅黑" w:hint="eastAsia"/>
          <w:b/>
          <w:bCs/>
          <w:lang w:eastAsia="zh-TW"/>
        </w:rPr>
        <w:t>5.股東乘數</w:t>
      </w:r>
      <w:bookmarkEnd w:id="10"/>
    </w:p>
    <w:p w14:paraId="751230CC" w14:textId="3ACA48AB" w:rsidR="009273EC" w:rsidRDefault="00000000" w:rsidP="00052746">
      <w:pPr>
        <w:jc w:val="both"/>
        <w:rPr>
          <w:rFonts w:ascii="微软雅黑" w:eastAsia="微软雅黑" w:hAnsi="微软雅黑" w:cs="Arial"/>
          <w:lang w:eastAsia="zh-TW"/>
        </w:rPr>
      </w:pPr>
      <w:r w:rsidRPr="0080276D">
        <w:rPr>
          <w:rFonts w:ascii="微软雅黑" w:eastAsia="微软雅黑" w:hAnsi="微软雅黑" w:hint="eastAsia"/>
          <w:lang w:eastAsia="zh-TW"/>
        </w:rPr>
        <w:t>股東乘數</w:t>
      </w:r>
      <w:r w:rsidRPr="0080276D">
        <w:rPr>
          <w:rFonts w:ascii="微软雅黑" w:eastAsia="微软雅黑" w:hAnsi="微软雅黑"/>
          <w:lang w:eastAsia="zh-TW"/>
        </w:rPr>
        <w:t>=</w:t>
      </w:r>
      <w:r w:rsidRPr="0080276D">
        <w:rPr>
          <w:rFonts w:ascii="微软雅黑" w:eastAsia="微软雅黑" w:hAnsi="微软雅黑" w:hint="eastAsia"/>
          <w:lang w:eastAsia="zh-TW"/>
        </w:rPr>
        <w:t>資產總額</w:t>
      </w:r>
      <w:r w:rsidRPr="0080276D">
        <w:rPr>
          <w:rFonts w:ascii="微软雅黑" w:eastAsia="微软雅黑" w:hAnsi="微软雅黑" w:cs="Arial"/>
          <w:lang w:eastAsia="zh-TW"/>
        </w:rPr>
        <w:t>÷</w:t>
      </w:r>
      <w:r w:rsidRPr="0080276D">
        <w:rPr>
          <w:rFonts w:ascii="微软雅黑" w:eastAsia="微软雅黑" w:hAnsi="微软雅黑" w:cs="Arial" w:hint="eastAsia"/>
          <w:lang w:eastAsia="zh-TW"/>
        </w:rPr>
        <w:t>股東股益</w:t>
      </w:r>
      <w:r w:rsidRPr="0080276D">
        <w:rPr>
          <w:rFonts w:ascii="微软雅黑" w:eastAsia="微软雅黑" w:hAnsi="微软雅黑" w:cs="Arial"/>
          <w:lang w:eastAsia="zh-TW"/>
        </w:rPr>
        <w:t>=</w:t>
      </w:r>
      <w:r w:rsidRPr="0080276D">
        <w:rPr>
          <w:rFonts w:ascii="微软雅黑" w:eastAsia="微软雅黑" w:hAnsi="微软雅黑"/>
          <w:lang w:eastAsia="zh-TW"/>
        </w:rPr>
        <w:t>25372669</w:t>
      </w:r>
      <w:r w:rsidRPr="0080276D">
        <w:rPr>
          <w:rFonts w:ascii="微软雅黑" w:eastAsia="微软雅黑" w:hAnsi="微软雅黑" w:cs="Arial"/>
          <w:lang w:eastAsia="zh-TW"/>
        </w:rPr>
        <w:t>÷</w:t>
      </w:r>
      <w:r w:rsidRPr="0080276D">
        <w:rPr>
          <w:rFonts w:ascii="微软雅黑" w:eastAsia="微软雅黑" w:hAnsi="微软雅黑"/>
          <w:lang w:eastAsia="zh-TW"/>
        </w:rPr>
        <w:t>9539163</w:t>
      </w:r>
      <w:r w:rsidRPr="0080276D">
        <w:rPr>
          <w:rFonts w:ascii="微软雅黑" w:eastAsia="微软雅黑" w:hAnsi="微软雅黑" w:cs="Arial"/>
          <w:lang w:eastAsia="zh-TW"/>
        </w:rPr>
        <w:t>=2.66</w:t>
      </w:r>
    </w:p>
    <w:p w14:paraId="61867E85" w14:textId="08B7119D" w:rsidR="0078553C" w:rsidRPr="0080276D" w:rsidRDefault="0078553C" w:rsidP="0078553C">
      <w:pPr>
        <w:jc w:val="center"/>
        <w:rPr>
          <w:rFonts w:ascii="微软雅黑" w:eastAsia="微软雅黑" w:hAnsi="微软雅黑" w:cs="Arial"/>
          <w:lang w:eastAsia="zh-TW"/>
        </w:rPr>
      </w:pPr>
      <w:r>
        <w:rPr>
          <w:noProof/>
        </w:rPr>
        <w:drawing>
          <wp:inline distT="0" distB="0" distL="0" distR="0" wp14:anchorId="722B6F9A" wp14:editId="74A70A96">
            <wp:extent cx="4572000" cy="2743200"/>
            <wp:effectExtent l="0" t="0" r="0" b="0"/>
            <wp:docPr id="478833171" name="圖表 1">
              <a:extLst xmlns:a="http://schemas.openxmlformats.org/drawingml/2006/main">
                <a:ext uri="{FF2B5EF4-FFF2-40B4-BE49-F238E27FC236}">
                  <a16:creationId xmlns:a16="http://schemas.microsoft.com/office/drawing/2014/main" id="{94542865-6B05-167E-B4A8-953F670AF0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5E6E71D" w14:textId="487C5A75" w:rsidR="009273EC" w:rsidRPr="0080276D" w:rsidRDefault="00AF5FF9" w:rsidP="004E5CF0">
      <w:pPr>
        <w:jc w:val="both"/>
        <w:rPr>
          <w:rFonts w:ascii="微软雅黑" w:eastAsia="微软雅黑" w:hAnsi="微软雅黑"/>
          <w:lang w:eastAsia="zh-TW"/>
        </w:rPr>
      </w:pPr>
      <w:r w:rsidRPr="0080276D">
        <w:rPr>
          <w:rFonts w:ascii="微软雅黑" w:eastAsia="微软雅黑" w:hAnsi="微软雅黑" w:hint="eastAsia"/>
          <w:lang w:eastAsia="zh-TW"/>
        </w:rPr>
        <w:t>股東乘數較高，增加杠杆效應</w:t>
      </w:r>
      <w:r w:rsidR="003B7930" w:rsidRPr="0080276D">
        <w:rPr>
          <w:rFonts w:ascii="微软雅黑" w:eastAsia="微软雅黑" w:hAnsi="微软雅黑" w:hint="eastAsia"/>
          <w:lang w:eastAsia="zh-TW"/>
        </w:rPr>
        <w:t>的</w:t>
      </w:r>
      <w:r w:rsidRPr="0080276D">
        <w:rPr>
          <w:rFonts w:ascii="微软雅黑" w:eastAsia="微软雅黑" w:hAnsi="微软雅黑" w:hint="eastAsia"/>
          <w:lang w:eastAsia="zh-TW"/>
        </w:rPr>
        <w:t>同時也增加了財務風險。</w:t>
      </w:r>
    </w:p>
    <w:p w14:paraId="163D17AF" w14:textId="6083D5C9" w:rsidR="009273EC" w:rsidRPr="0080276D" w:rsidRDefault="004728DF" w:rsidP="0080276D">
      <w:pPr>
        <w:pStyle w:val="3"/>
        <w:rPr>
          <w:rFonts w:ascii="微软雅黑" w:eastAsia="微软雅黑" w:hAnsi="微软雅黑"/>
          <w:b/>
          <w:bCs/>
          <w:lang w:eastAsia="zh-TW"/>
        </w:rPr>
      </w:pPr>
      <w:bookmarkStart w:id="11" w:name="_Toc180601378"/>
      <w:r w:rsidRPr="0080276D">
        <w:rPr>
          <w:rFonts w:ascii="微软雅黑" w:eastAsia="微软雅黑" w:hAnsi="微软雅黑" w:hint="eastAsia"/>
          <w:b/>
          <w:bCs/>
          <w:lang w:eastAsia="zh-TW"/>
        </w:rPr>
        <w:t>6.毛利率</w:t>
      </w:r>
      <w:bookmarkEnd w:id="11"/>
    </w:p>
    <w:p w14:paraId="40C24760" w14:textId="7EA2601A" w:rsidR="009273EC" w:rsidRDefault="00000000" w:rsidP="004E5CF0">
      <w:pPr>
        <w:jc w:val="both"/>
        <w:rPr>
          <w:rFonts w:ascii="微软雅黑" w:eastAsia="微软雅黑" w:hAnsi="微软雅黑"/>
          <w:lang w:eastAsia="zh-TW"/>
        </w:rPr>
      </w:pPr>
      <w:r w:rsidRPr="0080276D">
        <w:rPr>
          <w:rFonts w:ascii="微软雅黑" w:eastAsia="微软雅黑" w:hAnsi="微软雅黑" w:cs="Arial" w:hint="eastAsia"/>
          <w:lang w:eastAsia="zh-TW"/>
        </w:rPr>
        <w:t>毛利率</w:t>
      </w:r>
      <w:r w:rsidRPr="0080276D">
        <w:rPr>
          <w:rFonts w:ascii="微软雅黑" w:eastAsia="微软雅黑" w:hAnsi="微软雅黑" w:cs="Arial"/>
          <w:lang w:eastAsia="zh-TW"/>
        </w:rPr>
        <w:t>=</w:t>
      </w:r>
      <w:r w:rsidR="007D3B55" w:rsidRPr="0080276D">
        <w:rPr>
          <w:rFonts w:ascii="微软雅黑" w:eastAsia="微软雅黑" w:hAnsi="微软雅黑" w:hint="eastAsia"/>
          <w:lang w:eastAsia="zh-TW"/>
        </w:rPr>
        <w:t>(</w:t>
      </w:r>
      <w:r w:rsidRPr="0080276D">
        <w:rPr>
          <w:rFonts w:ascii="微软雅黑" w:eastAsia="微软雅黑" w:hAnsi="微软雅黑" w:cs="Arial" w:hint="eastAsia"/>
          <w:lang w:eastAsia="zh-TW"/>
        </w:rPr>
        <w:t>收入</w:t>
      </w:r>
      <w:r w:rsidRPr="0080276D">
        <w:rPr>
          <w:rFonts w:ascii="微软雅黑" w:eastAsia="微软雅黑" w:hAnsi="微软雅黑" w:cs="Arial"/>
          <w:lang w:eastAsia="zh-TW"/>
        </w:rPr>
        <w:t>-</w:t>
      </w:r>
      <w:r w:rsidRPr="0080276D">
        <w:rPr>
          <w:rFonts w:ascii="微软雅黑" w:eastAsia="微软雅黑" w:hAnsi="微软雅黑" w:cs="Arial" w:hint="eastAsia"/>
          <w:lang w:eastAsia="zh-TW"/>
        </w:rPr>
        <w:t>銷售成本</w:t>
      </w:r>
      <w:r w:rsidR="007D3B55" w:rsidRPr="0080276D">
        <w:rPr>
          <w:rFonts w:ascii="微软雅黑" w:eastAsia="微软雅黑" w:hAnsi="微软雅黑" w:cs="Arial" w:hint="eastAsia"/>
          <w:lang w:eastAsia="zh-TW"/>
        </w:rPr>
        <w:t>)</w:t>
      </w:r>
      <w:r w:rsidRPr="0080276D">
        <w:rPr>
          <w:rFonts w:ascii="微软雅黑" w:eastAsia="微软雅黑" w:hAnsi="微软雅黑" w:cs="Arial"/>
          <w:lang w:eastAsia="zh-TW"/>
        </w:rPr>
        <w:t>÷</w:t>
      </w:r>
      <w:r w:rsidRPr="0080276D">
        <w:rPr>
          <w:rFonts w:ascii="微软雅黑" w:eastAsia="微软雅黑" w:hAnsi="微软雅黑" w:cs="Arial" w:hint="eastAsia"/>
          <w:lang w:eastAsia="zh-TW"/>
        </w:rPr>
        <w:t>收入</w:t>
      </w:r>
      <w:r w:rsidRPr="0080276D">
        <w:rPr>
          <w:rFonts w:ascii="微软雅黑" w:eastAsia="微软雅黑" w:hAnsi="微软雅黑" w:cs="Arial"/>
          <w:lang w:eastAsia="zh-TW"/>
        </w:rPr>
        <w:t>=</w:t>
      </w:r>
      <w:r w:rsidR="007D3B55" w:rsidRPr="0080276D">
        <w:rPr>
          <w:rFonts w:ascii="微软雅黑" w:eastAsia="微软雅黑" w:hAnsi="微软雅黑" w:hint="eastAsia"/>
          <w:lang w:eastAsia="zh-TW"/>
        </w:rPr>
        <w:t>(</w:t>
      </w:r>
      <w:r w:rsidRPr="0080276D">
        <w:rPr>
          <w:rFonts w:ascii="微软雅黑" w:eastAsia="微软雅黑" w:hAnsi="微软雅黑"/>
          <w:lang w:eastAsia="zh-TW"/>
        </w:rPr>
        <w:t>21490903-8387212</w:t>
      </w:r>
      <w:r w:rsidR="007D3B55" w:rsidRPr="0080276D">
        <w:rPr>
          <w:rFonts w:ascii="微软雅黑" w:eastAsia="微软雅黑" w:hAnsi="微软雅黑" w:hint="eastAsia"/>
          <w:lang w:eastAsia="zh-TW"/>
        </w:rPr>
        <w:t>)</w:t>
      </w:r>
      <w:r w:rsidRPr="0080276D">
        <w:rPr>
          <w:rFonts w:ascii="微软雅黑" w:eastAsia="微软雅黑" w:hAnsi="微软雅黑" w:cs="Arial"/>
          <w:lang w:eastAsia="zh-TW"/>
        </w:rPr>
        <w:t>÷</w:t>
      </w:r>
      <w:r w:rsidRPr="0080276D">
        <w:rPr>
          <w:rFonts w:ascii="微软雅黑" w:eastAsia="微软雅黑" w:hAnsi="微软雅黑"/>
          <w:lang w:eastAsia="zh-TW"/>
        </w:rPr>
        <w:t>21490903=60.97%</w:t>
      </w:r>
    </w:p>
    <w:p w14:paraId="41E3D566" w14:textId="5940199D" w:rsidR="006B12BF" w:rsidRPr="0080276D" w:rsidRDefault="006B12BF" w:rsidP="006B12BF">
      <w:pPr>
        <w:jc w:val="center"/>
        <w:rPr>
          <w:rFonts w:ascii="微软雅黑" w:eastAsia="微软雅黑" w:hAnsi="微软雅黑"/>
          <w:lang w:eastAsia="zh-TW"/>
        </w:rPr>
      </w:pPr>
      <w:r>
        <w:rPr>
          <w:noProof/>
        </w:rPr>
        <w:lastRenderedPageBreak/>
        <w:drawing>
          <wp:inline distT="0" distB="0" distL="0" distR="0" wp14:anchorId="0B2385EA" wp14:editId="6CD5085E">
            <wp:extent cx="4572000" cy="2743200"/>
            <wp:effectExtent l="0" t="0" r="0" b="0"/>
            <wp:docPr id="618113405" name="圖表 1">
              <a:extLst xmlns:a="http://schemas.openxmlformats.org/drawingml/2006/main">
                <a:ext uri="{FF2B5EF4-FFF2-40B4-BE49-F238E27FC236}">
                  <a16:creationId xmlns:a16="http://schemas.microsoft.com/office/drawing/2014/main" id="{7D988A88-3D1D-BAA7-4D65-E1AA3C9C0F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8390D8E" w14:textId="3F895BEB" w:rsidR="009273EC" w:rsidRPr="0080276D" w:rsidRDefault="00000000" w:rsidP="004E5CF0">
      <w:pPr>
        <w:jc w:val="both"/>
        <w:rPr>
          <w:rFonts w:ascii="微软雅黑" w:eastAsia="微软雅黑" w:hAnsi="微软雅黑"/>
          <w:lang w:eastAsia="zh-TW"/>
        </w:rPr>
      </w:pPr>
      <w:r w:rsidRPr="0080276D">
        <w:rPr>
          <w:rFonts w:ascii="微软雅黑" w:eastAsia="微软雅黑" w:hAnsi="微软雅黑" w:hint="eastAsia"/>
          <w:lang w:eastAsia="zh-TW"/>
        </w:rPr>
        <w:t>公司盈利能力較強。</w:t>
      </w:r>
    </w:p>
    <w:p w14:paraId="3FC9FF11" w14:textId="0B9EB9E6" w:rsidR="009273EC" w:rsidRPr="0080276D" w:rsidRDefault="004728DF" w:rsidP="0080276D">
      <w:pPr>
        <w:pStyle w:val="3"/>
        <w:rPr>
          <w:rFonts w:ascii="微软雅黑" w:eastAsia="微软雅黑" w:hAnsi="微软雅黑"/>
          <w:b/>
          <w:bCs/>
          <w:lang w:eastAsia="zh-TW"/>
        </w:rPr>
      </w:pPr>
      <w:bookmarkStart w:id="12" w:name="_Toc180601379"/>
      <w:r w:rsidRPr="0080276D">
        <w:rPr>
          <w:rFonts w:ascii="微软雅黑" w:eastAsia="微软雅黑" w:hAnsi="微软雅黑" w:hint="eastAsia"/>
          <w:b/>
          <w:bCs/>
          <w:lang w:eastAsia="zh-TW"/>
        </w:rPr>
        <w:t>7.淨利率</w:t>
      </w:r>
      <w:bookmarkEnd w:id="12"/>
    </w:p>
    <w:p w14:paraId="434AFA07" w14:textId="77777777" w:rsidR="009273EC" w:rsidRDefault="00000000" w:rsidP="00052746">
      <w:pPr>
        <w:jc w:val="both"/>
        <w:rPr>
          <w:rFonts w:ascii="微软雅黑" w:eastAsia="微软雅黑" w:hAnsi="微软雅黑"/>
          <w:lang w:eastAsia="zh-TW"/>
        </w:rPr>
      </w:pPr>
      <w:r w:rsidRPr="0080276D">
        <w:rPr>
          <w:rFonts w:ascii="微软雅黑" w:eastAsia="微软雅黑" w:hAnsi="微软雅黑" w:cs="Arial" w:hint="eastAsia"/>
          <w:lang w:eastAsia="zh-TW"/>
        </w:rPr>
        <w:t>淨利率</w:t>
      </w:r>
      <w:r w:rsidRPr="0080276D">
        <w:rPr>
          <w:rFonts w:ascii="微软雅黑" w:eastAsia="微软雅黑" w:hAnsi="微软雅黑" w:cs="Arial"/>
          <w:lang w:eastAsia="zh-TW"/>
        </w:rPr>
        <w:t>=</w:t>
      </w:r>
      <w:r w:rsidRPr="0080276D">
        <w:rPr>
          <w:rFonts w:ascii="微软雅黑" w:eastAsia="微软雅黑" w:hAnsi="微软雅黑" w:cs="Arial" w:hint="eastAsia"/>
          <w:lang w:eastAsia="zh-TW"/>
        </w:rPr>
        <w:t>淨利潤</w:t>
      </w:r>
      <w:r w:rsidRPr="0080276D">
        <w:rPr>
          <w:rFonts w:ascii="微软雅黑" w:eastAsia="微软雅黑" w:hAnsi="微软雅黑" w:cs="Arial"/>
          <w:lang w:eastAsia="zh-TW"/>
        </w:rPr>
        <w:t>÷</w:t>
      </w:r>
      <w:r w:rsidRPr="0080276D">
        <w:rPr>
          <w:rFonts w:ascii="微软雅黑" w:eastAsia="微软雅黑" w:hAnsi="微软雅黑" w:cs="Arial" w:hint="eastAsia"/>
          <w:lang w:eastAsia="zh-TW"/>
        </w:rPr>
        <w:t>收入</w:t>
      </w:r>
      <w:r w:rsidRPr="0080276D">
        <w:rPr>
          <w:rFonts w:ascii="微软雅黑" w:eastAsia="微软雅黑" w:hAnsi="微软雅黑" w:cs="Arial"/>
          <w:lang w:eastAsia="zh-TW"/>
        </w:rPr>
        <w:t>=</w:t>
      </w:r>
      <w:r w:rsidRPr="0080276D">
        <w:rPr>
          <w:rFonts w:ascii="微软雅黑" w:eastAsia="微软雅黑" w:hAnsi="微软雅黑"/>
          <w:lang w:eastAsia="zh-TW"/>
        </w:rPr>
        <w:t>2033103</w:t>
      </w:r>
      <w:r w:rsidRPr="0080276D">
        <w:rPr>
          <w:rFonts w:ascii="微软雅黑" w:eastAsia="微软雅黑" w:hAnsi="微软雅黑" w:cs="Arial"/>
          <w:lang w:eastAsia="zh-TW"/>
        </w:rPr>
        <w:t>÷</w:t>
      </w:r>
      <w:r w:rsidRPr="0080276D">
        <w:rPr>
          <w:rFonts w:ascii="微软雅黑" w:eastAsia="微软雅黑" w:hAnsi="微软雅黑"/>
          <w:lang w:eastAsia="zh-TW"/>
        </w:rPr>
        <w:t>21490903=9.46%</w:t>
      </w:r>
    </w:p>
    <w:p w14:paraId="247A38E5" w14:textId="2D58C83C" w:rsidR="00D72757" w:rsidRPr="0080276D" w:rsidRDefault="00D72757" w:rsidP="00D72757">
      <w:pPr>
        <w:jc w:val="center"/>
        <w:rPr>
          <w:rFonts w:ascii="微软雅黑" w:eastAsia="微软雅黑" w:hAnsi="微软雅黑"/>
          <w:lang w:eastAsia="zh-TW"/>
        </w:rPr>
      </w:pPr>
      <w:r>
        <w:rPr>
          <w:noProof/>
        </w:rPr>
        <w:drawing>
          <wp:inline distT="0" distB="0" distL="0" distR="0" wp14:anchorId="42066F87" wp14:editId="39A34D0C">
            <wp:extent cx="4572000" cy="2743200"/>
            <wp:effectExtent l="0" t="0" r="0" b="0"/>
            <wp:docPr id="1907195239" name="圖表 1">
              <a:extLst xmlns:a="http://schemas.openxmlformats.org/drawingml/2006/main">
                <a:ext uri="{FF2B5EF4-FFF2-40B4-BE49-F238E27FC236}">
                  <a16:creationId xmlns:a16="http://schemas.microsoft.com/office/drawing/2014/main" id="{E793C782-256E-7DBA-40B0-D091B133A6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E66C9FE" w14:textId="0E16EC87" w:rsidR="009273EC" w:rsidRPr="0080276D" w:rsidRDefault="00577708" w:rsidP="00052746">
      <w:pPr>
        <w:jc w:val="both"/>
        <w:rPr>
          <w:rFonts w:ascii="微软雅黑" w:eastAsia="微软雅黑" w:hAnsi="微软雅黑"/>
          <w:lang w:eastAsia="zh-TW"/>
        </w:rPr>
      </w:pPr>
      <w:r w:rsidRPr="0080276D">
        <w:rPr>
          <w:rFonts w:ascii="微软雅黑" w:eastAsia="微软雅黑" w:hAnsi="微软雅黑" w:hint="eastAsia"/>
          <w:lang w:eastAsia="zh-TW"/>
        </w:rPr>
        <w:t>淨利率同行業領先，盈利能力較強。</w:t>
      </w:r>
    </w:p>
    <w:p w14:paraId="385FDAE2" w14:textId="7D8FBDD5" w:rsidR="009273EC" w:rsidRPr="0080276D" w:rsidRDefault="004728DF" w:rsidP="0080276D">
      <w:pPr>
        <w:pStyle w:val="3"/>
        <w:rPr>
          <w:rFonts w:ascii="微软雅黑" w:eastAsia="微软雅黑" w:hAnsi="微软雅黑"/>
          <w:b/>
          <w:bCs/>
          <w:lang w:eastAsia="zh-TW"/>
        </w:rPr>
      </w:pPr>
      <w:bookmarkStart w:id="13" w:name="_Toc180601380"/>
      <w:r w:rsidRPr="0080276D">
        <w:rPr>
          <w:rFonts w:ascii="微软雅黑" w:eastAsia="微软雅黑" w:hAnsi="微软雅黑" w:hint="eastAsia"/>
          <w:b/>
          <w:bCs/>
          <w:lang w:eastAsia="zh-TW"/>
        </w:rPr>
        <w:t>8.資產回報率</w:t>
      </w:r>
      <w:bookmarkEnd w:id="13"/>
    </w:p>
    <w:p w14:paraId="505CE020" w14:textId="77777777" w:rsidR="009273EC" w:rsidRDefault="00000000" w:rsidP="00052746">
      <w:pPr>
        <w:jc w:val="both"/>
        <w:rPr>
          <w:rFonts w:ascii="微软雅黑" w:eastAsia="微软雅黑" w:hAnsi="微软雅黑"/>
          <w:lang w:eastAsia="zh-TW"/>
        </w:rPr>
      </w:pPr>
      <w:r w:rsidRPr="0080276D">
        <w:rPr>
          <w:rFonts w:ascii="微软雅黑" w:eastAsia="微软雅黑" w:hAnsi="微软雅黑" w:cs="Arial" w:hint="eastAsia"/>
          <w:lang w:eastAsia="zh-TW"/>
        </w:rPr>
        <w:t>資產回報率</w:t>
      </w:r>
      <w:r w:rsidRPr="0080276D">
        <w:rPr>
          <w:rFonts w:ascii="微软雅黑" w:eastAsia="微软雅黑" w:hAnsi="微软雅黑" w:cs="Arial"/>
          <w:lang w:eastAsia="zh-TW"/>
        </w:rPr>
        <w:t>=</w:t>
      </w:r>
      <w:r w:rsidRPr="0080276D">
        <w:rPr>
          <w:rFonts w:ascii="微软雅黑" w:eastAsia="微软雅黑" w:hAnsi="微软雅黑" w:cs="Arial" w:hint="eastAsia"/>
          <w:lang w:eastAsia="zh-TW"/>
        </w:rPr>
        <w:t>淨利潤</w:t>
      </w:r>
      <w:r w:rsidRPr="0080276D">
        <w:rPr>
          <w:rFonts w:ascii="微软雅黑" w:eastAsia="微软雅黑" w:hAnsi="微软雅黑" w:cs="Arial"/>
          <w:lang w:eastAsia="zh-TW"/>
        </w:rPr>
        <w:t>÷</w:t>
      </w:r>
      <w:r w:rsidRPr="0080276D">
        <w:rPr>
          <w:rFonts w:ascii="微软雅黑" w:eastAsia="微软雅黑" w:hAnsi="微软雅黑" w:cs="Arial" w:hint="eastAsia"/>
          <w:lang w:eastAsia="zh-TW"/>
        </w:rPr>
        <w:t>總資產</w:t>
      </w:r>
      <w:r w:rsidRPr="0080276D">
        <w:rPr>
          <w:rFonts w:ascii="微软雅黑" w:eastAsia="微软雅黑" w:hAnsi="微软雅黑" w:cs="Arial"/>
          <w:lang w:eastAsia="zh-TW"/>
        </w:rPr>
        <w:t>=</w:t>
      </w:r>
      <w:r w:rsidRPr="0080276D">
        <w:rPr>
          <w:rFonts w:ascii="微软雅黑" w:eastAsia="微软雅黑" w:hAnsi="微软雅黑"/>
          <w:lang w:eastAsia="zh-TW"/>
        </w:rPr>
        <w:t>2033103</w:t>
      </w:r>
      <w:r w:rsidRPr="0080276D">
        <w:rPr>
          <w:rFonts w:ascii="微软雅黑" w:eastAsia="微软雅黑" w:hAnsi="微软雅黑" w:cs="Arial"/>
          <w:lang w:eastAsia="zh-TW"/>
        </w:rPr>
        <w:t>÷</w:t>
      </w:r>
      <w:r w:rsidRPr="0080276D">
        <w:rPr>
          <w:rFonts w:ascii="微软雅黑" w:eastAsia="微软雅黑" w:hAnsi="微软雅黑"/>
          <w:lang w:eastAsia="zh-TW"/>
        </w:rPr>
        <w:t>25372669=8.01%</w:t>
      </w:r>
    </w:p>
    <w:p w14:paraId="5CC29FBD" w14:textId="41B4EEEB" w:rsidR="00D72757" w:rsidRPr="0080276D" w:rsidRDefault="000D23DB" w:rsidP="000D23DB">
      <w:pPr>
        <w:jc w:val="center"/>
        <w:rPr>
          <w:rFonts w:ascii="微软雅黑" w:eastAsia="微软雅黑" w:hAnsi="微软雅黑"/>
        </w:rPr>
      </w:pPr>
      <w:r>
        <w:rPr>
          <w:noProof/>
        </w:rPr>
        <w:lastRenderedPageBreak/>
        <w:drawing>
          <wp:inline distT="0" distB="0" distL="0" distR="0" wp14:anchorId="553E8F27" wp14:editId="74F1BCFF">
            <wp:extent cx="4572000" cy="2743200"/>
            <wp:effectExtent l="0" t="0" r="0" b="0"/>
            <wp:docPr id="2133693119" name="圖表 1">
              <a:extLst xmlns:a="http://schemas.openxmlformats.org/drawingml/2006/main">
                <a:ext uri="{FF2B5EF4-FFF2-40B4-BE49-F238E27FC236}">
                  <a16:creationId xmlns:a16="http://schemas.microsoft.com/office/drawing/2014/main" id="{E460D36A-214A-F839-912A-5F8D4B76D4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60F052B" w14:textId="243D27F3" w:rsidR="009273EC" w:rsidRPr="0080276D" w:rsidRDefault="00D978E6" w:rsidP="004E5CF0">
      <w:pPr>
        <w:jc w:val="both"/>
        <w:rPr>
          <w:rFonts w:ascii="微软雅黑" w:eastAsia="微软雅黑" w:hAnsi="微软雅黑"/>
          <w:lang w:eastAsia="zh-TW"/>
        </w:rPr>
      </w:pPr>
      <w:r w:rsidRPr="0080276D">
        <w:rPr>
          <w:rFonts w:ascii="微软雅黑" w:eastAsia="微软雅黑" w:hAnsi="微软雅黑" w:hint="eastAsia"/>
          <w:lang w:eastAsia="zh-TW"/>
        </w:rPr>
        <w:t>在競爭激烈的餐飲業中，半年</w:t>
      </w:r>
      <w:r w:rsidRPr="0080276D">
        <w:rPr>
          <w:rFonts w:ascii="微软雅黑" w:eastAsia="微软雅黑" w:hAnsi="微软雅黑"/>
          <w:lang w:eastAsia="zh-TW"/>
        </w:rPr>
        <w:t>8%的資產回報率難能可貴。</w:t>
      </w:r>
    </w:p>
    <w:p w14:paraId="5945F86B" w14:textId="74E80071" w:rsidR="009273EC" w:rsidRPr="0080276D" w:rsidRDefault="004728DF" w:rsidP="0080276D">
      <w:pPr>
        <w:pStyle w:val="3"/>
        <w:rPr>
          <w:rFonts w:ascii="微软雅黑" w:eastAsia="微软雅黑" w:hAnsi="微软雅黑"/>
          <w:b/>
          <w:bCs/>
          <w:lang w:eastAsia="zh-TW"/>
        </w:rPr>
      </w:pPr>
      <w:bookmarkStart w:id="14" w:name="_Toc180601381"/>
      <w:r w:rsidRPr="0080276D">
        <w:rPr>
          <w:rFonts w:ascii="微软雅黑" w:eastAsia="微软雅黑" w:hAnsi="微软雅黑" w:hint="eastAsia"/>
          <w:b/>
          <w:bCs/>
          <w:lang w:eastAsia="zh-TW"/>
        </w:rPr>
        <w:t>9.權益回報率</w:t>
      </w:r>
      <w:bookmarkEnd w:id="14"/>
    </w:p>
    <w:p w14:paraId="6C580ABE" w14:textId="77777777" w:rsidR="009273EC" w:rsidRDefault="00000000" w:rsidP="00052746">
      <w:pPr>
        <w:jc w:val="both"/>
        <w:rPr>
          <w:rFonts w:ascii="微软雅黑" w:eastAsia="微软雅黑" w:hAnsi="微软雅黑"/>
          <w:lang w:eastAsia="zh-TW"/>
        </w:rPr>
      </w:pPr>
      <w:r w:rsidRPr="0080276D">
        <w:rPr>
          <w:rFonts w:ascii="微软雅黑" w:eastAsia="微软雅黑" w:hAnsi="微软雅黑" w:cs="Arial" w:hint="eastAsia"/>
          <w:lang w:eastAsia="zh-TW"/>
        </w:rPr>
        <w:t>權益回報率</w:t>
      </w:r>
      <w:r w:rsidRPr="0080276D">
        <w:rPr>
          <w:rFonts w:ascii="微软雅黑" w:eastAsia="微软雅黑" w:hAnsi="微软雅黑" w:cs="Arial"/>
          <w:lang w:eastAsia="zh-TW"/>
        </w:rPr>
        <w:t>=</w:t>
      </w:r>
      <w:r w:rsidRPr="0080276D">
        <w:rPr>
          <w:rFonts w:ascii="微软雅黑" w:eastAsia="微软雅黑" w:hAnsi="微软雅黑" w:cs="Arial" w:hint="eastAsia"/>
          <w:lang w:eastAsia="zh-TW"/>
        </w:rPr>
        <w:t>淨利潤</w:t>
      </w:r>
      <w:r w:rsidRPr="0080276D">
        <w:rPr>
          <w:rFonts w:ascii="微软雅黑" w:eastAsia="微软雅黑" w:hAnsi="微软雅黑" w:cs="Arial"/>
          <w:lang w:eastAsia="zh-TW"/>
        </w:rPr>
        <w:t>÷</w:t>
      </w:r>
      <w:r w:rsidRPr="0080276D">
        <w:rPr>
          <w:rFonts w:ascii="微软雅黑" w:eastAsia="微软雅黑" w:hAnsi="微软雅黑" w:cs="Arial" w:hint="eastAsia"/>
          <w:lang w:eastAsia="zh-TW"/>
        </w:rPr>
        <w:t>權益總額</w:t>
      </w:r>
      <w:r w:rsidRPr="0080276D">
        <w:rPr>
          <w:rFonts w:ascii="微软雅黑" w:eastAsia="微软雅黑" w:hAnsi="微软雅黑" w:cs="Arial"/>
          <w:lang w:eastAsia="zh-TW"/>
        </w:rPr>
        <w:t>=</w:t>
      </w:r>
      <w:r w:rsidRPr="0080276D">
        <w:rPr>
          <w:rFonts w:ascii="微软雅黑" w:eastAsia="微软雅黑" w:hAnsi="微软雅黑"/>
          <w:lang w:eastAsia="zh-TW"/>
        </w:rPr>
        <w:t>2033103</w:t>
      </w:r>
      <w:r w:rsidRPr="0080276D">
        <w:rPr>
          <w:rFonts w:ascii="微软雅黑" w:eastAsia="微软雅黑" w:hAnsi="微软雅黑" w:cs="Arial"/>
          <w:lang w:eastAsia="zh-TW"/>
        </w:rPr>
        <w:t>÷</w:t>
      </w:r>
      <w:r w:rsidRPr="0080276D">
        <w:rPr>
          <w:rFonts w:ascii="微软雅黑" w:eastAsia="微软雅黑" w:hAnsi="微软雅黑"/>
          <w:lang w:eastAsia="zh-TW"/>
        </w:rPr>
        <w:t>9539163=21.31%</w:t>
      </w:r>
    </w:p>
    <w:p w14:paraId="492DAD45" w14:textId="0509E857" w:rsidR="00F56CBE" w:rsidRPr="0080276D" w:rsidRDefault="00F56CBE" w:rsidP="00F56CBE">
      <w:pPr>
        <w:jc w:val="center"/>
        <w:rPr>
          <w:rFonts w:ascii="微软雅黑" w:eastAsia="微软雅黑" w:hAnsi="微软雅黑"/>
          <w:lang w:eastAsia="zh-TW"/>
        </w:rPr>
      </w:pPr>
      <w:r>
        <w:rPr>
          <w:noProof/>
        </w:rPr>
        <w:drawing>
          <wp:inline distT="0" distB="0" distL="0" distR="0" wp14:anchorId="682306E1" wp14:editId="398EBEA8">
            <wp:extent cx="4572000" cy="2743200"/>
            <wp:effectExtent l="0" t="0" r="0" b="0"/>
            <wp:docPr id="574518688" name="圖表 1">
              <a:extLst xmlns:a="http://schemas.openxmlformats.org/drawingml/2006/main">
                <a:ext uri="{FF2B5EF4-FFF2-40B4-BE49-F238E27FC236}">
                  <a16:creationId xmlns:a16="http://schemas.microsoft.com/office/drawing/2014/main" id="{7270DA42-053A-A569-E113-91B264C94D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5A74860" w14:textId="6B1C6DF2" w:rsidR="009273EC" w:rsidRPr="00F07E08" w:rsidRDefault="003D6B1B" w:rsidP="004E5CF0">
      <w:pPr>
        <w:rPr>
          <w:rFonts w:ascii="微软雅黑" w:eastAsia="微软雅黑" w:hAnsi="微软雅黑"/>
          <w:lang w:eastAsia="zh-TW"/>
        </w:rPr>
      </w:pPr>
      <w:r w:rsidRPr="00F07E08">
        <w:rPr>
          <w:rFonts w:ascii="微软雅黑" w:eastAsia="微软雅黑" w:hAnsi="微软雅黑" w:cs="Arial" w:hint="eastAsia"/>
          <w:lang w:eastAsia="zh-TW"/>
        </w:rPr>
        <w:t>權益回報率</w:t>
      </w:r>
      <w:r w:rsidRPr="00F07E08">
        <w:rPr>
          <w:rFonts w:ascii="微软雅黑" w:eastAsia="微软雅黑" w:hAnsi="微软雅黑" w:hint="eastAsia"/>
          <w:lang w:eastAsia="zh-TW"/>
        </w:rPr>
        <w:t>較高，海底撈在利用股東權益創造利潤方面表現較好，為股東提供了較高的回報。</w:t>
      </w:r>
    </w:p>
    <w:p w14:paraId="1D905C8D" w14:textId="77777777" w:rsidR="009273EC" w:rsidRPr="0080276D" w:rsidRDefault="00000000" w:rsidP="0080276D">
      <w:pPr>
        <w:pStyle w:val="2"/>
        <w:rPr>
          <w:rFonts w:ascii="微软雅黑" w:eastAsia="微软雅黑" w:hAnsi="微软雅黑"/>
          <w:b/>
          <w:bCs/>
          <w:lang w:eastAsia="zh-TW"/>
        </w:rPr>
      </w:pPr>
      <w:bookmarkStart w:id="15" w:name="_Toc180601382"/>
      <w:r w:rsidRPr="0080276D">
        <w:rPr>
          <w:rFonts w:ascii="微软雅黑" w:eastAsia="微软雅黑" w:hAnsi="微软雅黑" w:hint="eastAsia"/>
          <w:b/>
          <w:bCs/>
          <w:lang w:eastAsia="zh-TW"/>
        </w:rPr>
        <w:t>四、新聞分析</w:t>
      </w:r>
      <w:bookmarkEnd w:id="15"/>
    </w:p>
    <w:p w14:paraId="671A7F86" w14:textId="674B292F" w:rsidR="00EC1DB2" w:rsidRPr="0080276D" w:rsidRDefault="00EC1DB2" w:rsidP="0080276D">
      <w:pPr>
        <w:pStyle w:val="3"/>
        <w:rPr>
          <w:rFonts w:ascii="微软雅黑" w:eastAsia="微软雅黑" w:hAnsi="微软雅黑"/>
          <w:b/>
          <w:bCs/>
          <w:lang w:eastAsia="zh-TW"/>
        </w:rPr>
      </w:pPr>
      <w:r w:rsidRPr="0080276D">
        <w:rPr>
          <w:rFonts w:ascii="微软雅黑" w:eastAsia="微软雅黑" w:hAnsi="微软雅黑" w:hint="eastAsia"/>
          <w:b/>
          <w:bCs/>
          <w:lang w:eastAsia="zh-TW"/>
        </w:rPr>
        <w:t>1.引入加盟模式</w:t>
      </w:r>
    </w:p>
    <w:p w14:paraId="463B4040" w14:textId="77777777" w:rsidR="009273EC" w:rsidRPr="0080276D" w:rsidRDefault="00000000" w:rsidP="004E5CF0">
      <w:pPr>
        <w:jc w:val="both"/>
        <w:rPr>
          <w:rFonts w:ascii="微软雅黑" w:eastAsia="微软雅黑" w:hAnsi="微软雅黑"/>
          <w:lang w:eastAsia="zh-TW"/>
        </w:rPr>
      </w:pPr>
      <w:r w:rsidRPr="0080276D">
        <w:rPr>
          <w:rFonts w:ascii="微软雅黑" w:eastAsia="微软雅黑" w:hAnsi="微软雅黑"/>
          <w:lang w:eastAsia="zh-TW"/>
        </w:rPr>
        <w:t>2023</w:t>
      </w:r>
      <w:r w:rsidRPr="0080276D">
        <w:rPr>
          <w:rFonts w:ascii="微软雅黑" w:eastAsia="微软雅黑" w:hAnsi="微软雅黑" w:hint="eastAsia"/>
          <w:lang w:eastAsia="zh-TW"/>
        </w:rPr>
        <w:t>年初，海底撈引入加盟特許經營模式以推動餐廳的擴張，這是海底撈的重大模式變化。長期來看這對財務的影響是積極的。加盟模式有助於擴大市場份額，增加加盟費和供應鏈收入，同時分攤開店成本和運營風險，提高公司利潤。</w:t>
      </w:r>
      <w:r w:rsidRPr="0080276D">
        <w:rPr>
          <w:rFonts w:ascii="微软雅黑" w:eastAsia="微软雅黑" w:hAnsi="微软雅黑" w:hint="eastAsia"/>
          <w:lang w:eastAsia="zh-TW"/>
        </w:rPr>
        <w:lastRenderedPageBreak/>
        <w:t>比起直營店，加盟店能減少公司流動資產和債務，但是企業的品牌形象和服務品質風險也會因為加盟店的擴張而不斷加大。</w:t>
      </w:r>
    </w:p>
    <w:p w14:paraId="6597815D" w14:textId="51D03472" w:rsidR="00EC1DB2" w:rsidRPr="0080276D" w:rsidRDefault="00EC1DB2" w:rsidP="0080276D">
      <w:pPr>
        <w:pStyle w:val="3"/>
        <w:rPr>
          <w:rFonts w:ascii="微软雅黑" w:eastAsia="微软雅黑" w:hAnsi="微软雅黑"/>
          <w:b/>
          <w:bCs/>
          <w:lang w:eastAsia="zh-TW"/>
        </w:rPr>
      </w:pPr>
      <w:r w:rsidRPr="0080276D">
        <w:rPr>
          <w:rFonts w:ascii="微软雅黑" w:eastAsia="微软雅黑" w:hAnsi="微软雅黑" w:hint="eastAsia"/>
          <w:b/>
          <w:bCs/>
          <w:lang w:eastAsia="zh-TW"/>
        </w:rPr>
        <w:t>2.實施“紅石榴”計畫</w:t>
      </w:r>
    </w:p>
    <w:p w14:paraId="6A1CA579" w14:textId="51EF12D0" w:rsidR="009273EC" w:rsidRPr="0080276D" w:rsidRDefault="00000000" w:rsidP="004E5CF0">
      <w:pPr>
        <w:jc w:val="both"/>
        <w:rPr>
          <w:rFonts w:ascii="微软雅黑" w:eastAsia="微软雅黑" w:hAnsi="微软雅黑"/>
          <w:lang w:eastAsia="zh-TW"/>
        </w:rPr>
      </w:pPr>
      <w:r w:rsidRPr="0080276D">
        <w:rPr>
          <w:rFonts w:ascii="微软雅黑" w:eastAsia="微软雅黑" w:hAnsi="微软雅黑"/>
          <w:lang w:eastAsia="zh-TW"/>
        </w:rPr>
        <w:t>2024</w:t>
      </w:r>
      <w:r w:rsidRPr="0080276D">
        <w:rPr>
          <w:rFonts w:ascii="微软雅黑" w:eastAsia="微软雅黑" w:hAnsi="微软雅黑" w:hint="eastAsia"/>
          <w:lang w:eastAsia="zh-TW"/>
        </w:rPr>
        <w:t>年，海底撈開始實施</w:t>
      </w:r>
      <w:r w:rsidR="00EC1DB2" w:rsidRPr="0080276D">
        <w:rPr>
          <w:rFonts w:ascii="微软雅黑" w:eastAsia="微软雅黑" w:hAnsi="微软雅黑" w:hint="eastAsia"/>
          <w:lang w:eastAsia="zh-TW"/>
        </w:rPr>
        <w:t>“</w:t>
      </w:r>
      <w:r w:rsidRPr="0080276D">
        <w:rPr>
          <w:rFonts w:ascii="微软雅黑" w:eastAsia="微软雅黑" w:hAnsi="微软雅黑" w:hint="eastAsia"/>
          <w:lang w:eastAsia="zh-TW"/>
        </w:rPr>
        <w:t>紅石榴</w:t>
      </w:r>
      <w:r w:rsidR="00EC1DB2" w:rsidRPr="0080276D">
        <w:rPr>
          <w:rFonts w:ascii="微软雅黑" w:eastAsia="微软雅黑" w:hAnsi="微软雅黑" w:hint="eastAsia"/>
          <w:lang w:eastAsia="zh-TW"/>
        </w:rPr>
        <w:t>”</w:t>
      </w:r>
      <w:r w:rsidRPr="0080276D">
        <w:rPr>
          <w:rFonts w:ascii="微软雅黑" w:eastAsia="微软雅黑" w:hAnsi="微软雅黑" w:hint="eastAsia"/>
          <w:lang w:eastAsia="zh-TW"/>
        </w:rPr>
        <w:t>計畫，內容包括：孵化和發展餐飲新品牌，推動餐飲服務創新，內部組織管理與創新。實施以來，海底撈上半年營收同比增長</w:t>
      </w:r>
      <w:r w:rsidRPr="0080276D">
        <w:rPr>
          <w:rFonts w:ascii="微软雅黑" w:eastAsia="微软雅黑" w:hAnsi="微软雅黑"/>
          <w:lang w:eastAsia="zh-TW"/>
        </w:rPr>
        <w:t>13.8%</w:t>
      </w:r>
      <w:r w:rsidRPr="0080276D">
        <w:rPr>
          <w:rFonts w:ascii="微软雅黑" w:eastAsia="微软雅黑" w:hAnsi="微软雅黑" w:hint="eastAsia"/>
          <w:lang w:eastAsia="zh-TW"/>
        </w:rPr>
        <w:t>，其中新品牌營收增長</w:t>
      </w:r>
      <w:r w:rsidRPr="0080276D">
        <w:rPr>
          <w:rFonts w:ascii="微软雅黑" w:eastAsia="微软雅黑" w:hAnsi="微软雅黑"/>
          <w:lang w:eastAsia="zh-TW"/>
        </w:rPr>
        <w:t>74.35%</w:t>
      </w:r>
      <w:r w:rsidRPr="0080276D">
        <w:rPr>
          <w:rFonts w:ascii="微软雅黑" w:eastAsia="微软雅黑" w:hAnsi="微软雅黑" w:hint="eastAsia"/>
          <w:lang w:eastAsia="zh-TW"/>
        </w:rPr>
        <w:t>；外賣業務營收增長</w:t>
      </w:r>
      <w:r w:rsidRPr="0080276D">
        <w:rPr>
          <w:rFonts w:ascii="微软雅黑" w:eastAsia="微软雅黑" w:hAnsi="微软雅黑"/>
          <w:lang w:eastAsia="zh-TW"/>
        </w:rPr>
        <w:t>23.3%</w:t>
      </w:r>
      <w:r w:rsidRPr="0080276D">
        <w:rPr>
          <w:rFonts w:ascii="微软雅黑" w:eastAsia="微软雅黑" w:hAnsi="微软雅黑" w:hint="eastAsia"/>
          <w:lang w:eastAsia="zh-TW"/>
        </w:rPr>
        <w:t>。但新品牌市場接受程度的不確定性，前期投入高，員工成本增加，公司資源分散，容易引起財務資料的波動，需要長時間來檢驗成果。</w:t>
      </w:r>
    </w:p>
    <w:p w14:paraId="5390BBE1" w14:textId="3326D085" w:rsidR="00EC1DB2" w:rsidRPr="0080276D" w:rsidRDefault="00EC1DB2" w:rsidP="0080276D">
      <w:pPr>
        <w:pStyle w:val="3"/>
        <w:rPr>
          <w:rFonts w:ascii="微软雅黑" w:eastAsia="微软雅黑" w:hAnsi="微软雅黑"/>
          <w:b/>
          <w:bCs/>
          <w:lang w:eastAsia="zh-TW"/>
        </w:rPr>
      </w:pPr>
      <w:r w:rsidRPr="0080276D">
        <w:rPr>
          <w:rFonts w:ascii="微软雅黑" w:eastAsia="微软雅黑" w:hAnsi="微软雅黑" w:hint="eastAsia"/>
          <w:b/>
          <w:bCs/>
          <w:lang w:eastAsia="zh-TW"/>
        </w:rPr>
        <w:t>3.稅負增加</w:t>
      </w:r>
    </w:p>
    <w:p w14:paraId="68050512" w14:textId="77777777" w:rsidR="009273EC" w:rsidRPr="0080276D" w:rsidRDefault="00000000" w:rsidP="004E5CF0">
      <w:pPr>
        <w:jc w:val="both"/>
        <w:rPr>
          <w:rFonts w:ascii="微软雅黑" w:eastAsia="微软雅黑" w:hAnsi="微软雅黑"/>
          <w:lang w:eastAsia="zh-TW"/>
        </w:rPr>
      </w:pPr>
      <w:r w:rsidRPr="0080276D">
        <w:rPr>
          <w:rFonts w:ascii="微软雅黑" w:eastAsia="微软雅黑" w:hAnsi="微软雅黑"/>
          <w:lang w:eastAsia="zh-TW"/>
        </w:rPr>
        <w:t>2024</w:t>
      </w:r>
      <w:r w:rsidRPr="0080276D">
        <w:rPr>
          <w:rFonts w:ascii="微软雅黑" w:eastAsia="微软雅黑" w:hAnsi="微软雅黑" w:hint="eastAsia"/>
          <w:lang w:eastAsia="zh-TW"/>
        </w:rPr>
        <w:t>年國家取消生活性服務業增值稅加計（</w:t>
      </w:r>
      <w:r w:rsidRPr="0080276D">
        <w:rPr>
          <w:rFonts w:ascii="微软雅黑" w:eastAsia="微软雅黑" w:hAnsi="微软雅黑"/>
          <w:lang w:eastAsia="zh-TW"/>
        </w:rPr>
        <w:t>10%</w:t>
      </w:r>
      <w:r w:rsidRPr="0080276D">
        <w:rPr>
          <w:rFonts w:ascii="微软雅黑" w:eastAsia="微软雅黑" w:hAnsi="微软雅黑" w:hint="eastAsia"/>
          <w:lang w:eastAsia="zh-TW"/>
        </w:rPr>
        <w:t>）抵減優惠政策，海底撈稅務負擔增加，致成本上升、淨利潤減少。雖然上半年營收同比增長</w:t>
      </w:r>
      <w:r w:rsidRPr="0080276D">
        <w:rPr>
          <w:rFonts w:ascii="微软雅黑" w:eastAsia="微软雅黑" w:hAnsi="微软雅黑"/>
          <w:lang w:eastAsia="zh-TW"/>
        </w:rPr>
        <w:t>13.8%</w:t>
      </w:r>
      <w:r w:rsidRPr="0080276D">
        <w:rPr>
          <w:rFonts w:ascii="微软雅黑" w:eastAsia="微软雅黑" w:hAnsi="微软雅黑" w:hint="eastAsia"/>
          <w:lang w:eastAsia="zh-TW"/>
        </w:rPr>
        <w:t>，但淨利潤卻同比下滑</w:t>
      </w:r>
      <w:r w:rsidRPr="0080276D">
        <w:rPr>
          <w:rFonts w:ascii="微软雅黑" w:eastAsia="微软雅黑" w:hAnsi="微软雅黑"/>
          <w:lang w:eastAsia="zh-TW"/>
        </w:rPr>
        <w:t>10%</w:t>
      </w:r>
      <w:r w:rsidRPr="0080276D">
        <w:rPr>
          <w:rFonts w:ascii="微软雅黑" w:eastAsia="微软雅黑" w:hAnsi="微软雅黑" w:hint="eastAsia"/>
          <w:lang w:eastAsia="zh-TW"/>
        </w:rPr>
        <w:t>，該政策取消是重要因素之一。</w:t>
      </w:r>
    </w:p>
    <w:p w14:paraId="23A075E2" w14:textId="77777777" w:rsidR="009273EC" w:rsidRPr="0080276D" w:rsidRDefault="00000000" w:rsidP="0080276D">
      <w:pPr>
        <w:pStyle w:val="2"/>
        <w:rPr>
          <w:rFonts w:ascii="微软雅黑" w:eastAsia="微软雅黑" w:hAnsi="微软雅黑"/>
          <w:b/>
          <w:bCs/>
          <w:lang w:eastAsia="zh-TW"/>
        </w:rPr>
      </w:pPr>
      <w:bookmarkStart w:id="16" w:name="_Toc180601383"/>
      <w:r w:rsidRPr="0080276D">
        <w:rPr>
          <w:rFonts w:ascii="微软雅黑" w:eastAsia="微软雅黑" w:hAnsi="微软雅黑" w:hint="eastAsia"/>
          <w:b/>
          <w:bCs/>
          <w:lang w:eastAsia="zh-TW"/>
        </w:rPr>
        <w:t>五、業務及財務優劣勢</w:t>
      </w:r>
      <w:bookmarkEnd w:id="16"/>
    </w:p>
    <w:p w14:paraId="5DD7199E" w14:textId="77777777" w:rsidR="009273EC" w:rsidRPr="0080276D" w:rsidRDefault="00000000" w:rsidP="0080276D">
      <w:pPr>
        <w:pStyle w:val="3"/>
        <w:rPr>
          <w:rFonts w:ascii="微软雅黑" w:eastAsia="微软雅黑" w:hAnsi="微软雅黑"/>
          <w:b/>
          <w:bCs/>
          <w:lang w:eastAsia="zh-TW"/>
        </w:rPr>
      </w:pPr>
      <w:bookmarkStart w:id="17" w:name="_Toc180601384"/>
      <w:r w:rsidRPr="0080276D">
        <w:rPr>
          <w:rFonts w:ascii="微软雅黑" w:eastAsia="微软雅黑" w:hAnsi="微软雅黑"/>
          <w:b/>
          <w:bCs/>
          <w:lang w:eastAsia="zh-TW"/>
        </w:rPr>
        <w:t>1.</w:t>
      </w:r>
      <w:r w:rsidRPr="0080276D">
        <w:rPr>
          <w:rFonts w:ascii="微软雅黑" w:eastAsia="微软雅黑" w:hAnsi="微软雅黑" w:hint="eastAsia"/>
          <w:b/>
          <w:bCs/>
          <w:lang w:eastAsia="zh-TW"/>
        </w:rPr>
        <w:t>增收不增利——人工成本上升</w:t>
      </w:r>
      <w:bookmarkEnd w:id="17"/>
    </w:p>
    <w:p w14:paraId="1FFEBD48" w14:textId="77777777" w:rsidR="009273EC" w:rsidRPr="0080276D" w:rsidRDefault="00000000" w:rsidP="004E5CF0">
      <w:pPr>
        <w:jc w:val="both"/>
        <w:rPr>
          <w:rFonts w:ascii="微软雅黑" w:eastAsia="微软雅黑" w:hAnsi="微软雅黑"/>
          <w:lang w:eastAsia="zh-TW"/>
        </w:rPr>
      </w:pPr>
      <w:r w:rsidRPr="0080276D">
        <w:rPr>
          <w:rFonts w:ascii="微软雅黑" w:eastAsia="微软雅黑" w:hAnsi="微软雅黑"/>
          <w:lang w:eastAsia="zh-TW"/>
        </w:rPr>
        <w:t>24H1</w:t>
      </w:r>
      <w:r w:rsidRPr="0080276D">
        <w:rPr>
          <w:rFonts w:ascii="微软雅黑" w:eastAsia="微软雅黑" w:hAnsi="微软雅黑" w:hint="eastAsia"/>
          <w:lang w:eastAsia="zh-TW"/>
        </w:rPr>
        <w:t>海底撈營收同比增加</w:t>
      </w:r>
      <w:r w:rsidRPr="0080276D">
        <w:rPr>
          <w:rFonts w:ascii="微软雅黑" w:eastAsia="微软雅黑" w:hAnsi="微软雅黑"/>
          <w:lang w:eastAsia="zh-TW"/>
        </w:rPr>
        <w:t>13.79%</w:t>
      </w:r>
      <w:r w:rsidRPr="0080276D">
        <w:rPr>
          <w:rFonts w:ascii="微软雅黑" w:eastAsia="微软雅黑" w:hAnsi="微软雅黑" w:hint="eastAsia"/>
          <w:lang w:eastAsia="zh-TW"/>
        </w:rPr>
        <w:t>，但淨利潤同比減少</w:t>
      </w:r>
      <w:r w:rsidRPr="0080276D">
        <w:rPr>
          <w:rFonts w:ascii="微软雅黑" w:eastAsia="微软雅黑" w:hAnsi="微软雅黑"/>
          <w:lang w:eastAsia="zh-TW"/>
        </w:rPr>
        <w:t>12.53%</w:t>
      </w:r>
      <w:r w:rsidRPr="0080276D">
        <w:rPr>
          <w:rFonts w:ascii="微软雅黑" w:eastAsia="微软雅黑" w:hAnsi="微软雅黑" w:hint="eastAsia"/>
          <w:lang w:eastAsia="zh-TW"/>
        </w:rPr>
        <w:t>，淨利率從</w:t>
      </w:r>
      <w:r w:rsidRPr="0080276D">
        <w:rPr>
          <w:rFonts w:ascii="微软雅黑" w:eastAsia="微软雅黑" w:hAnsi="微软雅黑"/>
          <w:lang w:eastAsia="zh-TW"/>
        </w:rPr>
        <w:t>23H1</w:t>
      </w:r>
      <w:r w:rsidRPr="0080276D">
        <w:rPr>
          <w:rFonts w:ascii="微软雅黑" w:eastAsia="微软雅黑" w:hAnsi="微软雅黑" w:hint="eastAsia"/>
          <w:lang w:eastAsia="zh-TW"/>
        </w:rPr>
        <w:t>的</w:t>
      </w:r>
      <w:r w:rsidRPr="0080276D">
        <w:rPr>
          <w:rFonts w:ascii="微软雅黑" w:eastAsia="微软雅黑" w:hAnsi="微软雅黑"/>
          <w:lang w:eastAsia="zh-TW"/>
        </w:rPr>
        <w:t>12.61%</w:t>
      </w:r>
      <w:r w:rsidRPr="0080276D">
        <w:rPr>
          <w:rFonts w:ascii="微软雅黑" w:eastAsia="微软雅黑" w:hAnsi="微软雅黑" w:hint="eastAsia"/>
          <w:lang w:eastAsia="zh-TW"/>
        </w:rPr>
        <w:t>下降至</w:t>
      </w:r>
      <w:r w:rsidRPr="0080276D">
        <w:rPr>
          <w:rFonts w:ascii="微软雅黑" w:eastAsia="微软雅黑" w:hAnsi="微软雅黑"/>
          <w:lang w:eastAsia="zh-TW"/>
        </w:rPr>
        <w:t>9.69%</w:t>
      </w:r>
      <w:r w:rsidRPr="0080276D">
        <w:rPr>
          <w:rFonts w:ascii="微软雅黑" w:eastAsia="微软雅黑" w:hAnsi="微软雅黑" w:hint="eastAsia"/>
          <w:lang w:eastAsia="zh-TW"/>
        </w:rPr>
        <w:t>，原因為職工薪酬佔營收比例由</w:t>
      </w:r>
      <w:r w:rsidRPr="0080276D">
        <w:rPr>
          <w:rFonts w:ascii="微软雅黑" w:eastAsia="微软雅黑" w:hAnsi="微软雅黑"/>
          <w:lang w:eastAsia="zh-TW"/>
        </w:rPr>
        <w:t>23H1</w:t>
      </w:r>
      <w:r w:rsidRPr="0080276D">
        <w:rPr>
          <w:rFonts w:ascii="微软雅黑" w:eastAsia="微软雅黑" w:hAnsi="微软雅黑" w:hint="eastAsia"/>
          <w:lang w:eastAsia="zh-TW"/>
        </w:rPr>
        <w:t>的</w:t>
      </w:r>
      <w:r w:rsidRPr="0080276D">
        <w:rPr>
          <w:rFonts w:ascii="微软雅黑" w:eastAsia="微软雅黑" w:hAnsi="微软雅黑"/>
          <w:lang w:eastAsia="zh-TW"/>
        </w:rPr>
        <w:t>30.55%</w:t>
      </w:r>
      <w:r w:rsidRPr="0080276D">
        <w:rPr>
          <w:rFonts w:ascii="微软雅黑" w:eastAsia="微软雅黑" w:hAnsi="微软雅黑" w:hint="eastAsia"/>
          <w:lang w:eastAsia="zh-TW"/>
        </w:rPr>
        <w:t>增至</w:t>
      </w:r>
      <w:r w:rsidRPr="0080276D">
        <w:rPr>
          <w:rFonts w:ascii="微软雅黑" w:eastAsia="微软雅黑" w:hAnsi="微软雅黑"/>
          <w:lang w:eastAsia="zh-TW"/>
        </w:rPr>
        <w:t>33.30%</w:t>
      </w:r>
      <w:r w:rsidRPr="0080276D">
        <w:rPr>
          <w:rFonts w:ascii="微软雅黑" w:eastAsia="微软雅黑" w:hAnsi="微软雅黑" w:hint="eastAsia"/>
          <w:lang w:eastAsia="zh-TW"/>
        </w:rPr>
        <w:t>。提供“極致服務”需支付較高薪資，這將拖累利潤率。</w:t>
      </w:r>
    </w:p>
    <w:p w14:paraId="6521D4B6" w14:textId="61003484" w:rsidR="00726941" w:rsidRPr="00F07E08" w:rsidRDefault="00726941" w:rsidP="00726941">
      <w:pPr>
        <w:jc w:val="center"/>
        <w:rPr>
          <w:rFonts w:ascii="微软雅黑" w:eastAsia="微软雅黑" w:hAnsi="微软雅黑"/>
        </w:rPr>
      </w:pPr>
      <w:r>
        <w:rPr>
          <w:noProof/>
        </w:rPr>
        <w:drawing>
          <wp:inline distT="0" distB="0" distL="0" distR="0" wp14:anchorId="5FEB8DBC" wp14:editId="3528B373">
            <wp:extent cx="4572000" cy="2743200"/>
            <wp:effectExtent l="0" t="0" r="0" b="0"/>
            <wp:docPr id="77070258" name="圖表 1">
              <a:extLst xmlns:a="http://schemas.openxmlformats.org/drawingml/2006/main">
                <a:ext uri="{FF2B5EF4-FFF2-40B4-BE49-F238E27FC236}">
                  <a16:creationId xmlns:a16="http://schemas.microsoft.com/office/drawing/2014/main" id="{6B856AFD-7666-C9B3-E45B-DD3CD58898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AB048CE" w14:textId="77777777" w:rsidR="009273EC" w:rsidRPr="00F07E08" w:rsidRDefault="00000000">
      <w:pPr>
        <w:jc w:val="center"/>
        <w:rPr>
          <w:rFonts w:ascii="微软雅黑" w:eastAsia="微软雅黑" w:hAnsi="微软雅黑"/>
        </w:rPr>
      </w:pPr>
      <w:r w:rsidRPr="00F07E08">
        <w:rPr>
          <w:rFonts w:ascii="微软雅黑" w:eastAsia="微软雅黑" w:hAnsi="微软雅黑"/>
          <w:noProof/>
        </w:rPr>
        <w:lastRenderedPageBreak/>
        <w:drawing>
          <wp:inline distT="0" distB="0" distL="0" distR="0" wp14:anchorId="129C694A" wp14:editId="141D72D8">
            <wp:extent cx="4572000" cy="2743200"/>
            <wp:effectExtent l="0" t="0" r="0" b="0"/>
            <wp:docPr id="1208894701" name="圖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CA2C2B0" w14:textId="77777777" w:rsidR="00F07E08" w:rsidRPr="0080276D" w:rsidRDefault="00F07E08" w:rsidP="0080276D">
      <w:pPr>
        <w:pStyle w:val="3"/>
        <w:rPr>
          <w:rFonts w:ascii="微软雅黑" w:eastAsia="微软雅黑" w:hAnsi="微软雅黑"/>
          <w:b/>
          <w:bCs/>
          <w:lang w:eastAsia="zh-TW"/>
        </w:rPr>
      </w:pPr>
      <w:bookmarkStart w:id="18" w:name="_Toc180601385"/>
      <w:r w:rsidRPr="0080276D">
        <w:rPr>
          <w:rFonts w:ascii="微软雅黑" w:eastAsia="微软雅黑" w:hAnsi="微软雅黑" w:hint="eastAsia"/>
          <w:b/>
          <w:bCs/>
          <w:lang w:eastAsia="zh-TW"/>
        </w:rPr>
        <w:t>2.收入增速放緩——謹慎擴張及客单价降低共同作用</w:t>
      </w:r>
    </w:p>
    <w:p w14:paraId="39F9781A" w14:textId="77777777" w:rsidR="00F07E08" w:rsidRDefault="00F07E08" w:rsidP="00F07E08">
      <w:pPr>
        <w:jc w:val="center"/>
        <w:rPr>
          <w:rFonts w:ascii="微软雅黑" w:eastAsia="微软雅黑" w:hAnsi="微软雅黑"/>
        </w:rPr>
      </w:pPr>
      <w:r w:rsidRPr="00F07E08">
        <w:rPr>
          <w:rFonts w:ascii="微软雅黑" w:eastAsia="微软雅黑" w:hAnsi="微软雅黑"/>
          <w:noProof/>
        </w:rPr>
        <w:drawing>
          <wp:inline distT="0" distB="0" distL="0" distR="0" wp14:anchorId="721FF345" wp14:editId="43055193">
            <wp:extent cx="4572000" cy="2743200"/>
            <wp:effectExtent l="0" t="0" r="0" b="0"/>
            <wp:docPr id="1793555487" name="圖表 1">
              <a:extLst xmlns:a="http://schemas.openxmlformats.org/drawingml/2006/main">
                <a:ext uri="{FF2B5EF4-FFF2-40B4-BE49-F238E27FC236}">
                  <a16:creationId xmlns:a16="http://schemas.microsoft.com/office/drawing/2014/main" id="{FFBAEB1B-0D85-DA40-A69A-B85D9377B1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3187911" w14:textId="656800F9" w:rsidR="006077C3" w:rsidRDefault="006077C3" w:rsidP="006077C3">
      <w:pPr>
        <w:rPr>
          <w:rFonts w:ascii="微软雅黑" w:eastAsia="微软雅黑" w:hAnsi="微软雅黑"/>
          <w:lang w:eastAsia="zh-TW"/>
        </w:rPr>
      </w:pPr>
      <w:r w:rsidRPr="006077C3">
        <w:rPr>
          <w:rFonts w:ascii="微软雅黑" w:eastAsia="微软雅黑" w:hAnsi="微软雅黑" w:hint="eastAsia"/>
          <w:lang w:eastAsia="zh-TW"/>
        </w:rPr>
        <w:t>24H1</w:t>
      </w:r>
      <w:r>
        <w:rPr>
          <w:rFonts w:ascii="微软雅黑" w:eastAsia="微软雅黑" w:hAnsi="微软雅黑" w:hint="eastAsia"/>
          <w:lang w:eastAsia="zh-TW"/>
        </w:rPr>
        <w:t>營收同比增速13.79%大幅低於疫前及疫後的2023年。</w:t>
      </w:r>
    </w:p>
    <w:p w14:paraId="484A76AD" w14:textId="1871A931" w:rsidR="00ED2778" w:rsidRPr="006077C3" w:rsidRDefault="00ED2778" w:rsidP="00ED2778">
      <w:pPr>
        <w:jc w:val="center"/>
        <w:rPr>
          <w:rFonts w:ascii="微软雅黑" w:eastAsia="微软雅黑" w:hAnsi="微软雅黑"/>
        </w:rPr>
      </w:pPr>
      <w:r>
        <w:rPr>
          <w:noProof/>
        </w:rPr>
        <w:drawing>
          <wp:inline distT="0" distB="0" distL="0" distR="0" wp14:anchorId="5B74870E" wp14:editId="206DFE27">
            <wp:extent cx="4572000" cy="2743200"/>
            <wp:effectExtent l="0" t="0" r="0" b="0"/>
            <wp:docPr id="1745026651" name="圖表 1">
              <a:extLst xmlns:a="http://schemas.openxmlformats.org/drawingml/2006/main">
                <a:ext uri="{FF2B5EF4-FFF2-40B4-BE49-F238E27FC236}">
                  <a16:creationId xmlns:a16="http://schemas.microsoft.com/office/drawing/2014/main" id="{9A603F46-2211-33AE-9A67-FFB5B97EDF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281435B" w14:textId="77777777" w:rsidR="00F07E08" w:rsidRPr="00F07E08" w:rsidRDefault="00F07E08" w:rsidP="00F07E08">
      <w:pPr>
        <w:jc w:val="center"/>
        <w:rPr>
          <w:rFonts w:ascii="微软雅黑" w:eastAsia="微软雅黑" w:hAnsi="微软雅黑"/>
        </w:rPr>
      </w:pPr>
      <w:r w:rsidRPr="00F07E08">
        <w:rPr>
          <w:rFonts w:ascii="微软雅黑" w:eastAsia="微软雅黑" w:hAnsi="微软雅黑"/>
          <w:noProof/>
        </w:rPr>
        <w:lastRenderedPageBreak/>
        <w:drawing>
          <wp:inline distT="0" distB="0" distL="0" distR="0" wp14:anchorId="688B284A" wp14:editId="3E1755CF">
            <wp:extent cx="4572000" cy="2743200"/>
            <wp:effectExtent l="0" t="0" r="0" b="0"/>
            <wp:docPr id="1757671345" name="圖表 1">
              <a:extLst xmlns:a="http://schemas.openxmlformats.org/drawingml/2006/main">
                <a:ext uri="{FF2B5EF4-FFF2-40B4-BE49-F238E27FC236}">
                  <a16:creationId xmlns:a16="http://schemas.microsoft.com/office/drawing/2014/main" id="{96C386A5-E9BB-A723-E3D3-2D42FDAB03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8E24CA2" w14:textId="29EE39A3" w:rsidR="00F07E08" w:rsidRPr="00F07E08" w:rsidRDefault="00F07E08" w:rsidP="00F07E08">
      <w:pPr>
        <w:rPr>
          <w:rFonts w:ascii="微软雅黑" w:eastAsia="微软雅黑" w:hAnsi="微软雅黑"/>
          <w:lang w:eastAsia="zh-TW"/>
        </w:rPr>
      </w:pPr>
      <w:r w:rsidRPr="00F07E08">
        <w:rPr>
          <w:rFonts w:ascii="微软雅黑" w:eastAsia="微软雅黑" w:hAnsi="微软雅黑" w:hint="eastAsia"/>
          <w:lang w:eastAsia="zh-TW"/>
        </w:rPr>
        <w:t>一方面24H1海底撈謹慎擴張，新開11家店的同時關停43家店；另一方面是客單價同比下降5.3%至97.4元，創歷史最低。</w:t>
      </w:r>
    </w:p>
    <w:p w14:paraId="27E5AB8D" w14:textId="53F913C8" w:rsidR="009273EC" w:rsidRPr="0080276D" w:rsidRDefault="00F07E08" w:rsidP="0080276D">
      <w:pPr>
        <w:pStyle w:val="3"/>
        <w:rPr>
          <w:rFonts w:ascii="微软雅黑" w:eastAsia="微软雅黑" w:hAnsi="微软雅黑"/>
          <w:b/>
          <w:bCs/>
          <w:lang w:eastAsia="zh-TW"/>
        </w:rPr>
      </w:pPr>
      <w:r w:rsidRPr="0080276D">
        <w:rPr>
          <w:rFonts w:ascii="微软雅黑" w:eastAsia="微软雅黑" w:hAnsi="微软雅黑" w:hint="eastAsia"/>
          <w:b/>
          <w:bCs/>
          <w:lang w:eastAsia="zh-TW"/>
        </w:rPr>
        <w:t>3</w:t>
      </w:r>
      <w:r w:rsidRPr="0080276D">
        <w:rPr>
          <w:rFonts w:ascii="微软雅黑" w:eastAsia="微软雅黑" w:hAnsi="微软雅黑"/>
          <w:b/>
          <w:bCs/>
          <w:lang w:eastAsia="zh-TW"/>
        </w:rPr>
        <w:t>.</w:t>
      </w:r>
      <w:r w:rsidRPr="0080276D">
        <w:rPr>
          <w:rFonts w:ascii="微软雅黑" w:eastAsia="微软雅黑" w:hAnsi="微软雅黑" w:hint="eastAsia"/>
          <w:b/>
          <w:bCs/>
          <w:lang w:eastAsia="zh-TW"/>
        </w:rPr>
        <w:t>負債比率高——擴張受限</w:t>
      </w:r>
      <w:bookmarkEnd w:id="18"/>
    </w:p>
    <w:p w14:paraId="30F31A36" w14:textId="77777777" w:rsidR="009273EC" w:rsidRPr="00F07E08" w:rsidRDefault="00000000">
      <w:pPr>
        <w:jc w:val="center"/>
        <w:rPr>
          <w:rFonts w:ascii="微软雅黑" w:eastAsia="微软雅黑" w:hAnsi="微软雅黑"/>
        </w:rPr>
      </w:pPr>
      <w:r w:rsidRPr="00F07E08">
        <w:rPr>
          <w:rFonts w:ascii="微软雅黑" w:eastAsia="微软雅黑" w:hAnsi="微软雅黑"/>
          <w:noProof/>
        </w:rPr>
        <w:drawing>
          <wp:inline distT="0" distB="0" distL="0" distR="0" wp14:anchorId="6BC5E349" wp14:editId="2043C523">
            <wp:extent cx="4572000" cy="2743200"/>
            <wp:effectExtent l="0" t="0" r="0" b="0"/>
            <wp:docPr id="830240012" name="圖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9416939" w14:textId="77777777" w:rsidR="009273EC" w:rsidRPr="0080276D" w:rsidRDefault="00000000" w:rsidP="00052746">
      <w:pPr>
        <w:jc w:val="both"/>
        <w:rPr>
          <w:rFonts w:ascii="微软雅黑" w:eastAsia="微软雅黑" w:hAnsi="微软雅黑"/>
          <w:lang w:eastAsia="zh-TW"/>
        </w:rPr>
      </w:pPr>
      <w:r w:rsidRPr="0080276D">
        <w:rPr>
          <w:rFonts w:ascii="微软雅黑" w:eastAsia="微软雅黑" w:hAnsi="微软雅黑"/>
          <w:lang w:eastAsia="zh-TW"/>
        </w:rPr>
        <w:t>24H1</w:t>
      </w:r>
      <w:r w:rsidRPr="0080276D">
        <w:rPr>
          <w:rFonts w:ascii="微软雅黑" w:eastAsia="微软雅黑" w:hAnsi="微软雅黑" w:hint="eastAsia"/>
          <w:lang w:eastAsia="zh-TW"/>
        </w:rPr>
        <w:t>海底撈負債比率已經達到</w:t>
      </w:r>
      <w:r w:rsidRPr="0080276D">
        <w:rPr>
          <w:rFonts w:ascii="微软雅黑" w:eastAsia="微软雅黑" w:hAnsi="微软雅黑"/>
          <w:lang w:eastAsia="zh-TW"/>
        </w:rPr>
        <w:t>62.4%</w:t>
      </w:r>
      <w:r w:rsidRPr="0080276D">
        <w:rPr>
          <w:rFonts w:ascii="微软雅黑" w:eastAsia="微软雅黑" w:hAnsi="微软雅黑" w:hint="eastAsia"/>
          <w:lang w:eastAsia="zh-TW"/>
        </w:rPr>
        <w:t>，如繼續採用重資產直營店模式擴張，必然拉升負債比率，影響償債能力，這也是海底撈開始接受加盟商的原因之一。</w:t>
      </w:r>
    </w:p>
    <w:p w14:paraId="5D6EA737" w14:textId="549C015C" w:rsidR="009273EC" w:rsidRPr="0080276D" w:rsidRDefault="00F07E08" w:rsidP="0080276D">
      <w:pPr>
        <w:pStyle w:val="3"/>
        <w:rPr>
          <w:rFonts w:ascii="微软雅黑" w:eastAsia="微软雅黑" w:hAnsi="微软雅黑"/>
          <w:b/>
          <w:bCs/>
        </w:rPr>
      </w:pPr>
      <w:bookmarkStart w:id="19" w:name="_Toc180601386"/>
      <w:r w:rsidRPr="0080276D">
        <w:rPr>
          <w:rFonts w:ascii="微软雅黑" w:eastAsia="微软雅黑" w:hAnsi="微软雅黑" w:hint="eastAsia"/>
          <w:b/>
          <w:bCs/>
        </w:rPr>
        <w:lastRenderedPageBreak/>
        <w:t>4</w:t>
      </w:r>
      <w:r w:rsidRPr="0080276D">
        <w:rPr>
          <w:rFonts w:ascii="微软雅黑" w:eastAsia="微软雅黑" w:hAnsi="微软雅黑"/>
          <w:b/>
          <w:bCs/>
          <w:lang w:eastAsia="zh-TW"/>
        </w:rPr>
        <w:t>.</w:t>
      </w:r>
      <w:r w:rsidRPr="0080276D">
        <w:rPr>
          <w:rFonts w:ascii="微软雅黑" w:eastAsia="微软雅黑" w:hAnsi="微软雅黑" w:hint="eastAsia"/>
          <w:b/>
          <w:bCs/>
        </w:rPr>
        <w:t>ROA、ROE——</w:t>
      </w:r>
      <w:r w:rsidRPr="0080276D">
        <w:rPr>
          <w:rFonts w:ascii="微软雅黑" w:eastAsia="微软雅黑" w:hAnsi="微软雅黑" w:hint="eastAsia"/>
          <w:b/>
          <w:bCs/>
          <w:lang w:eastAsia="zh-TW"/>
        </w:rPr>
        <w:t>盈利能力強</w:t>
      </w:r>
      <w:bookmarkEnd w:id="19"/>
    </w:p>
    <w:p w14:paraId="7911DE64" w14:textId="77777777" w:rsidR="009273EC" w:rsidRPr="00F07E08" w:rsidRDefault="00000000" w:rsidP="00BC048F">
      <w:pPr>
        <w:jc w:val="center"/>
        <w:rPr>
          <w:rFonts w:ascii="微软雅黑" w:eastAsia="微软雅黑" w:hAnsi="微软雅黑"/>
        </w:rPr>
      </w:pPr>
      <w:r w:rsidRPr="00F07E08">
        <w:rPr>
          <w:rFonts w:ascii="微软雅黑" w:eastAsia="微软雅黑" w:hAnsi="微软雅黑"/>
          <w:noProof/>
        </w:rPr>
        <w:drawing>
          <wp:inline distT="0" distB="0" distL="0" distR="0" wp14:anchorId="112C7B84" wp14:editId="73F7D74A">
            <wp:extent cx="2519680" cy="2447925"/>
            <wp:effectExtent l="0" t="0" r="13970" b="9525"/>
            <wp:docPr id="958401401" name="圖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Pr="00F07E08">
        <w:rPr>
          <w:rFonts w:ascii="微软雅黑" w:eastAsia="微软雅黑" w:hAnsi="微软雅黑"/>
          <w:noProof/>
        </w:rPr>
        <w:drawing>
          <wp:inline distT="0" distB="0" distL="0" distR="0" wp14:anchorId="61549F35" wp14:editId="72E151F3">
            <wp:extent cx="2519680" cy="2447925"/>
            <wp:effectExtent l="0" t="0" r="13970" b="9525"/>
            <wp:docPr id="49355465" name="圖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D8D945F" w14:textId="77777777" w:rsidR="009273EC" w:rsidRPr="0080276D" w:rsidRDefault="00000000" w:rsidP="004E5CF0">
      <w:pPr>
        <w:jc w:val="both"/>
        <w:rPr>
          <w:rFonts w:ascii="微软雅黑" w:eastAsia="微软雅黑" w:hAnsi="微软雅黑"/>
          <w:lang w:eastAsia="zh-TW"/>
        </w:rPr>
      </w:pPr>
      <w:r w:rsidRPr="0080276D">
        <w:rPr>
          <w:rFonts w:ascii="微软雅黑" w:eastAsia="微软雅黑" w:hAnsi="微软雅黑"/>
          <w:lang w:eastAsia="zh-TW"/>
        </w:rPr>
        <w:t>ROE</w:t>
      </w:r>
      <w:r w:rsidRPr="0080276D">
        <w:rPr>
          <w:rFonts w:ascii="微软雅黑" w:eastAsia="微软雅黑" w:hAnsi="微软雅黑" w:hint="eastAsia"/>
          <w:lang w:eastAsia="zh-TW"/>
        </w:rPr>
        <w:t>超越同行使海底撈可以使用成本較高的優先股的方式進行融資，通過優先股增加權益後負債比率將降低，從而能夠進一步使用債權融資來擴張。</w:t>
      </w:r>
    </w:p>
    <w:p w14:paraId="7B81C5AB" w14:textId="4121A82B" w:rsidR="009273EC" w:rsidRPr="0080276D" w:rsidRDefault="00F07E08" w:rsidP="0080276D">
      <w:pPr>
        <w:pStyle w:val="3"/>
        <w:rPr>
          <w:rFonts w:ascii="微软雅黑" w:eastAsia="微软雅黑" w:hAnsi="微软雅黑"/>
          <w:b/>
          <w:bCs/>
          <w:lang w:eastAsia="zh-TW"/>
        </w:rPr>
      </w:pPr>
      <w:bookmarkStart w:id="20" w:name="_Toc180601387"/>
      <w:r w:rsidRPr="0080276D">
        <w:rPr>
          <w:rFonts w:ascii="微软雅黑" w:eastAsia="微软雅黑" w:hAnsi="微软雅黑" w:hint="eastAsia"/>
          <w:b/>
          <w:bCs/>
          <w:lang w:eastAsia="zh-TW"/>
        </w:rPr>
        <w:t>5</w:t>
      </w:r>
      <w:r w:rsidRPr="0080276D">
        <w:rPr>
          <w:rFonts w:ascii="微软雅黑" w:eastAsia="微软雅黑" w:hAnsi="微软雅黑"/>
          <w:b/>
          <w:bCs/>
          <w:lang w:eastAsia="zh-TW"/>
        </w:rPr>
        <w:t>.</w:t>
      </w:r>
      <w:r w:rsidRPr="0080276D">
        <w:rPr>
          <w:rFonts w:ascii="微软雅黑" w:eastAsia="微软雅黑" w:hAnsi="微软雅黑" w:hint="eastAsia"/>
          <w:b/>
          <w:bCs/>
          <w:lang w:eastAsia="zh-TW"/>
        </w:rPr>
        <w:t>高翻檯率——品牌影響力強</w:t>
      </w:r>
      <w:bookmarkEnd w:id="20"/>
    </w:p>
    <w:p w14:paraId="3C892410" w14:textId="77777777" w:rsidR="009273EC" w:rsidRPr="00F07E08" w:rsidRDefault="00000000">
      <w:pPr>
        <w:pStyle w:val="a8"/>
        <w:ind w:left="360" w:firstLineChars="0" w:firstLine="0"/>
        <w:jc w:val="center"/>
        <w:rPr>
          <w:rFonts w:ascii="微软雅黑" w:eastAsia="微软雅黑" w:hAnsi="微软雅黑"/>
        </w:rPr>
      </w:pPr>
      <w:r w:rsidRPr="00F07E08">
        <w:rPr>
          <w:rFonts w:ascii="微软雅黑" w:eastAsia="微软雅黑" w:hAnsi="微软雅黑"/>
          <w:noProof/>
        </w:rPr>
        <w:drawing>
          <wp:inline distT="0" distB="0" distL="0" distR="0" wp14:anchorId="0F93A960" wp14:editId="2D98207F">
            <wp:extent cx="2519680" cy="2447925"/>
            <wp:effectExtent l="0" t="0" r="13970" b="9525"/>
            <wp:docPr id="1117205691" name="圖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Pr="00F07E08">
        <w:rPr>
          <w:rFonts w:ascii="微软雅黑" w:eastAsia="微软雅黑" w:hAnsi="微软雅黑"/>
          <w:noProof/>
        </w:rPr>
        <w:drawing>
          <wp:inline distT="0" distB="0" distL="0" distR="0" wp14:anchorId="4E268629" wp14:editId="3162D8C0">
            <wp:extent cx="2519680" cy="2447925"/>
            <wp:effectExtent l="0" t="0" r="13970" b="9525"/>
            <wp:docPr id="1406226245" name="圖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743945DD" w14:textId="77777777" w:rsidR="009273EC" w:rsidRPr="0080276D" w:rsidRDefault="00000000" w:rsidP="004E5CF0">
      <w:pPr>
        <w:jc w:val="both"/>
        <w:rPr>
          <w:rFonts w:ascii="微软雅黑" w:eastAsia="微软雅黑" w:hAnsi="微软雅黑"/>
          <w:lang w:eastAsia="zh-TW"/>
        </w:rPr>
      </w:pPr>
      <w:r w:rsidRPr="0080276D">
        <w:rPr>
          <w:rFonts w:ascii="微软雅黑" w:eastAsia="微软雅黑" w:hAnsi="微软雅黑"/>
          <w:lang w:eastAsia="zh-TW"/>
        </w:rPr>
        <w:t>24H1</w:t>
      </w:r>
      <w:r w:rsidRPr="0080276D">
        <w:rPr>
          <w:rFonts w:ascii="微软雅黑" w:eastAsia="微软雅黑" w:hAnsi="微软雅黑" w:hint="eastAsia"/>
          <w:lang w:eastAsia="zh-TW"/>
        </w:rPr>
        <w:t>海底撈翻檯率</w:t>
      </w:r>
      <w:r w:rsidRPr="0080276D">
        <w:rPr>
          <w:rFonts w:ascii="微软雅黑" w:eastAsia="微软雅黑" w:hAnsi="微软雅黑"/>
          <w:lang w:eastAsia="zh-TW"/>
        </w:rPr>
        <w:t>4.2</w:t>
      </w:r>
      <w:r w:rsidRPr="0080276D">
        <w:rPr>
          <w:rFonts w:ascii="微软雅黑" w:eastAsia="微软雅黑" w:hAnsi="微软雅黑" w:hint="eastAsia"/>
          <w:lang w:eastAsia="zh-TW"/>
        </w:rPr>
        <w:t>，</w:t>
      </w:r>
      <w:r w:rsidRPr="0080276D">
        <w:rPr>
          <w:rFonts w:ascii="微软雅黑" w:eastAsia="微软雅黑" w:hAnsi="微软雅黑"/>
          <w:lang w:eastAsia="zh-TW"/>
        </w:rPr>
        <w:t>23H1</w:t>
      </w:r>
      <w:r w:rsidRPr="0080276D">
        <w:rPr>
          <w:rFonts w:ascii="微软雅黑" w:eastAsia="微软雅黑" w:hAnsi="微软雅黑" w:hint="eastAsia"/>
          <w:lang w:eastAsia="zh-TW"/>
        </w:rPr>
        <w:t>為</w:t>
      </w:r>
      <w:r w:rsidRPr="0080276D">
        <w:rPr>
          <w:rFonts w:ascii="微软雅黑" w:eastAsia="微软雅黑" w:hAnsi="微软雅黑"/>
          <w:lang w:eastAsia="zh-TW"/>
        </w:rPr>
        <w:t>3.3</w:t>
      </w:r>
      <w:r w:rsidRPr="0080276D">
        <w:rPr>
          <w:rFonts w:ascii="微软雅黑" w:eastAsia="微软雅黑" w:hAnsi="微软雅黑" w:hint="eastAsia"/>
          <w:lang w:eastAsia="zh-TW"/>
        </w:rPr>
        <w:t>，“極致服務”賦予海底撈強大的品牌影響力，提供高毛利率，為加盟模式奠定基礎，在競爭激烈的餐飲業中提供難得的護城河。</w:t>
      </w:r>
    </w:p>
    <w:p w14:paraId="543A1723" w14:textId="77777777" w:rsidR="009273EC" w:rsidRPr="0080276D" w:rsidRDefault="00000000" w:rsidP="004E5CF0">
      <w:pPr>
        <w:jc w:val="both"/>
        <w:rPr>
          <w:rFonts w:ascii="微软雅黑" w:eastAsia="微软雅黑" w:hAnsi="微软雅黑"/>
          <w:lang w:eastAsia="zh-TW"/>
        </w:rPr>
      </w:pPr>
      <w:r w:rsidRPr="0080276D">
        <w:rPr>
          <w:rFonts w:ascii="微软雅黑" w:eastAsia="微软雅黑" w:hAnsi="微软雅黑" w:hint="eastAsia"/>
          <w:lang w:eastAsia="zh-TW"/>
        </w:rPr>
        <w:t>綜上，海底撈盈利能力行業領先，同時人力成本上升、門店數量減少及人均消費下降表明在外部環境變化和市場競爭方面海底撈面臨挑戰。</w:t>
      </w:r>
    </w:p>
    <w:p w14:paraId="53966A43" w14:textId="77777777" w:rsidR="009273EC" w:rsidRPr="0080276D" w:rsidRDefault="00000000" w:rsidP="0080276D">
      <w:pPr>
        <w:pStyle w:val="2"/>
        <w:rPr>
          <w:rFonts w:ascii="微软雅黑" w:eastAsia="微软雅黑" w:hAnsi="微软雅黑"/>
          <w:b/>
          <w:bCs/>
          <w:lang w:eastAsia="zh-TW"/>
        </w:rPr>
      </w:pPr>
      <w:bookmarkStart w:id="21" w:name="_Toc180601388"/>
      <w:r w:rsidRPr="0080276D">
        <w:rPr>
          <w:rFonts w:ascii="微软雅黑" w:eastAsia="微软雅黑" w:hAnsi="微软雅黑" w:hint="eastAsia"/>
          <w:b/>
          <w:bCs/>
          <w:lang w:eastAsia="zh-TW"/>
        </w:rPr>
        <w:lastRenderedPageBreak/>
        <w:t>六、可行性建議</w:t>
      </w:r>
      <w:bookmarkEnd w:id="21"/>
    </w:p>
    <w:p w14:paraId="4C77704B" w14:textId="77777777" w:rsidR="009273EC" w:rsidRPr="0080276D" w:rsidRDefault="00000000" w:rsidP="00052746">
      <w:pPr>
        <w:jc w:val="both"/>
        <w:rPr>
          <w:rFonts w:ascii="微软雅黑" w:eastAsia="微软雅黑" w:hAnsi="微软雅黑"/>
          <w:lang w:eastAsia="zh-TW"/>
        </w:rPr>
      </w:pPr>
      <w:r w:rsidRPr="0080276D">
        <w:rPr>
          <w:rFonts w:ascii="微软雅黑" w:eastAsia="微软雅黑" w:hAnsi="微软雅黑" w:hint="eastAsia"/>
          <w:lang w:eastAsia="zh-TW"/>
        </w:rPr>
        <w:t>從杜邦分析的角度看，提升公司</w:t>
      </w:r>
      <w:r w:rsidRPr="0080276D">
        <w:rPr>
          <w:rFonts w:ascii="微软雅黑" w:eastAsia="微软雅黑" w:hAnsi="微软雅黑"/>
          <w:lang w:eastAsia="zh-TW"/>
        </w:rPr>
        <w:t>ROE</w:t>
      </w:r>
      <w:r w:rsidRPr="0080276D">
        <w:rPr>
          <w:rFonts w:ascii="微软雅黑" w:eastAsia="微软雅黑" w:hAnsi="微软雅黑" w:hint="eastAsia"/>
          <w:lang w:eastAsia="zh-TW"/>
        </w:rPr>
        <w:t>可以從銷售淨利率、資產周轉率和股權乘數三個方面考慮。目前海底撈的銷售淨利率處於行業內較高的水準，餐飲業消費者可選擇品牌眾多，一味提高淨利率必將導致產品價格高昂，從而失去部分消費者。因此建議從提升資產周轉率和股權乘數兩個角度考慮：</w:t>
      </w:r>
    </w:p>
    <w:p w14:paraId="1D1BD2ED" w14:textId="331F2528" w:rsidR="009273EC" w:rsidRPr="0080276D" w:rsidRDefault="00000000" w:rsidP="0080276D">
      <w:pPr>
        <w:pStyle w:val="3"/>
        <w:rPr>
          <w:rFonts w:ascii="微软雅黑" w:eastAsia="微软雅黑" w:hAnsi="微软雅黑"/>
          <w:b/>
          <w:bCs/>
          <w:lang w:eastAsia="zh-TW"/>
        </w:rPr>
      </w:pPr>
      <w:bookmarkStart w:id="22" w:name="_Toc180601389"/>
      <w:r w:rsidRPr="0080276D">
        <w:rPr>
          <w:rFonts w:ascii="微软雅黑" w:eastAsia="微软雅黑" w:hAnsi="微软雅黑"/>
          <w:b/>
          <w:bCs/>
          <w:lang w:eastAsia="zh-TW"/>
        </w:rPr>
        <w:t>1.</w:t>
      </w:r>
      <w:r w:rsidRPr="0080276D">
        <w:rPr>
          <w:rFonts w:ascii="微软雅黑" w:eastAsia="微软雅黑" w:hAnsi="微软雅黑" w:hint="eastAsia"/>
          <w:b/>
          <w:bCs/>
          <w:lang w:eastAsia="zh-TW"/>
        </w:rPr>
        <w:t>資產周轉率角度——</w:t>
      </w:r>
      <w:bookmarkEnd w:id="22"/>
      <w:r w:rsidR="00487F85" w:rsidRPr="0080276D">
        <w:rPr>
          <w:rFonts w:ascii="微软雅黑" w:eastAsia="微软雅黑" w:hAnsi="微软雅黑" w:hint="eastAsia"/>
          <w:b/>
          <w:bCs/>
          <w:lang w:eastAsia="zh-TW"/>
        </w:rPr>
        <w:t>建議加速推進加盟速度提升資產周轉率</w:t>
      </w:r>
    </w:p>
    <w:p w14:paraId="4F77943B" w14:textId="0EE0AAC6" w:rsidR="009273EC" w:rsidRPr="0080276D" w:rsidRDefault="00021E0E" w:rsidP="00052746">
      <w:pPr>
        <w:jc w:val="both"/>
        <w:rPr>
          <w:rFonts w:ascii="微软雅黑" w:eastAsia="微软雅黑" w:hAnsi="微软雅黑"/>
          <w:lang w:eastAsia="zh-TW"/>
        </w:rPr>
      </w:pPr>
      <w:r w:rsidRPr="0080276D">
        <w:rPr>
          <w:rFonts w:ascii="微软雅黑" w:eastAsia="微软雅黑" w:hAnsi="微软雅黑" w:hint="eastAsia"/>
          <w:lang w:eastAsia="zh-TW"/>
        </w:rPr>
        <w:t>輕資產擴張可提升資產周轉率，例如加速</w:t>
      </w:r>
      <w:r w:rsidRPr="0080276D">
        <w:rPr>
          <w:rFonts w:ascii="微软雅黑" w:eastAsia="微软雅黑" w:hAnsi="微软雅黑"/>
          <w:lang w:eastAsia="zh-TW"/>
        </w:rPr>
        <w:t>2024</w:t>
      </w:r>
      <w:r w:rsidRPr="0080276D">
        <w:rPr>
          <w:rFonts w:ascii="微软雅黑" w:eastAsia="微软雅黑" w:hAnsi="微软雅黑" w:hint="eastAsia"/>
          <w:lang w:eastAsia="zh-TW"/>
        </w:rPr>
        <w:t>年放開的加盟模式。但建議使用海底撈旗下其他餐飲品牌進行加盟活動，或使用調味品及食材品類進行加盟，這樣在低成本增加營收的情況下，還可以盡最大可能降低加盟商因管理不善導致對品牌產生的損害。</w:t>
      </w:r>
    </w:p>
    <w:p w14:paraId="397E75DF" w14:textId="37FB8E33" w:rsidR="009273EC" w:rsidRPr="0080276D" w:rsidRDefault="00000000" w:rsidP="0080276D">
      <w:pPr>
        <w:pStyle w:val="3"/>
        <w:rPr>
          <w:rFonts w:ascii="微软雅黑" w:eastAsia="微软雅黑" w:hAnsi="微软雅黑"/>
          <w:b/>
          <w:bCs/>
          <w:lang w:eastAsia="zh-TW"/>
        </w:rPr>
      </w:pPr>
      <w:bookmarkStart w:id="23" w:name="_Toc180601390"/>
      <w:r w:rsidRPr="0080276D">
        <w:rPr>
          <w:rFonts w:ascii="微软雅黑" w:eastAsia="微软雅黑" w:hAnsi="微软雅黑"/>
          <w:b/>
          <w:bCs/>
          <w:lang w:eastAsia="zh-TW"/>
        </w:rPr>
        <w:t>2.</w:t>
      </w:r>
      <w:r w:rsidRPr="0080276D">
        <w:rPr>
          <w:rFonts w:ascii="微软雅黑" w:eastAsia="微软雅黑" w:hAnsi="微软雅黑" w:hint="eastAsia"/>
          <w:b/>
          <w:bCs/>
          <w:lang w:eastAsia="zh-TW"/>
        </w:rPr>
        <w:t>股權乘數角度角度——建議發行優先</w:t>
      </w:r>
      <w:bookmarkEnd w:id="23"/>
      <w:r w:rsidR="00487F85" w:rsidRPr="0080276D">
        <w:rPr>
          <w:rFonts w:ascii="微软雅黑" w:eastAsia="微软雅黑" w:hAnsi="微软雅黑" w:hint="eastAsia"/>
          <w:b/>
          <w:bCs/>
          <w:lang w:eastAsia="zh-TW"/>
        </w:rPr>
        <w:t>股</w:t>
      </w:r>
    </w:p>
    <w:p w14:paraId="26209DF6" w14:textId="20E0D76E" w:rsidR="009273EC" w:rsidRPr="0080276D" w:rsidRDefault="00000000" w:rsidP="004E5CF0">
      <w:pPr>
        <w:jc w:val="both"/>
        <w:rPr>
          <w:rFonts w:ascii="微软雅黑" w:eastAsia="微软雅黑" w:hAnsi="微软雅黑"/>
          <w:lang w:eastAsia="zh-TW"/>
        </w:rPr>
      </w:pPr>
      <w:r w:rsidRPr="0080276D">
        <w:rPr>
          <w:rFonts w:ascii="微软雅黑" w:eastAsia="微软雅黑" w:hAnsi="微软雅黑" w:hint="eastAsia"/>
          <w:lang w:eastAsia="zh-TW"/>
        </w:rPr>
        <w:t>公司負債比率為</w:t>
      </w:r>
      <w:r w:rsidRPr="0080276D">
        <w:rPr>
          <w:rFonts w:ascii="微软雅黑" w:eastAsia="微软雅黑" w:hAnsi="微软雅黑"/>
          <w:lang w:eastAsia="zh-TW"/>
        </w:rPr>
        <w:t>62.4%</w:t>
      </w:r>
      <w:r w:rsidRPr="0080276D">
        <w:rPr>
          <w:rFonts w:ascii="微软雅黑" w:eastAsia="微软雅黑" w:hAnsi="微软雅黑" w:hint="eastAsia"/>
          <w:lang w:eastAsia="zh-TW"/>
        </w:rPr>
        <w:t>，提升空間不大，不宜大規模進行單純的債權融資。如需進一步融資擴張，可採用發行優先股和發行長期債券結合的方式，以目前較高的權益回報率足以在支付新增優先股的股息後仍保留足夠的超額利潤。</w:t>
      </w:r>
    </w:p>
    <w:sectPr w:rsidR="009273EC" w:rsidRPr="0080276D">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89D6E8" w14:textId="77777777" w:rsidR="004E227C" w:rsidRDefault="004E227C">
      <w:pPr>
        <w:spacing w:line="240" w:lineRule="auto"/>
      </w:pPr>
      <w:r>
        <w:separator/>
      </w:r>
    </w:p>
  </w:endnote>
  <w:endnote w:type="continuationSeparator" w:id="0">
    <w:p w14:paraId="03F2E908" w14:textId="77777777" w:rsidR="004E227C" w:rsidRDefault="004E22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C20709" w14:textId="77777777" w:rsidR="004E227C" w:rsidRDefault="004E227C">
      <w:pPr>
        <w:spacing w:after="0"/>
      </w:pPr>
      <w:r>
        <w:separator/>
      </w:r>
    </w:p>
  </w:footnote>
  <w:footnote w:type="continuationSeparator" w:id="0">
    <w:p w14:paraId="1240840B" w14:textId="77777777" w:rsidR="004E227C" w:rsidRDefault="004E227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387072130">
    <w:abstractNumId w:val="0"/>
  </w:num>
  <w:num w:numId="2" w16cid:durableId="387916573">
    <w:abstractNumId w:val="0"/>
  </w:num>
  <w:num w:numId="3" w16cid:durableId="1614628913">
    <w:abstractNumId w:val="0"/>
  </w:num>
  <w:num w:numId="4" w16cid:durableId="1038777205">
    <w:abstractNumId w:val="0"/>
  </w:num>
  <w:num w:numId="5" w16cid:durableId="2007783359">
    <w:abstractNumId w:val="0"/>
  </w:num>
  <w:num w:numId="6" w16cid:durableId="1448309080">
    <w:abstractNumId w:val="0"/>
  </w:num>
  <w:num w:numId="7" w16cid:durableId="989560783">
    <w:abstractNumId w:val="0"/>
  </w:num>
  <w:num w:numId="8" w16cid:durableId="772281640">
    <w:abstractNumId w:val="0"/>
  </w:num>
  <w:num w:numId="9" w16cid:durableId="930435132">
    <w:abstractNumId w:val="0"/>
  </w:num>
  <w:num w:numId="10" w16cid:durableId="9576842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defaultTabStop w:val="420"/>
  <w:drawingGridHorizontalSpacing w:val="110"/>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zc0OTAzYTE4N2Q4YmZhZGJkZTg1NzZmMTk5YjA0ZDYifQ=="/>
  </w:docVars>
  <w:rsids>
    <w:rsidRoot w:val="00A0545A"/>
    <w:rsid w:val="0000748C"/>
    <w:rsid w:val="00021E0E"/>
    <w:rsid w:val="00031E8A"/>
    <w:rsid w:val="00052746"/>
    <w:rsid w:val="00053F44"/>
    <w:rsid w:val="000D23DB"/>
    <w:rsid w:val="000E5C1E"/>
    <w:rsid w:val="000F6BFE"/>
    <w:rsid w:val="00114CBD"/>
    <w:rsid w:val="00126C08"/>
    <w:rsid w:val="001606A9"/>
    <w:rsid w:val="001910B5"/>
    <w:rsid w:val="001A1217"/>
    <w:rsid w:val="001C4C02"/>
    <w:rsid w:val="001F6CA0"/>
    <w:rsid w:val="001F7A41"/>
    <w:rsid w:val="00240679"/>
    <w:rsid w:val="0025187F"/>
    <w:rsid w:val="00286518"/>
    <w:rsid w:val="002E3E32"/>
    <w:rsid w:val="003220F7"/>
    <w:rsid w:val="00361C6A"/>
    <w:rsid w:val="00363D23"/>
    <w:rsid w:val="00382773"/>
    <w:rsid w:val="00383B4F"/>
    <w:rsid w:val="00385D8B"/>
    <w:rsid w:val="003B7930"/>
    <w:rsid w:val="003D6B1B"/>
    <w:rsid w:val="003F1143"/>
    <w:rsid w:val="003F4690"/>
    <w:rsid w:val="00407AD1"/>
    <w:rsid w:val="0043328E"/>
    <w:rsid w:val="00447BAD"/>
    <w:rsid w:val="00453E5C"/>
    <w:rsid w:val="00462056"/>
    <w:rsid w:val="004728DF"/>
    <w:rsid w:val="00487F85"/>
    <w:rsid w:val="0049419E"/>
    <w:rsid w:val="00496937"/>
    <w:rsid w:val="004C2867"/>
    <w:rsid w:val="004C30F2"/>
    <w:rsid w:val="004E227C"/>
    <w:rsid w:val="004E5CF0"/>
    <w:rsid w:val="004F5500"/>
    <w:rsid w:val="00526ABE"/>
    <w:rsid w:val="00570AC3"/>
    <w:rsid w:val="00572AEC"/>
    <w:rsid w:val="00577708"/>
    <w:rsid w:val="005C610F"/>
    <w:rsid w:val="0060416B"/>
    <w:rsid w:val="006077C3"/>
    <w:rsid w:val="0062332A"/>
    <w:rsid w:val="00652636"/>
    <w:rsid w:val="00662728"/>
    <w:rsid w:val="00671BE5"/>
    <w:rsid w:val="006854B5"/>
    <w:rsid w:val="006A2693"/>
    <w:rsid w:val="006B12BF"/>
    <w:rsid w:val="006B2552"/>
    <w:rsid w:val="006E573D"/>
    <w:rsid w:val="00726941"/>
    <w:rsid w:val="007271FF"/>
    <w:rsid w:val="0073142E"/>
    <w:rsid w:val="0076174D"/>
    <w:rsid w:val="00771DE8"/>
    <w:rsid w:val="00773BFF"/>
    <w:rsid w:val="0078553C"/>
    <w:rsid w:val="007B5A15"/>
    <w:rsid w:val="007C79D3"/>
    <w:rsid w:val="007D2D0A"/>
    <w:rsid w:val="007D3B55"/>
    <w:rsid w:val="007F0782"/>
    <w:rsid w:val="0080276D"/>
    <w:rsid w:val="00814328"/>
    <w:rsid w:val="00820584"/>
    <w:rsid w:val="00822005"/>
    <w:rsid w:val="0082316B"/>
    <w:rsid w:val="00846A33"/>
    <w:rsid w:val="0087656E"/>
    <w:rsid w:val="008B73FA"/>
    <w:rsid w:val="008E5819"/>
    <w:rsid w:val="00905F79"/>
    <w:rsid w:val="0091716E"/>
    <w:rsid w:val="009273EC"/>
    <w:rsid w:val="009315F1"/>
    <w:rsid w:val="009407F4"/>
    <w:rsid w:val="00950FAD"/>
    <w:rsid w:val="00952999"/>
    <w:rsid w:val="009529FF"/>
    <w:rsid w:val="009646BE"/>
    <w:rsid w:val="009A029D"/>
    <w:rsid w:val="009A25C6"/>
    <w:rsid w:val="009B4088"/>
    <w:rsid w:val="009C633F"/>
    <w:rsid w:val="009D63AE"/>
    <w:rsid w:val="00A0545A"/>
    <w:rsid w:val="00A060D3"/>
    <w:rsid w:val="00A120E6"/>
    <w:rsid w:val="00A136CF"/>
    <w:rsid w:val="00A20D89"/>
    <w:rsid w:val="00A47BAA"/>
    <w:rsid w:val="00A93F03"/>
    <w:rsid w:val="00AD0CA7"/>
    <w:rsid w:val="00AD2065"/>
    <w:rsid w:val="00AF5FF9"/>
    <w:rsid w:val="00B052AC"/>
    <w:rsid w:val="00B062E4"/>
    <w:rsid w:val="00B25B2D"/>
    <w:rsid w:val="00B31F98"/>
    <w:rsid w:val="00B37100"/>
    <w:rsid w:val="00B700F8"/>
    <w:rsid w:val="00B947B7"/>
    <w:rsid w:val="00BA296D"/>
    <w:rsid w:val="00BB4B1C"/>
    <w:rsid w:val="00BC048F"/>
    <w:rsid w:val="00BD3459"/>
    <w:rsid w:val="00BD616D"/>
    <w:rsid w:val="00BE1F40"/>
    <w:rsid w:val="00BF0D0E"/>
    <w:rsid w:val="00C10299"/>
    <w:rsid w:val="00C21E75"/>
    <w:rsid w:val="00C40EE9"/>
    <w:rsid w:val="00C41AC2"/>
    <w:rsid w:val="00C542F7"/>
    <w:rsid w:val="00C572B3"/>
    <w:rsid w:val="00C62B65"/>
    <w:rsid w:val="00C833D0"/>
    <w:rsid w:val="00C873C5"/>
    <w:rsid w:val="00C9679F"/>
    <w:rsid w:val="00CE4111"/>
    <w:rsid w:val="00CF75E4"/>
    <w:rsid w:val="00D03719"/>
    <w:rsid w:val="00D118BC"/>
    <w:rsid w:val="00D3339E"/>
    <w:rsid w:val="00D62429"/>
    <w:rsid w:val="00D72757"/>
    <w:rsid w:val="00D87411"/>
    <w:rsid w:val="00D978E6"/>
    <w:rsid w:val="00DC11AF"/>
    <w:rsid w:val="00DC3259"/>
    <w:rsid w:val="00DF4143"/>
    <w:rsid w:val="00E0763C"/>
    <w:rsid w:val="00E22E9A"/>
    <w:rsid w:val="00E23A06"/>
    <w:rsid w:val="00EA3494"/>
    <w:rsid w:val="00EB7541"/>
    <w:rsid w:val="00EB77CB"/>
    <w:rsid w:val="00EC1DB2"/>
    <w:rsid w:val="00ED2778"/>
    <w:rsid w:val="00EE262B"/>
    <w:rsid w:val="00F021BB"/>
    <w:rsid w:val="00F07E08"/>
    <w:rsid w:val="00F23825"/>
    <w:rsid w:val="00F2486C"/>
    <w:rsid w:val="00F43723"/>
    <w:rsid w:val="00F557BF"/>
    <w:rsid w:val="00F56CBE"/>
    <w:rsid w:val="00F82A3C"/>
    <w:rsid w:val="00FA429C"/>
    <w:rsid w:val="00FB5C12"/>
    <w:rsid w:val="0951056A"/>
    <w:rsid w:val="10D26F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EC4451"/>
  <w15:docId w15:val="{734798D7-F40F-4EAF-8F36-84B119D45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29FF"/>
  </w:style>
  <w:style w:type="paragraph" w:styleId="1">
    <w:name w:val="heading 1"/>
    <w:basedOn w:val="a"/>
    <w:next w:val="a"/>
    <w:link w:val="10"/>
    <w:uiPriority w:val="9"/>
    <w:qFormat/>
    <w:rsid w:val="009529FF"/>
    <w:pPr>
      <w:keepNext/>
      <w:keepLines/>
      <w:spacing w:before="320" w:after="0" w:line="240" w:lineRule="auto"/>
      <w:outlineLvl w:val="0"/>
    </w:pPr>
    <w:rPr>
      <w:rFonts w:asciiTheme="majorHAnsi" w:eastAsiaTheme="majorEastAsia" w:hAnsiTheme="majorHAnsi" w:cstheme="majorBidi"/>
      <w:color w:val="0F4761" w:themeColor="accent1" w:themeShade="BF"/>
      <w:sz w:val="32"/>
      <w:szCs w:val="32"/>
    </w:rPr>
  </w:style>
  <w:style w:type="paragraph" w:styleId="2">
    <w:name w:val="heading 2"/>
    <w:basedOn w:val="a"/>
    <w:next w:val="a"/>
    <w:link w:val="20"/>
    <w:uiPriority w:val="9"/>
    <w:unhideWhenUsed/>
    <w:qFormat/>
    <w:rsid w:val="009529FF"/>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3">
    <w:name w:val="heading 3"/>
    <w:basedOn w:val="a"/>
    <w:next w:val="a"/>
    <w:link w:val="30"/>
    <w:uiPriority w:val="9"/>
    <w:unhideWhenUsed/>
    <w:qFormat/>
    <w:rsid w:val="009529FF"/>
    <w:pPr>
      <w:keepNext/>
      <w:keepLines/>
      <w:spacing w:before="40" w:after="0" w:line="240" w:lineRule="auto"/>
      <w:outlineLvl w:val="2"/>
    </w:pPr>
    <w:rPr>
      <w:rFonts w:asciiTheme="majorHAnsi" w:eastAsiaTheme="majorEastAsia" w:hAnsiTheme="majorHAnsi" w:cstheme="majorBidi"/>
      <w:color w:val="0E2841" w:themeColor="text2"/>
      <w:sz w:val="24"/>
      <w:szCs w:val="24"/>
    </w:rPr>
  </w:style>
  <w:style w:type="paragraph" w:styleId="4">
    <w:name w:val="heading 4"/>
    <w:basedOn w:val="a"/>
    <w:next w:val="a"/>
    <w:link w:val="40"/>
    <w:uiPriority w:val="9"/>
    <w:unhideWhenUsed/>
    <w:qFormat/>
    <w:rsid w:val="009529FF"/>
    <w:pPr>
      <w:keepNext/>
      <w:keepLines/>
      <w:spacing w:before="40" w:after="0"/>
      <w:outlineLvl w:val="3"/>
    </w:pPr>
    <w:rPr>
      <w:rFonts w:asciiTheme="majorHAnsi" w:eastAsiaTheme="majorEastAsia" w:hAnsiTheme="majorHAnsi" w:cstheme="majorBidi"/>
      <w:sz w:val="22"/>
      <w:szCs w:val="22"/>
    </w:rPr>
  </w:style>
  <w:style w:type="paragraph" w:styleId="5">
    <w:name w:val="heading 5"/>
    <w:basedOn w:val="a"/>
    <w:next w:val="a"/>
    <w:link w:val="50"/>
    <w:uiPriority w:val="9"/>
    <w:unhideWhenUsed/>
    <w:qFormat/>
    <w:rsid w:val="009529FF"/>
    <w:pPr>
      <w:keepNext/>
      <w:keepLines/>
      <w:spacing w:before="40" w:after="0"/>
      <w:outlineLvl w:val="4"/>
    </w:pPr>
    <w:rPr>
      <w:rFonts w:asciiTheme="majorHAnsi" w:eastAsiaTheme="majorEastAsia" w:hAnsiTheme="majorHAnsi" w:cstheme="majorBidi"/>
      <w:color w:val="0E2841" w:themeColor="text2"/>
      <w:sz w:val="22"/>
      <w:szCs w:val="22"/>
    </w:rPr>
  </w:style>
  <w:style w:type="paragraph" w:styleId="6">
    <w:name w:val="heading 6"/>
    <w:basedOn w:val="a"/>
    <w:next w:val="a"/>
    <w:link w:val="60"/>
    <w:uiPriority w:val="9"/>
    <w:semiHidden/>
    <w:unhideWhenUsed/>
    <w:qFormat/>
    <w:rsid w:val="009529FF"/>
    <w:pPr>
      <w:keepNext/>
      <w:keepLines/>
      <w:spacing w:before="40" w:after="0"/>
      <w:outlineLvl w:val="5"/>
    </w:pPr>
    <w:rPr>
      <w:rFonts w:asciiTheme="majorHAnsi" w:eastAsiaTheme="majorEastAsia" w:hAnsiTheme="majorHAnsi" w:cstheme="majorBidi"/>
      <w:i/>
      <w:iCs/>
      <w:color w:val="0E2841" w:themeColor="text2"/>
      <w:sz w:val="21"/>
      <w:szCs w:val="21"/>
    </w:rPr>
  </w:style>
  <w:style w:type="paragraph" w:styleId="7">
    <w:name w:val="heading 7"/>
    <w:basedOn w:val="a"/>
    <w:next w:val="a"/>
    <w:link w:val="70"/>
    <w:uiPriority w:val="9"/>
    <w:semiHidden/>
    <w:unhideWhenUsed/>
    <w:qFormat/>
    <w:rsid w:val="009529FF"/>
    <w:pPr>
      <w:keepNext/>
      <w:keepLines/>
      <w:spacing w:before="40" w:after="0"/>
      <w:outlineLvl w:val="6"/>
    </w:pPr>
    <w:rPr>
      <w:rFonts w:asciiTheme="majorHAnsi" w:eastAsiaTheme="majorEastAsia" w:hAnsiTheme="majorHAnsi" w:cstheme="majorBidi"/>
      <w:i/>
      <w:iCs/>
      <w:color w:val="0A2F41" w:themeColor="accent1" w:themeShade="80"/>
      <w:sz w:val="21"/>
      <w:szCs w:val="21"/>
    </w:rPr>
  </w:style>
  <w:style w:type="paragraph" w:styleId="8">
    <w:name w:val="heading 8"/>
    <w:basedOn w:val="a"/>
    <w:next w:val="a"/>
    <w:link w:val="80"/>
    <w:uiPriority w:val="9"/>
    <w:semiHidden/>
    <w:unhideWhenUsed/>
    <w:qFormat/>
    <w:rsid w:val="009529FF"/>
    <w:pPr>
      <w:keepNext/>
      <w:keepLines/>
      <w:spacing w:before="40" w:after="0"/>
      <w:outlineLvl w:val="7"/>
    </w:pPr>
    <w:rPr>
      <w:rFonts w:asciiTheme="majorHAnsi" w:eastAsiaTheme="majorEastAsia" w:hAnsiTheme="majorHAnsi" w:cstheme="majorBidi"/>
      <w:b/>
      <w:bCs/>
      <w:color w:val="0E2841" w:themeColor="text2"/>
    </w:rPr>
  </w:style>
  <w:style w:type="paragraph" w:styleId="9">
    <w:name w:val="heading 9"/>
    <w:basedOn w:val="a"/>
    <w:next w:val="a"/>
    <w:link w:val="90"/>
    <w:uiPriority w:val="9"/>
    <w:semiHidden/>
    <w:unhideWhenUsed/>
    <w:qFormat/>
    <w:rsid w:val="009529FF"/>
    <w:pPr>
      <w:keepNext/>
      <w:keepLines/>
      <w:spacing w:before="40" w:after="0"/>
      <w:outlineLvl w:val="8"/>
    </w:pPr>
    <w:rPr>
      <w:rFonts w:asciiTheme="majorHAnsi" w:eastAsiaTheme="majorEastAsia" w:hAnsiTheme="majorHAnsi" w:cstheme="majorBidi"/>
      <w:b/>
      <w:bCs/>
      <w:i/>
      <w:iCs/>
      <w:color w:val="0E2841" w:themeColor="text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spacing w:line="240" w:lineRule="auto"/>
    </w:pPr>
    <w:rPr>
      <w:sz w:val="18"/>
      <w:szCs w:val="18"/>
    </w:rPr>
  </w:style>
  <w:style w:type="paragraph" w:styleId="a5">
    <w:name w:val="header"/>
    <w:basedOn w:val="a"/>
    <w:link w:val="a6"/>
    <w:uiPriority w:val="99"/>
    <w:unhideWhenUsed/>
    <w:pPr>
      <w:tabs>
        <w:tab w:val="center" w:pos="4153"/>
        <w:tab w:val="right" w:pos="8306"/>
      </w:tabs>
      <w:snapToGrid w:val="0"/>
      <w:spacing w:line="240" w:lineRule="auto"/>
      <w:jc w:val="center"/>
    </w:pPr>
    <w:rPr>
      <w:sz w:val="18"/>
      <w:szCs w:val="18"/>
    </w:rPr>
  </w:style>
  <w:style w:type="paragraph" w:styleId="Web">
    <w:name w:val="Normal (Web)"/>
    <w:basedOn w:val="a"/>
    <w:pPr>
      <w:widowControl w:val="0"/>
      <w:spacing w:beforeAutospacing="1" w:after="0" w:line="240" w:lineRule="auto"/>
    </w:pPr>
    <w:rPr>
      <w:rFonts w:cs="Times New Roman"/>
      <w:sz w:val="24"/>
      <w:szCs w:val="24"/>
    </w:rPr>
  </w:style>
  <w:style w:type="character" w:styleId="a7">
    <w:name w:val="Strong"/>
    <w:basedOn w:val="a0"/>
    <w:uiPriority w:val="22"/>
    <w:qFormat/>
    <w:rsid w:val="009529FF"/>
    <w:rPr>
      <w:b/>
      <w:bCs/>
    </w:rPr>
  </w:style>
  <w:style w:type="character" w:customStyle="1" w:styleId="30">
    <w:name w:val="標題 3 字元"/>
    <w:basedOn w:val="a0"/>
    <w:link w:val="3"/>
    <w:uiPriority w:val="9"/>
    <w:rsid w:val="009529FF"/>
    <w:rPr>
      <w:rFonts w:asciiTheme="majorHAnsi" w:eastAsiaTheme="majorEastAsia" w:hAnsiTheme="majorHAnsi" w:cstheme="majorBidi"/>
      <w:color w:val="0E2841" w:themeColor="text2"/>
      <w:sz w:val="24"/>
      <w:szCs w:val="24"/>
    </w:rPr>
  </w:style>
  <w:style w:type="character" w:customStyle="1" w:styleId="10">
    <w:name w:val="標題 1 字元"/>
    <w:basedOn w:val="a0"/>
    <w:link w:val="1"/>
    <w:uiPriority w:val="9"/>
    <w:rsid w:val="009529FF"/>
    <w:rPr>
      <w:rFonts w:asciiTheme="majorHAnsi" w:eastAsiaTheme="majorEastAsia" w:hAnsiTheme="majorHAnsi" w:cstheme="majorBidi"/>
      <w:color w:val="0F4761" w:themeColor="accent1" w:themeShade="BF"/>
      <w:sz w:val="32"/>
      <w:szCs w:val="32"/>
    </w:rPr>
  </w:style>
  <w:style w:type="character" w:customStyle="1" w:styleId="a6">
    <w:name w:val="頁首 字元"/>
    <w:basedOn w:val="a0"/>
    <w:link w:val="a5"/>
    <w:uiPriority w:val="99"/>
    <w:qFormat/>
    <w:rPr>
      <w:kern w:val="0"/>
      <w:sz w:val="18"/>
      <w:szCs w:val="18"/>
      <w:lang w:eastAsia="en-US"/>
    </w:rPr>
  </w:style>
  <w:style w:type="character" w:customStyle="1" w:styleId="a4">
    <w:name w:val="頁尾 字元"/>
    <w:basedOn w:val="a0"/>
    <w:link w:val="a3"/>
    <w:uiPriority w:val="99"/>
    <w:rPr>
      <w:kern w:val="0"/>
      <w:sz w:val="18"/>
      <w:szCs w:val="18"/>
      <w:lang w:eastAsia="en-US"/>
    </w:rPr>
  </w:style>
  <w:style w:type="paragraph" w:styleId="a8">
    <w:name w:val="List Paragraph"/>
    <w:basedOn w:val="a"/>
    <w:uiPriority w:val="34"/>
    <w:qFormat/>
    <w:pPr>
      <w:ind w:firstLineChars="200" w:firstLine="420"/>
    </w:pPr>
  </w:style>
  <w:style w:type="character" w:customStyle="1" w:styleId="40">
    <w:name w:val="標題 4 字元"/>
    <w:basedOn w:val="a0"/>
    <w:link w:val="4"/>
    <w:uiPriority w:val="9"/>
    <w:rsid w:val="009529FF"/>
    <w:rPr>
      <w:rFonts w:asciiTheme="majorHAnsi" w:eastAsiaTheme="majorEastAsia" w:hAnsiTheme="majorHAnsi" w:cstheme="majorBidi"/>
      <w:sz w:val="22"/>
      <w:szCs w:val="22"/>
    </w:rPr>
  </w:style>
  <w:style w:type="character" w:customStyle="1" w:styleId="20">
    <w:name w:val="標題 2 字元"/>
    <w:basedOn w:val="a0"/>
    <w:link w:val="2"/>
    <w:uiPriority w:val="9"/>
    <w:rsid w:val="009529FF"/>
    <w:rPr>
      <w:rFonts w:asciiTheme="majorHAnsi" w:eastAsiaTheme="majorEastAsia" w:hAnsiTheme="majorHAnsi" w:cstheme="majorBidi"/>
      <w:color w:val="404040" w:themeColor="text1" w:themeTint="BF"/>
      <w:sz w:val="28"/>
      <w:szCs w:val="28"/>
    </w:rPr>
  </w:style>
  <w:style w:type="character" w:customStyle="1" w:styleId="50">
    <w:name w:val="標題 5 字元"/>
    <w:basedOn w:val="a0"/>
    <w:link w:val="5"/>
    <w:uiPriority w:val="9"/>
    <w:rsid w:val="009529FF"/>
    <w:rPr>
      <w:rFonts w:asciiTheme="majorHAnsi" w:eastAsiaTheme="majorEastAsia" w:hAnsiTheme="majorHAnsi" w:cstheme="majorBidi"/>
      <w:color w:val="0E2841" w:themeColor="text2"/>
      <w:sz w:val="22"/>
      <w:szCs w:val="22"/>
    </w:rPr>
  </w:style>
  <w:style w:type="character" w:styleId="a9">
    <w:name w:val="Placeholder Text"/>
    <w:basedOn w:val="a0"/>
    <w:uiPriority w:val="99"/>
    <w:unhideWhenUsed/>
    <w:rsid w:val="00905F79"/>
    <w:rPr>
      <w:color w:val="666666"/>
    </w:rPr>
  </w:style>
  <w:style w:type="paragraph" w:styleId="aa">
    <w:name w:val="TOC Heading"/>
    <w:basedOn w:val="1"/>
    <w:next w:val="a"/>
    <w:uiPriority w:val="39"/>
    <w:unhideWhenUsed/>
    <w:qFormat/>
    <w:rsid w:val="009529FF"/>
    <w:pPr>
      <w:outlineLvl w:val="9"/>
    </w:pPr>
  </w:style>
  <w:style w:type="paragraph" w:styleId="31">
    <w:name w:val="toc 3"/>
    <w:basedOn w:val="a"/>
    <w:next w:val="a"/>
    <w:autoRedefine/>
    <w:uiPriority w:val="39"/>
    <w:unhideWhenUsed/>
    <w:rsid w:val="00652636"/>
    <w:pPr>
      <w:tabs>
        <w:tab w:val="right" w:leader="dot" w:pos="10456"/>
      </w:tabs>
      <w:ind w:leftChars="400" w:left="880"/>
      <w:jc w:val="both"/>
    </w:pPr>
  </w:style>
  <w:style w:type="character" w:styleId="ab">
    <w:name w:val="Hyperlink"/>
    <w:basedOn w:val="a0"/>
    <w:uiPriority w:val="99"/>
    <w:unhideWhenUsed/>
    <w:rsid w:val="00B052AC"/>
    <w:rPr>
      <w:color w:val="467886" w:themeColor="hyperlink"/>
      <w:u w:val="single"/>
    </w:rPr>
  </w:style>
  <w:style w:type="paragraph" w:styleId="21">
    <w:name w:val="toc 2"/>
    <w:basedOn w:val="a"/>
    <w:next w:val="a"/>
    <w:autoRedefine/>
    <w:uiPriority w:val="39"/>
    <w:unhideWhenUsed/>
    <w:rsid w:val="00EB77CB"/>
    <w:pPr>
      <w:ind w:leftChars="200" w:left="420"/>
    </w:pPr>
  </w:style>
  <w:style w:type="character" w:customStyle="1" w:styleId="60">
    <w:name w:val="標題 6 字元"/>
    <w:basedOn w:val="a0"/>
    <w:link w:val="6"/>
    <w:uiPriority w:val="9"/>
    <w:semiHidden/>
    <w:rsid w:val="009529FF"/>
    <w:rPr>
      <w:rFonts w:asciiTheme="majorHAnsi" w:eastAsiaTheme="majorEastAsia" w:hAnsiTheme="majorHAnsi" w:cstheme="majorBidi"/>
      <w:i/>
      <w:iCs/>
      <w:color w:val="0E2841" w:themeColor="text2"/>
      <w:sz w:val="21"/>
      <w:szCs w:val="21"/>
    </w:rPr>
  </w:style>
  <w:style w:type="character" w:customStyle="1" w:styleId="70">
    <w:name w:val="標題 7 字元"/>
    <w:basedOn w:val="a0"/>
    <w:link w:val="7"/>
    <w:uiPriority w:val="9"/>
    <w:semiHidden/>
    <w:rsid w:val="009529FF"/>
    <w:rPr>
      <w:rFonts w:asciiTheme="majorHAnsi" w:eastAsiaTheme="majorEastAsia" w:hAnsiTheme="majorHAnsi" w:cstheme="majorBidi"/>
      <w:i/>
      <w:iCs/>
      <w:color w:val="0A2F41" w:themeColor="accent1" w:themeShade="80"/>
      <w:sz w:val="21"/>
      <w:szCs w:val="21"/>
    </w:rPr>
  </w:style>
  <w:style w:type="character" w:customStyle="1" w:styleId="80">
    <w:name w:val="標題 8 字元"/>
    <w:basedOn w:val="a0"/>
    <w:link w:val="8"/>
    <w:uiPriority w:val="9"/>
    <w:semiHidden/>
    <w:rsid w:val="009529FF"/>
    <w:rPr>
      <w:rFonts w:asciiTheme="majorHAnsi" w:eastAsiaTheme="majorEastAsia" w:hAnsiTheme="majorHAnsi" w:cstheme="majorBidi"/>
      <w:b/>
      <w:bCs/>
      <w:color w:val="0E2841" w:themeColor="text2"/>
    </w:rPr>
  </w:style>
  <w:style w:type="character" w:customStyle="1" w:styleId="90">
    <w:name w:val="標題 9 字元"/>
    <w:basedOn w:val="a0"/>
    <w:link w:val="9"/>
    <w:uiPriority w:val="9"/>
    <w:semiHidden/>
    <w:rsid w:val="009529FF"/>
    <w:rPr>
      <w:rFonts w:asciiTheme="majorHAnsi" w:eastAsiaTheme="majorEastAsia" w:hAnsiTheme="majorHAnsi" w:cstheme="majorBidi"/>
      <w:b/>
      <w:bCs/>
      <w:i/>
      <w:iCs/>
      <w:color w:val="0E2841" w:themeColor="text2"/>
    </w:rPr>
  </w:style>
  <w:style w:type="paragraph" w:styleId="ac">
    <w:name w:val="caption"/>
    <w:basedOn w:val="a"/>
    <w:next w:val="a"/>
    <w:uiPriority w:val="35"/>
    <w:semiHidden/>
    <w:unhideWhenUsed/>
    <w:qFormat/>
    <w:rsid w:val="009529FF"/>
    <w:pPr>
      <w:spacing w:line="240" w:lineRule="auto"/>
    </w:pPr>
    <w:rPr>
      <w:b/>
      <w:bCs/>
      <w:smallCaps/>
      <w:color w:val="595959" w:themeColor="text1" w:themeTint="A6"/>
      <w:spacing w:val="6"/>
    </w:rPr>
  </w:style>
  <w:style w:type="paragraph" w:styleId="ad">
    <w:name w:val="Title"/>
    <w:basedOn w:val="a"/>
    <w:next w:val="a"/>
    <w:link w:val="ae"/>
    <w:uiPriority w:val="10"/>
    <w:qFormat/>
    <w:rsid w:val="009529FF"/>
    <w:pPr>
      <w:spacing w:after="0" w:line="240" w:lineRule="auto"/>
      <w:contextualSpacing/>
    </w:pPr>
    <w:rPr>
      <w:rFonts w:asciiTheme="majorHAnsi" w:eastAsiaTheme="majorEastAsia" w:hAnsiTheme="majorHAnsi" w:cstheme="majorBidi"/>
      <w:color w:val="156082" w:themeColor="accent1"/>
      <w:spacing w:val="-10"/>
      <w:sz w:val="56"/>
      <w:szCs w:val="56"/>
    </w:rPr>
  </w:style>
  <w:style w:type="character" w:customStyle="1" w:styleId="ae">
    <w:name w:val="標題 字元"/>
    <w:basedOn w:val="a0"/>
    <w:link w:val="ad"/>
    <w:uiPriority w:val="10"/>
    <w:rsid w:val="009529FF"/>
    <w:rPr>
      <w:rFonts w:asciiTheme="majorHAnsi" w:eastAsiaTheme="majorEastAsia" w:hAnsiTheme="majorHAnsi" w:cstheme="majorBidi"/>
      <w:color w:val="156082" w:themeColor="accent1"/>
      <w:spacing w:val="-10"/>
      <w:sz w:val="56"/>
      <w:szCs w:val="56"/>
    </w:rPr>
  </w:style>
  <w:style w:type="paragraph" w:styleId="af">
    <w:name w:val="Subtitle"/>
    <w:basedOn w:val="a"/>
    <w:next w:val="a"/>
    <w:link w:val="af0"/>
    <w:uiPriority w:val="11"/>
    <w:qFormat/>
    <w:rsid w:val="009529FF"/>
    <w:pPr>
      <w:numPr>
        <w:ilvl w:val="1"/>
      </w:numPr>
      <w:spacing w:line="240" w:lineRule="auto"/>
    </w:pPr>
    <w:rPr>
      <w:rFonts w:asciiTheme="majorHAnsi" w:eastAsiaTheme="majorEastAsia" w:hAnsiTheme="majorHAnsi" w:cstheme="majorBidi"/>
      <w:sz w:val="24"/>
      <w:szCs w:val="24"/>
    </w:rPr>
  </w:style>
  <w:style w:type="character" w:customStyle="1" w:styleId="af0">
    <w:name w:val="副標題 字元"/>
    <w:basedOn w:val="a0"/>
    <w:link w:val="af"/>
    <w:uiPriority w:val="11"/>
    <w:rsid w:val="009529FF"/>
    <w:rPr>
      <w:rFonts w:asciiTheme="majorHAnsi" w:eastAsiaTheme="majorEastAsia" w:hAnsiTheme="majorHAnsi" w:cstheme="majorBidi"/>
      <w:sz w:val="24"/>
      <w:szCs w:val="24"/>
    </w:rPr>
  </w:style>
  <w:style w:type="character" w:styleId="af1">
    <w:name w:val="Emphasis"/>
    <w:basedOn w:val="a0"/>
    <w:uiPriority w:val="20"/>
    <w:qFormat/>
    <w:rsid w:val="009529FF"/>
    <w:rPr>
      <w:i/>
      <w:iCs/>
    </w:rPr>
  </w:style>
  <w:style w:type="paragraph" w:styleId="af2">
    <w:name w:val="No Spacing"/>
    <w:uiPriority w:val="1"/>
    <w:qFormat/>
    <w:rsid w:val="009529FF"/>
    <w:pPr>
      <w:spacing w:after="0" w:line="240" w:lineRule="auto"/>
    </w:pPr>
  </w:style>
  <w:style w:type="paragraph" w:styleId="af3">
    <w:name w:val="Quote"/>
    <w:basedOn w:val="a"/>
    <w:next w:val="a"/>
    <w:link w:val="af4"/>
    <w:uiPriority w:val="29"/>
    <w:qFormat/>
    <w:rsid w:val="009529FF"/>
    <w:pPr>
      <w:spacing w:before="160"/>
      <w:ind w:left="720" w:right="720"/>
    </w:pPr>
    <w:rPr>
      <w:i/>
      <w:iCs/>
      <w:color w:val="404040" w:themeColor="text1" w:themeTint="BF"/>
    </w:rPr>
  </w:style>
  <w:style w:type="character" w:customStyle="1" w:styleId="af4">
    <w:name w:val="引文 字元"/>
    <w:basedOn w:val="a0"/>
    <w:link w:val="af3"/>
    <w:uiPriority w:val="29"/>
    <w:rsid w:val="009529FF"/>
    <w:rPr>
      <w:i/>
      <w:iCs/>
      <w:color w:val="404040" w:themeColor="text1" w:themeTint="BF"/>
    </w:rPr>
  </w:style>
  <w:style w:type="paragraph" w:styleId="af5">
    <w:name w:val="Intense Quote"/>
    <w:basedOn w:val="a"/>
    <w:next w:val="a"/>
    <w:link w:val="af6"/>
    <w:uiPriority w:val="30"/>
    <w:qFormat/>
    <w:rsid w:val="009529FF"/>
    <w:pPr>
      <w:pBdr>
        <w:left w:val="single" w:sz="18" w:space="12" w:color="156082" w:themeColor="accent1"/>
      </w:pBdr>
      <w:spacing w:before="100" w:beforeAutospacing="1" w:line="300" w:lineRule="auto"/>
      <w:ind w:left="1224" w:right="1224"/>
    </w:pPr>
    <w:rPr>
      <w:rFonts w:asciiTheme="majorHAnsi" w:eastAsiaTheme="majorEastAsia" w:hAnsiTheme="majorHAnsi" w:cstheme="majorBidi"/>
      <w:color w:val="156082" w:themeColor="accent1"/>
      <w:sz w:val="28"/>
      <w:szCs w:val="28"/>
    </w:rPr>
  </w:style>
  <w:style w:type="character" w:customStyle="1" w:styleId="af6">
    <w:name w:val="鮮明引文 字元"/>
    <w:basedOn w:val="a0"/>
    <w:link w:val="af5"/>
    <w:uiPriority w:val="30"/>
    <w:rsid w:val="009529FF"/>
    <w:rPr>
      <w:rFonts w:asciiTheme="majorHAnsi" w:eastAsiaTheme="majorEastAsia" w:hAnsiTheme="majorHAnsi" w:cstheme="majorBidi"/>
      <w:color w:val="156082" w:themeColor="accent1"/>
      <w:sz w:val="28"/>
      <w:szCs w:val="28"/>
    </w:rPr>
  </w:style>
  <w:style w:type="character" w:styleId="af7">
    <w:name w:val="Subtle Emphasis"/>
    <w:basedOn w:val="a0"/>
    <w:uiPriority w:val="19"/>
    <w:qFormat/>
    <w:rsid w:val="009529FF"/>
    <w:rPr>
      <w:i/>
      <w:iCs/>
      <w:color w:val="404040" w:themeColor="text1" w:themeTint="BF"/>
    </w:rPr>
  </w:style>
  <w:style w:type="character" w:styleId="af8">
    <w:name w:val="Intense Emphasis"/>
    <w:basedOn w:val="a0"/>
    <w:uiPriority w:val="21"/>
    <w:qFormat/>
    <w:rsid w:val="009529FF"/>
    <w:rPr>
      <w:b/>
      <w:bCs/>
      <w:i/>
      <w:iCs/>
    </w:rPr>
  </w:style>
  <w:style w:type="character" w:styleId="af9">
    <w:name w:val="Subtle Reference"/>
    <w:basedOn w:val="a0"/>
    <w:uiPriority w:val="31"/>
    <w:qFormat/>
    <w:rsid w:val="009529FF"/>
    <w:rPr>
      <w:smallCaps/>
      <w:color w:val="404040" w:themeColor="text1" w:themeTint="BF"/>
      <w:u w:val="single" w:color="7F7F7F" w:themeColor="text1" w:themeTint="80"/>
    </w:rPr>
  </w:style>
  <w:style w:type="character" w:styleId="afa">
    <w:name w:val="Intense Reference"/>
    <w:basedOn w:val="a0"/>
    <w:uiPriority w:val="32"/>
    <w:qFormat/>
    <w:rsid w:val="009529FF"/>
    <w:rPr>
      <w:b/>
      <w:bCs/>
      <w:smallCaps/>
      <w:spacing w:val="5"/>
      <w:u w:val="single"/>
    </w:rPr>
  </w:style>
  <w:style w:type="character" w:styleId="afb">
    <w:name w:val="Book Title"/>
    <w:basedOn w:val="a0"/>
    <w:uiPriority w:val="33"/>
    <w:qFormat/>
    <w:rsid w:val="009529FF"/>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9331082">
      <w:bodyDiv w:val="1"/>
      <w:marLeft w:val="0"/>
      <w:marRight w:val="0"/>
      <w:marTop w:val="0"/>
      <w:marBottom w:val="0"/>
      <w:divBdr>
        <w:top w:val="none" w:sz="0" w:space="0" w:color="auto"/>
        <w:left w:val="none" w:sz="0" w:space="0" w:color="auto"/>
        <w:bottom w:val="none" w:sz="0" w:space="0" w:color="auto"/>
        <w:right w:val="none" w:sz="0" w:space="0" w:color="auto"/>
      </w:divBdr>
      <w:divsChild>
        <w:div w:id="1878661565">
          <w:marLeft w:val="0"/>
          <w:marRight w:val="0"/>
          <w:marTop w:val="0"/>
          <w:marBottom w:val="0"/>
          <w:divBdr>
            <w:top w:val="none" w:sz="0" w:space="0" w:color="auto"/>
            <w:left w:val="none" w:sz="0" w:space="0" w:color="auto"/>
            <w:bottom w:val="none" w:sz="0" w:space="0" w:color="auto"/>
            <w:right w:val="none" w:sz="0" w:space="0" w:color="auto"/>
          </w:divBdr>
        </w:div>
        <w:div w:id="123739484">
          <w:marLeft w:val="0"/>
          <w:marRight w:val="0"/>
          <w:marTop w:val="0"/>
          <w:marBottom w:val="0"/>
          <w:divBdr>
            <w:top w:val="none" w:sz="0" w:space="0" w:color="auto"/>
            <w:left w:val="none" w:sz="0" w:space="0" w:color="auto"/>
            <w:bottom w:val="none" w:sz="0" w:space="0" w:color="auto"/>
            <w:right w:val="none" w:sz="0" w:space="0" w:color="auto"/>
          </w:divBdr>
        </w:div>
        <w:div w:id="1904219364">
          <w:marLeft w:val="0"/>
          <w:marRight w:val="0"/>
          <w:marTop w:val="0"/>
          <w:marBottom w:val="0"/>
          <w:divBdr>
            <w:top w:val="none" w:sz="0" w:space="0" w:color="auto"/>
            <w:left w:val="none" w:sz="0" w:space="0" w:color="auto"/>
            <w:bottom w:val="none" w:sz="0" w:space="0" w:color="auto"/>
            <w:right w:val="none" w:sz="0" w:space="0" w:color="auto"/>
          </w:divBdr>
        </w:div>
        <w:div w:id="1867209783">
          <w:marLeft w:val="0"/>
          <w:marRight w:val="0"/>
          <w:marTop w:val="0"/>
          <w:marBottom w:val="0"/>
          <w:divBdr>
            <w:top w:val="none" w:sz="0" w:space="0" w:color="auto"/>
            <w:left w:val="none" w:sz="0" w:space="0" w:color="auto"/>
            <w:bottom w:val="none" w:sz="0" w:space="0" w:color="auto"/>
            <w:right w:val="none" w:sz="0" w:space="0" w:color="auto"/>
          </w:divBdr>
        </w:div>
        <w:div w:id="1181356885">
          <w:marLeft w:val="0"/>
          <w:marRight w:val="0"/>
          <w:marTop w:val="0"/>
          <w:marBottom w:val="0"/>
          <w:divBdr>
            <w:top w:val="none" w:sz="0" w:space="0" w:color="auto"/>
            <w:left w:val="none" w:sz="0" w:space="0" w:color="auto"/>
            <w:bottom w:val="none" w:sz="0" w:space="0" w:color="auto"/>
            <w:right w:val="none" w:sz="0" w:space="0" w:color="auto"/>
          </w:divBdr>
        </w:div>
        <w:div w:id="940642551">
          <w:marLeft w:val="0"/>
          <w:marRight w:val="0"/>
          <w:marTop w:val="0"/>
          <w:marBottom w:val="0"/>
          <w:divBdr>
            <w:top w:val="none" w:sz="0" w:space="0" w:color="auto"/>
            <w:left w:val="none" w:sz="0" w:space="0" w:color="auto"/>
            <w:bottom w:val="none" w:sz="0" w:space="0" w:color="auto"/>
            <w:right w:val="none" w:sz="0" w:space="0" w:color="auto"/>
          </w:divBdr>
        </w:div>
        <w:div w:id="1304232629">
          <w:marLeft w:val="0"/>
          <w:marRight w:val="0"/>
          <w:marTop w:val="0"/>
          <w:marBottom w:val="0"/>
          <w:divBdr>
            <w:top w:val="none" w:sz="0" w:space="0" w:color="auto"/>
            <w:left w:val="none" w:sz="0" w:space="0" w:color="auto"/>
            <w:bottom w:val="none" w:sz="0" w:space="0" w:color="auto"/>
            <w:right w:val="none" w:sz="0" w:space="0" w:color="auto"/>
          </w:divBdr>
        </w:div>
        <w:div w:id="1346786681">
          <w:marLeft w:val="0"/>
          <w:marRight w:val="0"/>
          <w:marTop w:val="0"/>
          <w:marBottom w:val="0"/>
          <w:divBdr>
            <w:top w:val="none" w:sz="0" w:space="0" w:color="auto"/>
            <w:left w:val="none" w:sz="0" w:space="0" w:color="auto"/>
            <w:bottom w:val="none" w:sz="0" w:space="0" w:color="auto"/>
            <w:right w:val="none" w:sz="0" w:space="0" w:color="auto"/>
          </w:divBdr>
        </w:div>
        <w:div w:id="726611399">
          <w:marLeft w:val="0"/>
          <w:marRight w:val="0"/>
          <w:marTop w:val="0"/>
          <w:marBottom w:val="0"/>
          <w:divBdr>
            <w:top w:val="none" w:sz="0" w:space="0" w:color="auto"/>
            <w:left w:val="none" w:sz="0" w:space="0" w:color="auto"/>
            <w:bottom w:val="none" w:sz="0" w:space="0" w:color="auto"/>
            <w:right w:val="none" w:sz="0" w:space="0" w:color="auto"/>
          </w:divBdr>
        </w:div>
        <w:div w:id="493029883">
          <w:marLeft w:val="0"/>
          <w:marRight w:val="0"/>
          <w:marTop w:val="0"/>
          <w:marBottom w:val="0"/>
          <w:divBdr>
            <w:top w:val="none" w:sz="0" w:space="0" w:color="auto"/>
            <w:left w:val="none" w:sz="0" w:space="0" w:color="auto"/>
            <w:bottom w:val="none" w:sz="0" w:space="0" w:color="auto"/>
            <w:right w:val="none" w:sz="0" w:space="0" w:color="auto"/>
          </w:divBdr>
        </w:div>
        <w:div w:id="1982150127">
          <w:marLeft w:val="0"/>
          <w:marRight w:val="0"/>
          <w:marTop w:val="0"/>
          <w:marBottom w:val="0"/>
          <w:divBdr>
            <w:top w:val="none" w:sz="0" w:space="0" w:color="auto"/>
            <w:left w:val="none" w:sz="0" w:space="0" w:color="auto"/>
            <w:bottom w:val="none" w:sz="0" w:space="0" w:color="auto"/>
            <w:right w:val="none" w:sz="0" w:space="0" w:color="auto"/>
          </w:divBdr>
        </w:div>
        <w:div w:id="878318315">
          <w:marLeft w:val="0"/>
          <w:marRight w:val="0"/>
          <w:marTop w:val="0"/>
          <w:marBottom w:val="0"/>
          <w:divBdr>
            <w:top w:val="none" w:sz="0" w:space="0" w:color="auto"/>
            <w:left w:val="none" w:sz="0" w:space="0" w:color="auto"/>
            <w:bottom w:val="none" w:sz="0" w:space="0" w:color="auto"/>
            <w:right w:val="none" w:sz="0" w:space="0" w:color="auto"/>
          </w:divBdr>
        </w:div>
      </w:divsChild>
    </w:div>
    <w:div w:id="6815868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hart" Target="charts/chart3.xml"/><Relationship Id="rId26" Type="http://schemas.openxmlformats.org/officeDocument/2006/relationships/chart" Target="charts/chart11.xml"/><Relationship Id="rId21" Type="http://schemas.openxmlformats.org/officeDocument/2006/relationships/chart" Target="charts/chart6.xml"/><Relationship Id="rId34" Type="http://schemas.openxmlformats.org/officeDocument/2006/relationships/chart" Target="charts/chart19.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hart" Target="charts/chart2.xml"/><Relationship Id="rId25" Type="http://schemas.openxmlformats.org/officeDocument/2006/relationships/chart" Target="charts/chart10.xml"/><Relationship Id="rId33" Type="http://schemas.openxmlformats.org/officeDocument/2006/relationships/chart" Target="charts/chart18.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5.xml"/><Relationship Id="rId29" Type="http://schemas.openxmlformats.org/officeDocument/2006/relationships/chart" Target="charts/chart1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9.xml"/><Relationship Id="rId32" Type="http://schemas.openxmlformats.org/officeDocument/2006/relationships/chart" Target="charts/chart17.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8.xml"/><Relationship Id="rId28" Type="http://schemas.openxmlformats.org/officeDocument/2006/relationships/chart" Target="charts/chart13.xml"/><Relationship Id="rId36" Type="http://schemas.openxmlformats.org/officeDocument/2006/relationships/fontTable" Target="fontTable.xml"/><Relationship Id="rId10" Type="http://schemas.openxmlformats.org/officeDocument/2006/relationships/chart" Target="charts/chart1.xml"/><Relationship Id="rId19" Type="http://schemas.openxmlformats.org/officeDocument/2006/relationships/chart" Target="charts/chart4.xml"/><Relationship Id="rId31" Type="http://schemas.openxmlformats.org/officeDocument/2006/relationships/chart" Target="charts/chart1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chart" Target="charts/chart7.xml"/><Relationship Id="rId27" Type="http://schemas.openxmlformats.org/officeDocument/2006/relationships/chart" Target="charts/chart12.xml"/><Relationship Id="rId30" Type="http://schemas.openxmlformats.org/officeDocument/2006/relationships/chart" Target="charts/chart15.xml"/><Relationship Id="rId35" Type="http://schemas.openxmlformats.org/officeDocument/2006/relationships/chart" Target="charts/chart20.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D:\&#30740;&#31350;\&#21608;&#26411;&#20250;&#35758;\&#23828;&#23588;&#25996;\&#37117;&#20250;&#22823;&#23398;\&#20316;&#19994;\8033\&#20316;&#19994;&#20108;_&#28023;&#24213;&#25438;\&#20013;&#22269;&#39184;&#39278;&#25910;&#20837;_&#26376;&#24230;&#25968;&#25454;.xls"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30740;&#31350;\&#21608;&#26411;&#20250;&#35758;\&#23828;&#23588;&#25996;\&#37117;&#20250;&#22823;&#23398;\&#20316;&#19994;\8033_T07\&#20316;&#19994;&#20108;_&#28023;&#24213;&#25438;\6862.HK-ARD.&#36130;&#21153;&#25253;&#34920;.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30740;&#31350;\&#21608;&#26411;&#20250;&#35758;\&#23828;&#23588;&#25996;\&#37117;&#20250;&#22823;&#23398;\&#20316;&#19994;\8033_T07\&#20316;&#19994;&#20108;_&#28023;&#24213;&#25438;\6862.HK-ARD.&#36130;&#21153;&#25253;&#34920;.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30740;&#31350;\&#21608;&#26411;&#20250;&#35758;\&#23828;&#23588;&#25996;\&#37117;&#20250;&#22823;&#23398;\&#20316;&#19994;\8033_T07\&#20316;&#19994;&#20108;_&#28023;&#24213;&#25438;\6862.HK-ARD.&#36130;&#21153;&#25253;&#34920;.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30740;&#31350;\&#21608;&#26411;&#20250;&#35758;\&#23828;&#23588;&#25996;\&#37117;&#20250;&#22823;&#23398;\&#20316;&#19994;\8033_T07\&#20316;&#19994;&#20108;_&#28023;&#24213;&#25438;\6862.HK-ARD.&#36130;&#21153;&#25253;&#34920;.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30740;&#31350;\&#21608;&#26411;&#20250;&#35758;\&#23828;&#23588;&#25996;\&#37117;&#20250;&#22823;&#23398;\&#20316;&#19994;\8033_T07\&#20316;&#19994;&#20108;_&#28023;&#24213;&#25438;\6862.HK-ARD.&#36130;&#21153;&#25253;&#34920;.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30740;&#31350;\&#21608;&#26411;&#20250;&#35758;\&#23828;&#23588;&#25996;\&#37117;&#20250;&#22823;&#23398;\&#20316;&#19994;\8033_T07\&#20316;&#19994;&#20108;_&#28023;&#24213;&#25438;\6862.HK-ARD.&#36130;&#21153;&#25253;&#34920;.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30740;&#31350;\&#21608;&#26411;&#20250;&#35758;\&#23828;&#23588;&#25996;\&#37117;&#20250;&#22823;&#23398;\&#20316;&#19994;\8033_T07\&#20316;&#19994;&#20108;_&#28023;&#24213;&#25438;\6862.HK-ARD.&#36130;&#21153;&#25253;&#34920;.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30740;&#31350;\&#21608;&#26411;&#20250;&#35758;\&#23828;&#23588;&#25996;\&#37117;&#20250;&#22823;&#23398;\&#20316;&#19994;\8033_T07\&#20316;&#19994;&#20108;_&#28023;&#24213;&#25438;\6862.HK-ARD.&#36130;&#21153;&#25253;&#34920;.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D:\&#30740;&#31350;\&#21608;&#26411;&#20250;&#35758;\&#23828;&#23588;&#25996;\&#37117;&#20250;&#22823;&#23398;\&#20316;&#19994;\8033_T07\&#20316;&#19994;&#20108;_&#28023;&#24213;&#25438;\6862.HK-ARD.&#36130;&#21153;&#25253;&#34920;.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D:\&#30740;&#31350;\&#21608;&#26411;&#20250;&#35758;\&#23828;&#23588;&#25996;\&#37117;&#20250;&#22823;&#23398;\&#20316;&#19994;\8033_T07\&#20316;&#19994;&#20108;_&#28023;&#24213;&#25438;\6862.HK-ARD.&#36130;&#21153;&#25253;&#34920;.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D:\&#30740;&#31350;\&#21608;&#26411;&#20250;&#35758;\&#23828;&#23588;&#25996;\&#37117;&#20250;&#22823;&#23398;\&#20316;&#19994;\8033_T07\&#20316;&#19994;&#20108;_&#28023;&#24213;&#25438;\6862.HK-ARD.&#36130;&#21153;&#25253;&#34920;.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D:\&#30740;&#31350;\&#21608;&#26411;&#20250;&#35758;\&#23828;&#23588;&#25996;\&#37117;&#20250;&#22823;&#23398;\&#20316;&#19994;\8033_T07\&#20316;&#19994;&#20108;_&#28023;&#24213;&#25438;\6862.HK-ARD.&#36130;&#21153;&#25253;&#34920;.xlsx" TargetMode="External"/><Relationship Id="rId2" Type="http://schemas.microsoft.com/office/2011/relationships/chartColorStyle" Target="colors20.xml"/><Relationship Id="rId1" Type="http://schemas.microsoft.com/office/2011/relationships/chartStyle" Target="style20.xml"/></Relationships>
</file>

<file path=word/charts/_rels/chart3.xml.rels><?xml version="1.0" encoding="UTF-8" standalone="yes"?>
<Relationships xmlns="http://schemas.openxmlformats.org/package/2006/relationships"><Relationship Id="rId3" Type="http://schemas.openxmlformats.org/officeDocument/2006/relationships/oleObject" Target="file:///D:\&#30740;&#31350;\&#21608;&#26411;&#20250;&#35758;\&#23828;&#23588;&#25996;\&#37117;&#20250;&#22823;&#23398;\&#20316;&#19994;\8033_T07\&#20316;&#19994;&#20108;_&#28023;&#24213;&#25438;\6862.HK-ARD.&#36130;&#21153;&#25253;&#3492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30740;&#31350;\&#21608;&#26411;&#20250;&#35758;\&#23828;&#23588;&#25996;\&#37117;&#20250;&#22823;&#23398;\&#20316;&#19994;\8033_T07\&#20316;&#19994;&#20108;_&#28023;&#24213;&#25438;\6862.HK-ARD.&#36130;&#21153;&#25253;&#3492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30740;&#31350;\&#21608;&#26411;&#20250;&#35758;\&#23828;&#23588;&#25996;\&#37117;&#20250;&#22823;&#23398;\&#20316;&#19994;\8033_T07\&#20316;&#19994;&#20108;_&#28023;&#24213;&#25438;\6862.HK-ARD.&#36130;&#21153;&#25253;&#3492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30740;&#31350;\&#21608;&#26411;&#20250;&#35758;\&#23828;&#23588;&#25996;\&#37117;&#20250;&#22823;&#23398;\&#20316;&#19994;\8033_T07\&#20316;&#19994;&#20108;_&#28023;&#24213;&#25438;\6862.HK-ARD.&#36130;&#21153;&#25253;&#34920;.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30740;&#31350;\&#21608;&#26411;&#20250;&#35758;\&#23828;&#23588;&#25996;\&#37117;&#20250;&#22823;&#23398;\&#20316;&#19994;\8033_T07\&#20316;&#19994;&#20108;_&#28023;&#24213;&#25438;\6862.HK-ARD.&#36130;&#21153;&#25253;&#34920;.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30740;&#31350;\&#21608;&#26411;&#20250;&#35758;\&#23828;&#23588;&#25996;\&#37117;&#20250;&#22823;&#23398;\&#20316;&#19994;\8033_T07\&#20316;&#19994;&#20108;_&#28023;&#24213;&#25438;\6862.HK-ARD.&#36130;&#21153;&#25253;&#3492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30740;&#31350;\&#21608;&#26411;&#20250;&#35758;\&#23828;&#23588;&#25996;\&#37117;&#20250;&#22823;&#23398;\&#20316;&#19994;\8033_T07\&#20316;&#19994;&#20108;_&#28023;&#24213;&#25438;\6862.HK-ARD.&#36130;&#21153;&#25253;&#34920;.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TW" altLang="en-US" sz="1400" b="0" i="0" u="none" strike="noStrike" kern="1200" spc="0" baseline="0">
                <a:solidFill>
                  <a:sysClr val="windowText" lastClr="000000">
                    <a:lumMod val="65000"/>
                    <a:lumOff val="35000"/>
                  </a:sysClr>
                </a:solidFill>
                <a:latin typeface="+mn-lt"/>
                <a:ea typeface="+mn-ea"/>
                <a:cs typeface="+mn-cs"/>
              </a:rPr>
              <a:t>中國餐飲業收入</a:t>
            </a:r>
            <a:r>
              <a:rPr lang="en-US" altLang="zh-CN" sz="1400" b="0" i="0" u="none" strike="noStrike" kern="1200" spc="0" baseline="0">
                <a:solidFill>
                  <a:sysClr val="windowText" lastClr="000000">
                    <a:lumMod val="65000"/>
                    <a:lumOff val="35000"/>
                  </a:sysClr>
                </a:solidFill>
                <a:latin typeface="+mn-lt"/>
                <a:ea typeface="+mn-ea"/>
                <a:cs typeface="+mn-cs"/>
              </a:rPr>
              <a:t>(</a:t>
            </a:r>
            <a:r>
              <a:rPr lang="zh-TW" altLang="en-US" sz="1400" b="0" i="0" u="none" strike="noStrike" kern="1200" spc="0" baseline="0">
                <a:solidFill>
                  <a:sysClr val="windowText" lastClr="000000">
                    <a:lumMod val="65000"/>
                    <a:lumOff val="35000"/>
                  </a:sysClr>
                </a:solidFill>
                <a:latin typeface="+mn-lt"/>
                <a:ea typeface="+mn-ea"/>
                <a:cs typeface="+mn-cs"/>
              </a:rPr>
              <a:t>年度</a:t>
            </a:r>
            <a:r>
              <a:rPr lang="en-US" altLang="zh-CN" sz="1400" b="0" i="0" u="none" strike="noStrike" kern="1200" spc="0" baseline="0">
                <a:solidFill>
                  <a:sysClr val="windowText" lastClr="000000">
                    <a:lumMod val="65000"/>
                    <a:lumOff val="35000"/>
                  </a:sysClr>
                </a:solidFill>
                <a:latin typeface="+mn-lt"/>
                <a:ea typeface="+mn-ea"/>
                <a:cs typeface="+mn-cs"/>
              </a:rPr>
              <a:t>)</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月度数据!$A$34</c:f>
              <c:strCache>
                <c:ptCount val="1"/>
                <c:pt idx="0">
                  <c:v>餐饮收入当期值(亿元)</c:v>
                </c:pt>
              </c:strCache>
            </c:strRef>
          </c:tx>
          <c:spPr>
            <a:solidFill>
              <a:schemeClr val="accent1"/>
            </a:solidFill>
            <a:ln>
              <a:noFill/>
            </a:ln>
            <a:effectLst/>
          </c:spPr>
          <c:invertIfNegative val="0"/>
          <c:cat>
            <c:strRef>
              <c:f>月度数据!$B$33:$M$33</c:f>
              <c:strCache>
                <c:ptCount val="12"/>
                <c:pt idx="0">
                  <c:v>2013</c:v>
                </c:pt>
                <c:pt idx="1">
                  <c:v>2014</c:v>
                </c:pt>
                <c:pt idx="2">
                  <c:v>2015</c:v>
                </c:pt>
                <c:pt idx="3">
                  <c:v>2016</c:v>
                </c:pt>
                <c:pt idx="4">
                  <c:v>2017</c:v>
                </c:pt>
                <c:pt idx="5">
                  <c:v>2018</c:v>
                </c:pt>
                <c:pt idx="6">
                  <c:v>2019</c:v>
                </c:pt>
                <c:pt idx="7">
                  <c:v>2020</c:v>
                </c:pt>
                <c:pt idx="8">
                  <c:v>2021</c:v>
                </c:pt>
                <c:pt idx="9">
                  <c:v>2022</c:v>
                </c:pt>
                <c:pt idx="10">
                  <c:v>2023</c:v>
                </c:pt>
                <c:pt idx="11">
                  <c:v>2024年截至8月份</c:v>
                </c:pt>
              </c:strCache>
            </c:strRef>
          </c:cat>
          <c:val>
            <c:numRef>
              <c:f>月度数据!$B$34:$M$34</c:f>
              <c:numCache>
                <c:formatCode>General</c:formatCode>
                <c:ptCount val="12"/>
                <c:pt idx="0">
                  <c:v>21362.399999999998</c:v>
                </c:pt>
                <c:pt idx="1">
                  <c:v>23445.8</c:v>
                </c:pt>
                <c:pt idx="2">
                  <c:v>27230.9</c:v>
                </c:pt>
                <c:pt idx="3">
                  <c:v>30147.699999999997</c:v>
                </c:pt>
                <c:pt idx="4">
                  <c:v>33392.5</c:v>
                </c:pt>
                <c:pt idx="5">
                  <c:v>36103.199999999997</c:v>
                </c:pt>
                <c:pt idx="6">
                  <c:v>39469.399999999994</c:v>
                </c:pt>
                <c:pt idx="7">
                  <c:v>35332.9</c:v>
                </c:pt>
                <c:pt idx="8">
                  <c:v>39809.5</c:v>
                </c:pt>
                <c:pt idx="9">
                  <c:v>36223.1</c:v>
                </c:pt>
                <c:pt idx="10">
                  <c:v>44460.4</c:v>
                </c:pt>
                <c:pt idx="11">
                  <c:v>25516.399999999998</c:v>
                </c:pt>
              </c:numCache>
            </c:numRef>
          </c:val>
          <c:extLst>
            <c:ext xmlns:c16="http://schemas.microsoft.com/office/drawing/2014/chart" uri="{C3380CC4-5D6E-409C-BE32-E72D297353CC}">
              <c16:uniqueId val="{00000000-D6C9-4BD0-8C56-94A18BA665C8}"/>
            </c:ext>
          </c:extLst>
        </c:ser>
        <c:dLbls>
          <c:showLegendKey val="0"/>
          <c:showVal val="0"/>
          <c:showCatName val="0"/>
          <c:showSerName val="0"/>
          <c:showPercent val="0"/>
          <c:showBubbleSize val="0"/>
        </c:dLbls>
        <c:gapWidth val="219"/>
        <c:overlap val="-27"/>
        <c:axId val="1675824624"/>
        <c:axId val="1675821264"/>
      </c:barChart>
      <c:lineChart>
        <c:grouping val="standard"/>
        <c:varyColors val="0"/>
        <c:ser>
          <c:idx val="1"/>
          <c:order val="1"/>
          <c:tx>
            <c:strRef>
              <c:f>月度数据!$A$35</c:f>
              <c:strCache>
                <c:ptCount val="1"/>
                <c:pt idx="0">
                  <c:v>餐饮收入当期同比</c:v>
                </c:pt>
              </c:strCache>
            </c:strRef>
          </c:tx>
          <c:spPr>
            <a:ln w="28575" cap="rnd">
              <a:solidFill>
                <a:schemeClr val="accent2"/>
              </a:solidFill>
              <a:round/>
            </a:ln>
            <a:effectLst/>
          </c:spPr>
          <c:marker>
            <c:symbol val="none"/>
          </c:marker>
          <c:dLbls>
            <c:dLbl>
              <c:idx val="11"/>
              <c:layout>
                <c:manualLayout>
                  <c:x val="-2.2222222222222324E-2"/>
                  <c:y val="-5.55555555555555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6C9-4BD0-8C56-94A18BA665C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accent2"/>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月度数据!$B$33:$M$33</c:f>
              <c:strCache>
                <c:ptCount val="12"/>
                <c:pt idx="0">
                  <c:v>2013</c:v>
                </c:pt>
                <c:pt idx="1">
                  <c:v>2014</c:v>
                </c:pt>
                <c:pt idx="2">
                  <c:v>2015</c:v>
                </c:pt>
                <c:pt idx="3">
                  <c:v>2016</c:v>
                </c:pt>
                <c:pt idx="4">
                  <c:v>2017</c:v>
                </c:pt>
                <c:pt idx="5">
                  <c:v>2018</c:v>
                </c:pt>
                <c:pt idx="6">
                  <c:v>2019</c:v>
                </c:pt>
                <c:pt idx="7">
                  <c:v>2020</c:v>
                </c:pt>
                <c:pt idx="8">
                  <c:v>2021</c:v>
                </c:pt>
                <c:pt idx="9">
                  <c:v>2022</c:v>
                </c:pt>
                <c:pt idx="10">
                  <c:v>2023</c:v>
                </c:pt>
                <c:pt idx="11">
                  <c:v>2024年截至8月份</c:v>
                </c:pt>
              </c:strCache>
            </c:strRef>
          </c:cat>
          <c:val>
            <c:numRef>
              <c:f>月度数据!$B$35:$M$35</c:f>
              <c:numCache>
                <c:formatCode>0.00%</c:formatCode>
                <c:ptCount val="12"/>
                <c:pt idx="1">
                  <c:v>9.7526495150357606E-2</c:v>
                </c:pt>
                <c:pt idx="2">
                  <c:v>0.16144042856289831</c:v>
                </c:pt>
                <c:pt idx="3">
                  <c:v>0.10711360990639296</c:v>
                </c:pt>
                <c:pt idx="4">
                  <c:v>0.10763010113541016</c:v>
                </c:pt>
                <c:pt idx="5">
                  <c:v>8.1176910983005168E-2</c:v>
                </c:pt>
                <c:pt idx="6">
                  <c:v>9.3238272507700115E-2</c:v>
                </c:pt>
                <c:pt idx="7">
                  <c:v>-0.10480270792056612</c:v>
                </c:pt>
                <c:pt idx="8">
                  <c:v>0.12669778025579559</c:v>
                </c:pt>
                <c:pt idx="9">
                  <c:v>-9.0089049096321316E-2</c:v>
                </c:pt>
                <c:pt idx="10">
                  <c:v>0.22740461197412709</c:v>
                </c:pt>
                <c:pt idx="11">
                  <c:v>4.6225757513633114E-2</c:v>
                </c:pt>
              </c:numCache>
            </c:numRef>
          </c:val>
          <c:smooth val="0"/>
          <c:extLst>
            <c:ext xmlns:c16="http://schemas.microsoft.com/office/drawing/2014/chart" uri="{C3380CC4-5D6E-409C-BE32-E72D297353CC}">
              <c16:uniqueId val="{00000002-D6C9-4BD0-8C56-94A18BA665C8}"/>
            </c:ext>
          </c:extLst>
        </c:ser>
        <c:dLbls>
          <c:showLegendKey val="0"/>
          <c:showVal val="0"/>
          <c:showCatName val="0"/>
          <c:showSerName val="0"/>
          <c:showPercent val="0"/>
          <c:showBubbleSize val="0"/>
        </c:dLbls>
        <c:marker val="1"/>
        <c:smooth val="0"/>
        <c:axId val="1683870752"/>
        <c:axId val="1683868352"/>
      </c:lineChart>
      <c:catAx>
        <c:axId val="1675824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75821264"/>
        <c:crosses val="autoZero"/>
        <c:auto val="1"/>
        <c:lblAlgn val="ctr"/>
        <c:lblOffset val="100"/>
        <c:noMultiLvlLbl val="0"/>
      </c:catAx>
      <c:valAx>
        <c:axId val="1675821264"/>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ea"/>
                    <a:ea typeface="+mj-ea"/>
                    <a:cs typeface="+mn-cs"/>
                  </a:defRPr>
                </a:pPr>
                <a:r>
                  <a:rPr lang="zh-TW" altLang="en-US" sz="1000" b="0" i="0" u="none" strike="noStrike" kern="1200" baseline="0">
                    <a:solidFill>
                      <a:sysClr val="windowText" lastClr="000000">
                        <a:lumMod val="65000"/>
                        <a:lumOff val="35000"/>
                      </a:sysClr>
                    </a:solidFill>
                    <a:latin typeface="+mj-ea"/>
                    <a:ea typeface="+mj-ea"/>
                    <a:cs typeface="+mn-cs"/>
                  </a:rPr>
                  <a:t>收入</a:t>
                </a:r>
                <a:r>
                  <a:rPr lang="en-US" altLang="zh-CN" sz="1000" b="0" i="0" u="none" strike="noStrike" kern="1200" baseline="0">
                    <a:solidFill>
                      <a:sysClr val="windowText" lastClr="000000">
                        <a:lumMod val="65000"/>
                        <a:lumOff val="35000"/>
                      </a:sysClr>
                    </a:solidFill>
                    <a:latin typeface="+mj-ea"/>
                    <a:ea typeface="+mj-ea"/>
                    <a:cs typeface="+mn-cs"/>
                  </a:rPr>
                  <a:t>(</a:t>
                </a:r>
                <a:r>
                  <a:rPr lang="zh-TW" altLang="en-US" sz="1000" b="0" i="0" u="none" strike="noStrike" kern="1200" baseline="0">
                    <a:solidFill>
                      <a:sysClr val="windowText" lastClr="000000">
                        <a:lumMod val="65000"/>
                        <a:lumOff val="35000"/>
                      </a:sysClr>
                    </a:solidFill>
                    <a:latin typeface="+mj-ea"/>
                    <a:ea typeface="+mj-ea"/>
                    <a:cs typeface="+mn-cs"/>
                  </a:rPr>
                  <a:t>億元</a:t>
                </a:r>
                <a:r>
                  <a:rPr lang="en-US" altLang="zh-CN" sz="1000" b="0" i="0" u="none" strike="noStrike" kern="1200" baseline="0">
                    <a:solidFill>
                      <a:sysClr val="windowText" lastClr="000000">
                        <a:lumMod val="65000"/>
                        <a:lumOff val="35000"/>
                      </a:sysClr>
                    </a:solidFill>
                    <a:latin typeface="+mj-ea"/>
                    <a:ea typeface="+mj-ea"/>
                    <a:cs typeface="+mn-cs"/>
                  </a:rPr>
                  <a:t>)</a:t>
                </a:r>
                <a:endParaRPr lang="zh-CN" altLang="en-US">
                  <a:latin typeface="+mj-ea"/>
                  <a:ea typeface="+mj-ea"/>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ea"/>
                  <a:ea typeface="+mj-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75824624"/>
        <c:crosses val="autoZero"/>
        <c:crossBetween val="between"/>
      </c:valAx>
      <c:valAx>
        <c:axId val="1683868352"/>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sz="1000" b="0" i="0" u="none" strike="noStrike" kern="1200" baseline="0">
                    <a:solidFill>
                      <a:sysClr val="windowText" lastClr="000000">
                        <a:lumMod val="65000"/>
                        <a:lumOff val="35000"/>
                      </a:sysClr>
                    </a:solidFill>
                    <a:latin typeface="+mn-lt"/>
                    <a:ea typeface="+mn-ea"/>
                    <a:cs typeface="+mn-cs"/>
                  </a:rPr>
                  <a:t>同比</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3870752"/>
        <c:crosses val="max"/>
        <c:crossBetween val="between"/>
      </c:valAx>
      <c:catAx>
        <c:axId val="1683870752"/>
        <c:scaling>
          <c:orientation val="minMax"/>
        </c:scaling>
        <c:delete val="1"/>
        <c:axPos val="b"/>
        <c:numFmt formatCode="General" sourceLinked="1"/>
        <c:majorTickMark val="out"/>
        <c:minorTickMark val="none"/>
        <c:tickLblPos val="nextTo"/>
        <c:crossAx val="168386835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整理!$A$32</c:f>
              <c:strCache>
                <c:ptCount val="1"/>
                <c:pt idx="0">
                  <c:v>權益回報率</c:v>
                </c:pt>
              </c:strCache>
            </c:strRef>
          </c:tx>
          <c:spPr>
            <a:ln w="28575" cap="rnd">
              <a:solidFill>
                <a:schemeClr val="accent1"/>
              </a:solidFill>
              <a:round/>
            </a:ln>
            <a:effectLst/>
          </c:spPr>
          <c:marker>
            <c:symbol val="none"/>
          </c:marker>
          <c:dLbls>
            <c:dLbl>
              <c:idx val="5"/>
              <c:tx>
                <c:rich>
                  <a:bodyPr/>
                  <a:lstStyle/>
                  <a:p>
                    <a:fld id="{6C0C2140-45A2-4772-A5A8-225E329C2135}" type="VALUE">
                      <a:rPr lang="en-US" altLang="zh-CN"/>
                      <a:pPr/>
                      <a:t>[值]</a:t>
                    </a:fld>
                    <a:r>
                      <a:rPr lang="en-US" altLang="zh-CN"/>
                      <a:t>(</a:t>
                    </a:r>
                    <a:r>
                      <a:rPr lang="zh-CN" altLang="en-US"/>
                      <a:t>半年</a:t>
                    </a:r>
                    <a:r>
                      <a:rPr lang="en-US" altLang="zh-CN"/>
                      <a:t>)</a:t>
                    </a:r>
                  </a:p>
                </c:rich>
              </c:tx>
              <c:dLblPos val="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0518-4C97-94D9-9C6B26B8E65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整理!$C$27:$H$27</c:f>
              <c:strCache>
                <c:ptCount val="6"/>
                <c:pt idx="0">
                  <c:v>2019-12-31</c:v>
                </c:pt>
                <c:pt idx="1">
                  <c:v>2020-12-31</c:v>
                </c:pt>
                <c:pt idx="2">
                  <c:v>2021-12-31</c:v>
                </c:pt>
                <c:pt idx="3">
                  <c:v>2022-12-31</c:v>
                </c:pt>
                <c:pt idx="4">
                  <c:v>2023-12-31</c:v>
                </c:pt>
                <c:pt idx="5">
                  <c:v>2024-06-30</c:v>
                </c:pt>
              </c:strCache>
              <c:extLst/>
            </c:strRef>
          </c:cat>
          <c:val>
            <c:numRef>
              <c:f>整理!$C$32:$H$32</c:f>
              <c:numCache>
                <c:formatCode>0.00%</c:formatCode>
                <c:ptCount val="6"/>
                <c:pt idx="0">
                  <c:v>0.22086906750618976</c:v>
                </c:pt>
                <c:pt idx="1">
                  <c:v>3.0237198281024079E-2</c:v>
                </c:pt>
                <c:pt idx="2">
                  <c:v>-0.52483324662220754</c:v>
                </c:pt>
                <c:pt idx="3">
                  <c:v>0.18417369313576065</c:v>
                </c:pt>
                <c:pt idx="4">
                  <c:v>0.39032928885624135</c:v>
                </c:pt>
                <c:pt idx="5">
                  <c:v>0.21313222134897999</c:v>
                </c:pt>
              </c:numCache>
              <c:extLst/>
            </c:numRef>
          </c:val>
          <c:smooth val="0"/>
          <c:extLst>
            <c:ext xmlns:c16="http://schemas.microsoft.com/office/drawing/2014/chart" uri="{C3380CC4-5D6E-409C-BE32-E72D297353CC}">
              <c16:uniqueId val="{00000000-0518-4C97-94D9-9C6B26B8E656}"/>
            </c:ext>
          </c:extLst>
        </c:ser>
        <c:dLbls>
          <c:dLblPos val="t"/>
          <c:showLegendKey val="0"/>
          <c:showVal val="1"/>
          <c:showCatName val="0"/>
          <c:showSerName val="0"/>
          <c:showPercent val="0"/>
          <c:showBubbleSize val="0"/>
        </c:dLbls>
        <c:smooth val="0"/>
        <c:axId val="1069916720"/>
        <c:axId val="1069917200"/>
      </c:lineChart>
      <c:catAx>
        <c:axId val="1069916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69917200"/>
        <c:crosses val="autoZero"/>
        <c:auto val="1"/>
        <c:lblAlgn val="ctr"/>
        <c:lblOffset val="100"/>
        <c:noMultiLvlLbl val="0"/>
      </c:catAx>
      <c:valAx>
        <c:axId val="1069917200"/>
        <c:scaling>
          <c:orientation val="minMax"/>
        </c:scaling>
        <c:delete val="0"/>
        <c:axPos val="l"/>
        <c:majorGridlines>
          <c:spPr>
            <a:ln w="9525" cap="flat" cmpd="sng" algn="ctr">
              <a:no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699167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海底撈營業收入及利潤</a:t>
            </a:r>
            <a:r>
              <a:rPr lang="en-US" altLang="zh-CN"/>
              <a:t>(</a:t>
            </a:r>
            <a:r>
              <a:rPr lang="zh-CN" altLang="en-US"/>
              <a:t>億元</a:t>
            </a:r>
            <a:r>
              <a:rPr lang="en-US" altLang="zh-CN"/>
              <a:t>)</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整理!$I$115</c:f>
              <c:strCache>
                <c:ptCount val="1"/>
                <c:pt idx="0">
                  <c:v>營業收入</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整理!$J$114:$K$114</c:f>
              <c:strCache>
                <c:ptCount val="2"/>
                <c:pt idx="0">
                  <c:v>2023/6/30</c:v>
                </c:pt>
                <c:pt idx="1">
                  <c:v>2024-06-30</c:v>
                </c:pt>
              </c:strCache>
            </c:strRef>
          </c:cat>
          <c:val>
            <c:numRef>
              <c:f>整理!$J$115:$K$115</c:f>
              <c:numCache>
                <c:formatCode>###,##0.0</c:formatCode>
                <c:ptCount val="2"/>
                <c:pt idx="0">
                  <c:v>188.85854</c:v>
                </c:pt>
                <c:pt idx="1">
                  <c:v>214.90903</c:v>
                </c:pt>
              </c:numCache>
            </c:numRef>
          </c:val>
          <c:extLst>
            <c:ext xmlns:c16="http://schemas.microsoft.com/office/drawing/2014/chart" uri="{C3380CC4-5D6E-409C-BE32-E72D297353CC}">
              <c16:uniqueId val="{00000000-4F3C-4B4A-AC46-26C97D24780A}"/>
            </c:ext>
          </c:extLst>
        </c:ser>
        <c:ser>
          <c:idx val="1"/>
          <c:order val="1"/>
          <c:tx>
            <c:strRef>
              <c:f>整理!$I$116</c:f>
              <c:strCache>
                <c:ptCount val="1"/>
                <c:pt idx="0">
                  <c:v>淨利潤</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整理!$J$114:$K$114</c:f>
              <c:strCache>
                <c:ptCount val="2"/>
                <c:pt idx="0">
                  <c:v>2023/6/30</c:v>
                </c:pt>
                <c:pt idx="1">
                  <c:v>2024-06-30</c:v>
                </c:pt>
              </c:strCache>
            </c:strRef>
          </c:cat>
          <c:val>
            <c:numRef>
              <c:f>整理!$J$116:$K$116</c:f>
              <c:numCache>
                <c:formatCode>###,##0.0</c:formatCode>
                <c:ptCount val="2"/>
                <c:pt idx="0">
                  <c:v>23.81598</c:v>
                </c:pt>
                <c:pt idx="1">
                  <c:v>20.83229</c:v>
                </c:pt>
              </c:numCache>
            </c:numRef>
          </c:val>
          <c:extLst>
            <c:ext xmlns:c16="http://schemas.microsoft.com/office/drawing/2014/chart" uri="{C3380CC4-5D6E-409C-BE32-E72D297353CC}">
              <c16:uniqueId val="{00000001-4F3C-4B4A-AC46-26C97D24780A}"/>
            </c:ext>
          </c:extLst>
        </c:ser>
        <c:dLbls>
          <c:dLblPos val="outEnd"/>
          <c:showLegendKey val="0"/>
          <c:showVal val="1"/>
          <c:showCatName val="0"/>
          <c:showSerName val="0"/>
          <c:showPercent val="0"/>
          <c:showBubbleSize val="0"/>
        </c:dLbls>
        <c:gapWidth val="219"/>
        <c:overlap val="-27"/>
        <c:axId val="983466096"/>
        <c:axId val="983470896"/>
      </c:barChart>
      <c:catAx>
        <c:axId val="983466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83470896"/>
        <c:crosses val="autoZero"/>
        <c:auto val="1"/>
        <c:lblAlgn val="ctr"/>
        <c:lblOffset val="100"/>
        <c:noMultiLvlLbl val="0"/>
      </c:catAx>
      <c:valAx>
        <c:axId val="983470896"/>
        <c:scaling>
          <c:orientation val="minMax"/>
          <c:max val="300"/>
        </c:scaling>
        <c:delete val="0"/>
        <c:axPos val="l"/>
        <c:majorGridlines>
          <c:spPr>
            <a:ln w="9525" cap="flat" cmpd="sng" algn="ctr">
              <a:no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83466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TW" altLang="en-US" sz="1400" b="0" i="0" u="none" strike="noStrike" kern="1200" spc="0" baseline="0">
                <a:solidFill>
                  <a:sysClr val="windowText" lastClr="000000">
                    <a:lumMod val="65000"/>
                    <a:lumOff val="35000"/>
                  </a:sysClr>
                </a:solidFill>
                <a:latin typeface="+mn-lt"/>
                <a:ea typeface="+mn-ea"/>
                <a:cs typeface="+mn-cs"/>
              </a:rPr>
              <a:t>職工薪酬佔營業收入比例</a:t>
            </a:r>
            <a:endParaRPr lang="zh-CN" altLang="en-US"/>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整理!$A$132</c:f>
              <c:strCache>
                <c:ptCount val="1"/>
                <c:pt idx="0">
                  <c:v>海底撈</c:v>
                </c:pt>
              </c:strCache>
            </c:strRef>
          </c:tx>
          <c:spPr>
            <a:ln w="28575" cap="rnd">
              <a:solidFill>
                <a:schemeClr val="accent1"/>
              </a:solidFill>
              <a:round/>
            </a:ln>
            <a:effectLst/>
          </c:spPr>
          <c:marker>
            <c:symbol val="none"/>
          </c:marker>
          <c:dLbls>
            <c:dLbl>
              <c:idx val="9"/>
              <c:layout>
                <c:manualLayout>
                  <c:x val="-2.21949411392201E-2"/>
                  <c:y val="2.6728005120705198E-2"/>
                </c:manualLayout>
              </c:layout>
              <c:tx>
                <c:rich>
                  <a:bodyPr/>
                  <a:lstStyle/>
                  <a:p>
                    <a:r>
                      <a:rPr lang="en-US" altLang="zh-CN" sz="900" b="0" i="0" u="none" strike="noStrike" kern="1200" baseline="0">
                        <a:solidFill>
                          <a:sysClr val="windowText" lastClr="000000">
                            <a:lumMod val="75000"/>
                            <a:lumOff val="25000"/>
                          </a:sysClr>
                        </a:solidFill>
                        <a:latin typeface="+mn-lt"/>
                        <a:ea typeface="+mn-ea"/>
                        <a:cs typeface="+mn-cs"/>
                      </a:rPr>
                      <a:t>33.30%</a:t>
                    </a:r>
                    <a:endParaRPr lang="en-US" altLang="zh-CN"/>
                  </a:p>
                </c:rich>
              </c:tx>
              <c:dLblPos val="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654E-43BC-9803-6796A071F17F}"/>
                </c:ext>
              </c:extLst>
            </c:dLbl>
            <c:numFmt formatCode="0.00%" sourceLinked="0"/>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整理!$B$129:$K$129</c:f>
              <c:strCache>
                <c:ptCount val="10"/>
                <c:pt idx="0">
                  <c:v>2015-12-31</c:v>
                </c:pt>
                <c:pt idx="1">
                  <c:v>2016-12-31</c:v>
                </c:pt>
                <c:pt idx="2">
                  <c:v>2017-12-31</c:v>
                </c:pt>
                <c:pt idx="3">
                  <c:v>2018-12-31</c:v>
                </c:pt>
                <c:pt idx="4">
                  <c:v>2019-12-31</c:v>
                </c:pt>
                <c:pt idx="5">
                  <c:v>2020-12-31</c:v>
                </c:pt>
                <c:pt idx="6">
                  <c:v>2021-12-31</c:v>
                </c:pt>
                <c:pt idx="7">
                  <c:v>2022-12-31</c:v>
                </c:pt>
                <c:pt idx="8">
                  <c:v>2023-12-31</c:v>
                </c:pt>
                <c:pt idx="9">
                  <c:v>2024-06-30</c:v>
                </c:pt>
              </c:strCache>
            </c:strRef>
          </c:cat>
          <c:val>
            <c:numRef>
              <c:f>整理!$B$132:$K$132</c:f>
              <c:numCache>
                <c:formatCode>General</c:formatCode>
                <c:ptCount val="10"/>
                <c:pt idx="0">
                  <c:v>0.27305260217604499</c:v>
                </c:pt>
                <c:pt idx="1">
                  <c:v>0.26183071399131602</c:v>
                </c:pt>
                <c:pt idx="2">
                  <c:v>0.29328279984243899</c:v>
                </c:pt>
                <c:pt idx="3">
                  <c:v>0.29561502967157999</c:v>
                </c:pt>
                <c:pt idx="4">
                  <c:v>0.30097219469108699</c:v>
                </c:pt>
                <c:pt idx="5">
                  <c:v>0.338170957098132</c:v>
                </c:pt>
                <c:pt idx="6">
                  <c:v>0.361815845562316</c:v>
                </c:pt>
                <c:pt idx="7">
                  <c:v>0.32990366135313798</c:v>
                </c:pt>
                <c:pt idx="8">
                  <c:v>0.31456672691431298</c:v>
                </c:pt>
                <c:pt idx="9">
                  <c:v>0.332966325333096</c:v>
                </c:pt>
              </c:numCache>
            </c:numRef>
          </c:val>
          <c:smooth val="0"/>
          <c:extLst>
            <c:ext xmlns:c16="http://schemas.microsoft.com/office/drawing/2014/chart" uri="{C3380CC4-5D6E-409C-BE32-E72D297353CC}">
              <c16:uniqueId val="{00000001-654E-43BC-9803-6796A071F17F}"/>
            </c:ext>
          </c:extLst>
        </c:ser>
        <c:ser>
          <c:idx val="1"/>
          <c:order val="1"/>
          <c:tx>
            <c:strRef>
              <c:f>整理!$A$133</c:f>
              <c:strCache>
                <c:ptCount val="1"/>
                <c:pt idx="0">
                  <c:v>九毛九</c:v>
                </c:pt>
              </c:strCache>
            </c:strRef>
          </c:tx>
          <c:spPr>
            <a:ln w="28575" cap="rnd">
              <a:solidFill>
                <a:schemeClr val="accent2"/>
              </a:solidFill>
              <a:round/>
            </a:ln>
            <a:effectLst/>
          </c:spPr>
          <c:marker>
            <c:symbol val="none"/>
          </c:marker>
          <c:cat>
            <c:strRef>
              <c:f>整理!$B$129:$K$129</c:f>
              <c:strCache>
                <c:ptCount val="10"/>
                <c:pt idx="0">
                  <c:v>2015-12-31</c:v>
                </c:pt>
                <c:pt idx="1">
                  <c:v>2016-12-31</c:v>
                </c:pt>
                <c:pt idx="2">
                  <c:v>2017-12-31</c:v>
                </c:pt>
                <c:pt idx="3">
                  <c:v>2018-12-31</c:v>
                </c:pt>
                <c:pt idx="4">
                  <c:v>2019-12-31</c:v>
                </c:pt>
                <c:pt idx="5">
                  <c:v>2020-12-31</c:v>
                </c:pt>
                <c:pt idx="6">
                  <c:v>2021-12-31</c:v>
                </c:pt>
                <c:pt idx="7">
                  <c:v>2022-12-31</c:v>
                </c:pt>
                <c:pt idx="8">
                  <c:v>2023-12-31</c:v>
                </c:pt>
                <c:pt idx="9">
                  <c:v>2024-06-30</c:v>
                </c:pt>
              </c:strCache>
            </c:strRef>
          </c:cat>
          <c:val>
            <c:numRef>
              <c:f>整理!$B$133:$K$133</c:f>
              <c:numCache>
                <c:formatCode>General</c:formatCode>
                <c:ptCount val="10"/>
                <c:pt idx="1">
                  <c:v>0.28147492828062498</c:v>
                </c:pt>
                <c:pt idx="2">
                  <c:v>0.27241726677466299</c:v>
                </c:pt>
                <c:pt idx="3">
                  <c:v>0.27656089855348098</c:v>
                </c:pt>
                <c:pt idx="4">
                  <c:v>0.25926491000226998</c:v>
                </c:pt>
                <c:pt idx="5">
                  <c:v>0.27546844553802602</c:v>
                </c:pt>
                <c:pt idx="6">
                  <c:v>0.25285786061200599</c:v>
                </c:pt>
                <c:pt idx="7">
                  <c:v>0.28306022387985202</c:v>
                </c:pt>
                <c:pt idx="8">
                  <c:v>0.25795835177961401</c:v>
                </c:pt>
                <c:pt idx="9">
                  <c:v>0.29177313713396202</c:v>
                </c:pt>
              </c:numCache>
            </c:numRef>
          </c:val>
          <c:smooth val="0"/>
          <c:extLst>
            <c:ext xmlns:c16="http://schemas.microsoft.com/office/drawing/2014/chart" uri="{C3380CC4-5D6E-409C-BE32-E72D297353CC}">
              <c16:uniqueId val="{00000002-654E-43BC-9803-6796A071F17F}"/>
            </c:ext>
          </c:extLst>
        </c:ser>
        <c:ser>
          <c:idx val="2"/>
          <c:order val="2"/>
          <c:tx>
            <c:strRef>
              <c:f>整理!$A$134</c:f>
              <c:strCache>
                <c:ptCount val="1"/>
                <c:pt idx="0">
                  <c:v>呷哺呷哺</c:v>
                </c:pt>
              </c:strCache>
            </c:strRef>
          </c:tx>
          <c:spPr>
            <a:ln w="28575" cap="rnd">
              <a:solidFill>
                <a:srgbClr val="FFC000"/>
              </a:solidFill>
              <a:round/>
            </a:ln>
            <a:effectLst/>
          </c:spPr>
          <c:marker>
            <c:symbol val="none"/>
          </c:marker>
          <c:cat>
            <c:strRef>
              <c:f>整理!$B$129:$K$129</c:f>
              <c:strCache>
                <c:ptCount val="10"/>
                <c:pt idx="0">
                  <c:v>2015-12-31</c:v>
                </c:pt>
                <c:pt idx="1">
                  <c:v>2016-12-31</c:v>
                </c:pt>
                <c:pt idx="2">
                  <c:v>2017-12-31</c:v>
                </c:pt>
                <c:pt idx="3">
                  <c:v>2018-12-31</c:v>
                </c:pt>
                <c:pt idx="4">
                  <c:v>2019-12-31</c:v>
                </c:pt>
                <c:pt idx="5">
                  <c:v>2020-12-31</c:v>
                </c:pt>
                <c:pt idx="6">
                  <c:v>2021-12-31</c:v>
                </c:pt>
                <c:pt idx="7">
                  <c:v>2022-12-31</c:v>
                </c:pt>
                <c:pt idx="8">
                  <c:v>2023-12-31</c:v>
                </c:pt>
                <c:pt idx="9">
                  <c:v>2024-06-30</c:v>
                </c:pt>
              </c:strCache>
            </c:strRef>
          </c:cat>
          <c:val>
            <c:numRef>
              <c:f>整理!$B$134:$K$134</c:f>
              <c:numCache>
                <c:formatCode>General</c:formatCode>
                <c:ptCount val="10"/>
                <c:pt idx="0">
                  <c:v>0.22394566371868199</c:v>
                </c:pt>
                <c:pt idx="1">
                  <c:v>0.236375495373841</c:v>
                </c:pt>
                <c:pt idx="2">
                  <c:v>0.22744748701803699</c:v>
                </c:pt>
                <c:pt idx="3">
                  <c:v>0.246693760992548</c:v>
                </c:pt>
                <c:pt idx="4">
                  <c:v>0.25610385254762702</c:v>
                </c:pt>
                <c:pt idx="5">
                  <c:v>0.270958633201548</c:v>
                </c:pt>
                <c:pt idx="6">
                  <c:v>0.297647472934436</c:v>
                </c:pt>
                <c:pt idx="7">
                  <c:v>0.32880372091596199</c:v>
                </c:pt>
                <c:pt idx="8">
                  <c:v>0.31478606989038499</c:v>
                </c:pt>
                <c:pt idx="9">
                  <c:v>0.33999894760910498</c:v>
                </c:pt>
              </c:numCache>
            </c:numRef>
          </c:val>
          <c:smooth val="0"/>
          <c:extLst>
            <c:ext xmlns:c16="http://schemas.microsoft.com/office/drawing/2014/chart" uri="{C3380CC4-5D6E-409C-BE32-E72D297353CC}">
              <c16:uniqueId val="{00000003-654E-43BC-9803-6796A071F17F}"/>
            </c:ext>
          </c:extLst>
        </c:ser>
        <c:dLbls>
          <c:showLegendKey val="0"/>
          <c:showVal val="0"/>
          <c:showCatName val="0"/>
          <c:showSerName val="0"/>
          <c:showPercent val="0"/>
          <c:showBubbleSize val="0"/>
        </c:dLbls>
        <c:smooth val="0"/>
        <c:axId val="370029376"/>
        <c:axId val="370046656"/>
      </c:lineChart>
      <c:catAx>
        <c:axId val="370029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vert="eaVert"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70046656"/>
        <c:crosses val="autoZero"/>
        <c:auto val="1"/>
        <c:lblAlgn val="ctr"/>
        <c:lblOffset val="100"/>
        <c:noMultiLvlLbl val="0"/>
      </c:catAx>
      <c:valAx>
        <c:axId val="370046656"/>
        <c:scaling>
          <c:orientation val="minMax"/>
          <c:min val="0.2"/>
        </c:scaling>
        <c:delete val="0"/>
        <c:axPos val="l"/>
        <c:majorGridlines>
          <c:spPr>
            <a:ln w="9525" cap="flat" cmpd="sng" algn="ctr">
              <a:no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70029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營業收入同比增速（剔除疫情期間）</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整理!$A$108</c:f>
              <c:strCache>
                <c:ptCount val="1"/>
                <c:pt idx="0">
                  <c:v>营业收入同比</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(整理!$C$105:$F$105,整理!$J$105:$K$105)</c:f>
              <c:strCache>
                <c:ptCount val="6"/>
                <c:pt idx="0">
                  <c:v>2016-12-31</c:v>
                </c:pt>
                <c:pt idx="1">
                  <c:v>2017-12-31</c:v>
                </c:pt>
                <c:pt idx="2">
                  <c:v>2018-12-31</c:v>
                </c:pt>
                <c:pt idx="3">
                  <c:v>2019-12-31</c:v>
                </c:pt>
                <c:pt idx="4">
                  <c:v>2023-12-31</c:v>
                </c:pt>
                <c:pt idx="5">
                  <c:v>2024-06-30</c:v>
                </c:pt>
              </c:strCache>
            </c:strRef>
          </c:cat>
          <c:val>
            <c:numRef>
              <c:f>(整理!$C$108:$F$108,整理!$J$108:$K$108)</c:f>
              <c:numCache>
                <c:formatCode>0.00%</c:formatCode>
                <c:ptCount val="6"/>
                <c:pt idx="0">
                  <c:v>0.35628231679290256</c:v>
                </c:pt>
                <c:pt idx="1">
                  <c:v>0.36239725829138109</c:v>
                </c:pt>
                <c:pt idx="2">
                  <c:v>0.59526452994546486</c:v>
                </c:pt>
                <c:pt idx="3">
                  <c:v>0.56494993841747643</c:v>
                </c:pt>
                <c:pt idx="4">
                  <c:v>0.33554034626652707</c:v>
                </c:pt>
                <c:pt idx="5">
                  <c:v>0.13793652116552413</c:v>
                </c:pt>
              </c:numCache>
            </c:numRef>
          </c:val>
          <c:extLst>
            <c:ext xmlns:c16="http://schemas.microsoft.com/office/drawing/2014/chart" uri="{C3380CC4-5D6E-409C-BE32-E72D297353CC}">
              <c16:uniqueId val="{00000000-7242-4950-A651-48629F481641}"/>
            </c:ext>
          </c:extLst>
        </c:ser>
        <c:dLbls>
          <c:showLegendKey val="0"/>
          <c:showVal val="0"/>
          <c:showCatName val="0"/>
          <c:showSerName val="0"/>
          <c:showPercent val="0"/>
          <c:showBubbleSize val="0"/>
        </c:dLbls>
        <c:gapWidth val="150"/>
        <c:axId val="946035263"/>
        <c:axId val="946041503"/>
      </c:barChart>
      <c:catAx>
        <c:axId val="946035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46041503"/>
        <c:crosses val="autoZero"/>
        <c:auto val="1"/>
        <c:lblAlgn val="ctr"/>
        <c:lblOffset val="100"/>
        <c:noMultiLvlLbl val="0"/>
      </c:catAx>
      <c:valAx>
        <c:axId val="946041503"/>
        <c:scaling>
          <c:orientation val="minMax"/>
        </c:scaling>
        <c:delete val="0"/>
        <c:axPos val="l"/>
        <c:majorGridlines>
          <c:spPr>
            <a:ln w="9525" cap="flat" cmpd="sng" algn="ctr">
              <a:no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4603526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門店數量</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翻檯率_門店數量!$A$35</c:f>
              <c:strCache>
                <c:ptCount val="1"/>
                <c:pt idx="0">
                  <c:v>門店數量</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翻檯率_門店數量!$C$34:$H$34</c:f>
              <c:strCache>
                <c:ptCount val="6"/>
                <c:pt idx="0">
                  <c:v>2019</c:v>
                </c:pt>
                <c:pt idx="1">
                  <c:v>2020</c:v>
                </c:pt>
                <c:pt idx="2">
                  <c:v>2021</c:v>
                </c:pt>
                <c:pt idx="3">
                  <c:v>2022</c:v>
                </c:pt>
                <c:pt idx="4">
                  <c:v>2023</c:v>
                </c:pt>
                <c:pt idx="5">
                  <c:v>24H1</c:v>
                </c:pt>
              </c:strCache>
              <c:extLst/>
            </c:strRef>
          </c:cat>
          <c:val>
            <c:numRef>
              <c:f>翻檯率_門店數量!$C$35:$H$35</c:f>
              <c:numCache>
                <c:formatCode>General</c:formatCode>
                <c:ptCount val="6"/>
                <c:pt idx="0">
                  <c:v>768</c:v>
                </c:pt>
                <c:pt idx="1">
                  <c:v>1298</c:v>
                </c:pt>
                <c:pt idx="2">
                  <c:v>1443</c:v>
                </c:pt>
                <c:pt idx="3">
                  <c:v>1371</c:v>
                </c:pt>
                <c:pt idx="4">
                  <c:v>1374</c:v>
                </c:pt>
                <c:pt idx="5">
                  <c:v>1343</c:v>
                </c:pt>
              </c:numCache>
              <c:extLst/>
            </c:numRef>
          </c:val>
          <c:extLst>
            <c:ext xmlns:c16="http://schemas.microsoft.com/office/drawing/2014/chart" uri="{C3380CC4-5D6E-409C-BE32-E72D297353CC}">
              <c16:uniqueId val="{00000000-3A45-4317-B5B7-A4AF1C6854D1}"/>
            </c:ext>
          </c:extLst>
        </c:ser>
        <c:ser>
          <c:idx val="1"/>
          <c:order val="1"/>
          <c:tx>
            <c:strRef>
              <c:f>翻檯率_門店數量!$A$36</c:f>
              <c:strCache>
                <c:ptCount val="1"/>
                <c:pt idx="0">
                  <c:v>大陸門店數量</c:v>
                </c:pt>
              </c:strCache>
            </c:strRef>
          </c:tx>
          <c:spPr>
            <a:solidFill>
              <a:schemeClr val="accent2"/>
            </a:solidFill>
            <a:ln>
              <a:noFill/>
            </a:ln>
            <a:effectLst/>
          </c:spPr>
          <c:invertIfNegative val="0"/>
          <c:cat>
            <c:strRef>
              <c:f>翻檯率_門店數量!$C$34:$H$34</c:f>
              <c:strCache>
                <c:ptCount val="6"/>
                <c:pt idx="0">
                  <c:v>2019</c:v>
                </c:pt>
                <c:pt idx="1">
                  <c:v>2020</c:v>
                </c:pt>
                <c:pt idx="2">
                  <c:v>2021</c:v>
                </c:pt>
                <c:pt idx="3">
                  <c:v>2022</c:v>
                </c:pt>
                <c:pt idx="4">
                  <c:v>2023</c:v>
                </c:pt>
                <c:pt idx="5">
                  <c:v>24H1</c:v>
                </c:pt>
              </c:strCache>
              <c:extLst/>
            </c:strRef>
          </c:cat>
          <c:val>
            <c:numRef>
              <c:f>翻檯率_門店數量!$C$36:$H$36</c:f>
              <c:numCache>
                <c:formatCode>General</c:formatCode>
                <c:ptCount val="6"/>
                <c:pt idx="0">
                  <c:v>716</c:v>
                </c:pt>
                <c:pt idx="1">
                  <c:v>1205</c:v>
                </c:pt>
                <c:pt idx="2">
                  <c:v>1329</c:v>
                </c:pt>
                <c:pt idx="3">
                  <c:v>1349</c:v>
                </c:pt>
                <c:pt idx="4">
                  <c:v>1351</c:v>
                </c:pt>
                <c:pt idx="5">
                  <c:v>1320</c:v>
                </c:pt>
              </c:numCache>
              <c:extLst/>
            </c:numRef>
          </c:val>
          <c:extLst>
            <c:ext xmlns:c16="http://schemas.microsoft.com/office/drawing/2014/chart" uri="{C3380CC4-5D6E-409C-BE32-E72D297353CC}">
              <c16:uniqueId val="{00000001-3A45-4317-B5B7-A4AF1C6854D1}"/>
            </c:ext>
          </c:extLst>
        </c:ser>
        <c:ser>
          <c:idx val="2"/>
          <c:order val="2"/>
          <c:tx>
            <c:strRef>
              <c:f>翻檯率_門店數量!$A$37</c:f>
              <c:strCache>
                <c:ptCount val="1"/>
                <c:pt idx="0">
                  <c:v>海外門店數量</c:v>
                </c:pt>
              </c:strCache>
            </c:strRef>
          </c:tx>
          <c:spPr>
            <a:solidFill>
              <a:schemeClr val="accent3"/>
            </a:solidFill>
            <a:ln>
              <a:noFill/>
            </a:ln>
            <a:effectLst/>
          </c:spPr>
          <c:invertIfNegative val="0"/>
          <c:cat>
            <c:strRef>
              <c:f>翻檯率_門店數量!$C$34:$H$34</c:f>
              <c:strCache>
                <c:ptCount val="6"/>
                <c:pt idx="0">
                  <c:v>2019</c:v>
                </c:pt>
                <c:pt idx="1">
                  <c:v>2020</c:v>
                </c:pt>
                <c:pt idx="2">
                  <c:v>2021</c:v>
                </c:pt>
                <c:pt idx="3">
                  <c:v>2022</c:v>
                </c:pt>
                <c:pt idx="4">
                  <c:v>2023</c:v>
                </c:pt>
                <c:pt idx="5">
                  <c:v>24H1</c:v>
                </c:pt>
              </c:strCache>
              <c:extLst/>
            </c:strRef>
          </c:cat>
          <c:val>
            <c:numRef>
              <c:f>翻檯率_門店數量!$C$37:$H$37</c:f>
              <c:numCache>
                <c:formatCode>General</c:formatCode>
                <c:ptCount val="6"/>
                <c:pt idx="0">
                  <c:v>52</c:v>
                </c:pt>
                <c:pt idx="1">
                  <c:v>93</c:v>
                </c:pt>
                <c:pt idx="2">
                  <c:v>114</c:v>
                </c:pt>
                <c:pt idx="3">
                  <c:v>22</c:v>
                </c:pt>
                <c:pt idx="4">
                  <c:v>23</c:v>
                </c:pt>
                <c:pt idx="5">
                  <c:v>23</c:v>
                </c:pt>
              </c:numCache>
              <c:extLst/>
            </c:numRef>
          </c:val>
          <c:extLst>
            <c:ext xmlns:c16="http://schemas.microsoft.com/office/drawing/2014/chart" uri="{C3380CC4-5D6E-409C-BE32-E72D297353CC}">
              <c16:uniqueId val="{00000002-3A45-4317-B5B7-A4AF1C6854D1}"/>
            </c:ext>
          </c:extLst>
        </c:ser>
        <c:dLbls>
          <c:showLegendKey val="0"/>
          <c:showVal val="0"/>
          <c:showCatName val="0"/>
          <c:showSerName val="0"/>
          <c:showPercent val="0"/>
          <c:showBubbleSize val="0"/>
        </c:dLbls>
        <c:gapWidth val="219"/>
        <c:overlap val="-27"/>
        <c:axId val="979490512"/>
        <c:axId val="979490992"/>
      </c:barChart>
      <c:catAx>
        <c:axId val="979490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79490992"/>
        <c:crosses val="autoZero"/>
        <c:auto val="1"/>
        <c:lblAlgn val="ctr"/>
        <c:lblOffset val="100"/>
        <c:noMultiLvlLbl val="0"/>
      </c:catAx>
      <c:valAx>
        <c:axId val="979490992"/>
        <c:scaling>
          <c:orientation val="minMax"/>
        </c:scaling>
        <c:delete val="0"/>
        <c:axPos val="l"/>
        <c:majorGridlines>
          <c:spPr>
            <a:ln w="9525" cap="flat" cmpd="sng" algn="ctr">
              <a:no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79490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海底撈客單價</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翻檯率等數據!$A$3</c:f>
              <c:strCache>
                <c:ptCount val="1"/>
                <c:pt idx="0">
                  <c:v>人均消費</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翻檯率等數據!$B$1:$I$1</c:f>
              <c:strCache>
                <c:ptCount val="8"/>
                <c:pt idx="0">
                  <c:v>2018年</c:v>
                </c:pt>
                <c:pt idx="1">
                  <c:v>2019年</c:v>
                </c:pt>
                <c:pt idx="2">
                  <c:v>2020年</c:v>
                </c:pt>
                <c:pt idx="3">
                  <c:v>2021年</c:v>
                </c:pt>
                <c:pt idx="4">
                  <c:v>2022年</c:v>
                </c:pt>
                <c:pt idx="5">
                  <c:v>2023年</c:v>
                </c:pt>
                <c:pt idx="6">
                  <c:v>2023H1</c:v>
                </c:pt>
                <c:pt idx="7">
                  <c:v>2024H1</c:v>
                </c:pt>
              </c:strCache>
            </c:strRef>
          </c:cat>
          <c:val>
            <c:numRef>
              <c:f>翻檯率等數據!$B$3:$I$3</c:f>
              <c:numCache>
                <c:formatCode>0.0_ </c:formatCode>
                <c:ptCount val="8"/>
                <c:pt idx="0">
                  <c:v>101.1</c:v>
                </c:pt>
                <c:pt idx="1">
                  <c:v>105.2</c:v>
                </c:pt>
                <c:pt idx="2">
                  <c:v>110.1</c:v>
                </c:pt>
                <c:pt idx="3">
                  <c:v>102.3</c:v>
                </c:pt>
                <c:pt idx="4">
                  <c:v>104.9</c:v>
                </c:pt>
                <c:pt idx="5">
                  <c:v>99.1</c:v>
                </c:pt>
                <c:pt idx="6">
                  <c:v>102.9</c:v>
                </c:pt>
                <c:pt idx="7">
                  <c:v>97.4</c:v>
                </c:pt>
              </c:numCache>
            </c:numRef>
          </c:val>
          <c:smooth val="0"/>
          <c:extLst>
            <c:ext xmlns:c16="http://schemas.microsoft.com/office/drawing/2014/chart" uri="{C3380CC4-5D6E-409C-BE32-E72D297353CC}">
              <c16:uniqueId val="{00000000-168B-466A-8E00-4D9D6E013502}"/>
            </c:ext>
          </c:extLst>
        </c:ser>
        <c:dLbls>
          <c:showLegendKey val="0"/>
          <c:showVal val="0"/>
          <c:showCatName val="0"/>
          <c:showSerName val="0"/>
          <c:showPercent val="0"/>
          <c:showBubbleSize val="0"/>
        </c:dLbls>
        <c:smooth val="0"/>
        <c:axId val="79208832"/>
        <c:axId val="76995968"/>
      </c:lineChart>
      <c:catAx>
        <c:axId val="79208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6995968"/>
        <c:crosses val="autoZero"/>
        <c:auto val="1"/>
        <c:lblAlgn val="ctr"/>
        <c:lblOffset val="100"/>
        <c:noMultiLvlLbl val="0"/>
      </c:catAx>
      <c:valAx>
        <c:axId val="76995968"/>
        <c:scaling>
          <c:orientation val="minMax"/>
        </c:scaling>
        <c:delete val="0"/>
        <c:axPos val="l"/>
        <c:majorGridlines>
          <c:spPr>
            <a:ln w="9525" cap="flat" cmpd="sng" algn="ctr">
              <a:noFill/>
              <a:round/>
            </a:ln>
            <a:effectLst/>
          </c:spPr>
        </c:majorGridlines>
        <c:numFmt formatCode="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92088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sz="1400" b="0" i="0" u="none" strike="noStrike" kern="1200" spc="0" baseline="0">
                <a:solidFill>
                  <a:sysClr val="windowText" lastClr="000000">
                    <a:lumMod val="65000"/>
                    <a:lumOff val="35000"/>
                  </a:sysClr>
                </a:solidFill>
                <a:latin typeface="+mn-lt"/>
                <a:ea typeface="+mn-ea"/>
                <a:cs typeface="+mn-cs"/>
              </a:rPr>
              <a:t>負債比率</a:t>
            </a:r>
            <a:endParaRPr lang="zh-CN" altLang="en-US"/>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整理!$A$70</c:f>
              <c:strCache>
                <c:ptCount val="1"/>
                <c:pt idx="0">
                  <c:v>资产负债率</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rgbClr val="0070C0"/>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整理!$B$65:$H$65</c:f>
              <c:strCache>
                <c:ptCount val="7"/>
                <c:pt idx="0">
                  <c:v>2018-12-31</c:v>
                </c:pt>
                <c:pt idx="1">
                  <c:v>2019-12-31</c:v>
                </c:pt>
                <c:pt idx="2">
                  <c:v>2020-12-31</c:v>
                </c:pt>
                <c:pt idx="3">
                  <c:v>2021-12-31</c:v>
                </c:pt>
                <c:pt idx="4">
                  <c:v>2022-12-31</c:v>
                </c:pt>
                <c:pt idx="5">
                  <c:v>2023-12-31</c:v>
                </c:pt>
                <c:pt idx="6">
                  <c:v>2024-06-30</c:v>
                </c:pt>
              </c:strCache>
            </c:strRef>
          </c:cat>
          <c:val>
            <c:numRef>
              <c:f>整理!$B$70:$H$70</c:f>
              <c:numCache>
                <c:formatCode>0.00%</c:formatCode>
                <c:ptCount val="7"/>
                <c:pt idx="0">
                  <c:v>0.27753738642502801</c:v>
                </c:pt>
                <c:pt idx="1">
                  <c:v>0.484521778765934</c:v>
                </c:pt>
                <c:pt idx="2">
                  <c:v>0.62810315519837401</c:v>
                </c:pt>
                <c:pt idx="3">
                  <c:v>0.71705195373821495</c:v>
                </c:pt>
                <c:pt idx="4">
                  <c:v>0.65222080814285799</c:v>
                </c:pt>
                <c:pt idx="5">
                  <c:v>0.53329250178648102</c:v>
                </c:pt>
                <c:pt idx="6">
                  <c:v>0.62403785742840101</c:v>
                </c:pt>
              </c:numCache>
            </c:numRef>
          </c:val>
          <c:smooth val="0"/>
          <c:extLst>
            <c:ext xmlns:c16="http://schemas.microsoft.com/office/drawing/2014/chart" uri="{C3380CC4-5D6E-409C-BE32-E72D297353CC}">
              <c16:uniqueId val="{00000000-5C4F-40F0-A612-A84F22D3D90C}"/>
            </c:ext>
          </c:extLst>
        </c:ser>
        <c:dLbls>
          <c:showLegendKey val="0"/>
          <c:showVal val="0"/>
          <c:showCatName val="0"/>
          <c:showSerName val="0"/>
          <c:showPercent val="0"/>
          <c:showBubbleSize val="0"/>
        </c:dLbls>
        <c:smooth val="0"/>
        <c:axId val="771298351"/>
        <c:axId val="771296911"/>
      </c:lineChart>
      <c:catAx>
        <c:axId val="7712983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vert="eaVert"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771296911"/>
        <c:crosses val="autoZero"/>
        <c:auto val="1"/>
        <c:lblAlgn val="ctr"/>
        <c:lblOffset val="100"/>
        <c:noMultiLvlLbl val="0"/>
      </c:catAx>
      <c:valAx>
        <c:axId val="771296911"/>
        <c:scaling>
          <c:orientation val="minMax"/>
        </c:scaling>
        <c:delete val="0"/>
        <c:axPos val="l"/>
        <c:majorGridlines>
          <c:spPr>
            <a:ln w="9525" cap="flat" cmpd="sng" algn="ctr">
              <a:no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77129835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sz="1400" b="0" i="0" u="none" strike="noStrike" kern="1200" spc="0" baseline="0">
                <a:solidFill>
                  <a:sysClr val="windowText" lastClr="000000">
                    <a:lumMod val="65000"/>
                    <a:lumOff val="35000"/>
                  </a:sysClr>
                </a:solidFill>
                <a:latin typeface="+mn-lt"/>
                <a:ea typeface="+mn-ea"/>
                <a:cs typeface="+mn-cs"/>
              </a:rPr>
              <a:t>餐飲業上市公司</a:t>
            </a:r>
            <a:r>
              <a:rPr lang="en-US" altLang="zh-CN" sz="1400" b="0" i="0" u="none" strike="noStrike" kern="1200" spc="0" baseline="0">
                <a:solidFill>
                  <a:sysClr val="windowText" lastClr="000000">
                    <a:lumMod val="65000"/>
                    <a:lumOff val="35000"/>
                  </a:sysClr>
                </a:solidFill>
                <a:latin typeface="+mn-lt"/>
                <a:ea typeface="+mn-ea"/>
                <a:cs typeface="+mn-cs"/>
              </a:rPr>
              <a:t>ROE</a:t>
            </a:r>
            <a:endParaRPr lang="zh-CN" altLang="en-US"/>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同業對比!$C$18</c:f>
              <c:strCache>
                <c:ptCount val="1"/>
                <c:pt idx="0">
                  <c:v>海底捞</c:v>
                </c:pt>
              </c:strCache>
            </c:strRef>
          </c:tx>
          <c:spPr>
            <a:ln w="28575" cap="rnd">
              <a:solidFill>
                <a:schemeClr val="accent1"/>
              </a:solidFill>
              <a:round/>
            </a:ln>
            <a:effectLst/>
          </c:spPr>
          <c:marker>
            <c:symbol val="none"/>
          </c:marker>
          <c:dLbls>
            <c:numFmt formatCode="#,##0.00_);[Red]\(#,##0.00\)" sourceLinked="0"/>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同業對比!$G$17:$I$17</c:f>
              <c:strCache>
                <c:ptCount val="3"/>
                <c:pt idx="0">
                  <c:v>2022年</c:v>
                </c:pt>
                <c:pt idx="1">
                  <c:v>2023年</c:v>
                </c:pt>
                <c:pt idx="2">
                  <c:v>2024H1</c:v>
                </c:pt>
              </c:strCache>
            </c:strRef>
          </c:cat>
          <c:val>
            <c:numRef>
              <c:f>同業對比!$G$18:$I$18</c:f>
              <c:numCache>
                <c:formatCode>###,###,##0.0000</c:formatCode>
                <c:ptCount val="3"/>
                <c:pt idx="0">
                  <c:v>17.8995</c:v>
                </c:pt>
                <c:pt idx="1">
                  <c:v>47.434100000000001</c:v>
                </c:pt>
                <c:pt idx="2">
                  <c:v>19.337</c:v>
                </c:pt>
              </c:numCache>
            </c:numRef>
          </c:val>
          <c:smooth val="0"/>
          <c:extLst>
            <c:ext xmlns:c16="http://schemas.microsoft.com/office/drawing/2014/chart" uri="{C3380CC4-5D6E-409C-BE32-E72D297353CC}">
              <c16:uniqueId val="{00000000-8C9C-4B8F-9CF3-56CC054ED789}"/>
            </c:ext>
          </c:extLst>
        </c:ser>
        <c:ser>
          <c:idx val="1"/>
          <c:order val="1"/>
          <c:tx>
            <c:strRef>
              <c:f>同業對比!$C$19</c:f>
              <c:strCache>
                <c:ptCount val="1"/>
                <c:pt idx="0">
                  <c:v>百胜中国</c:v>
                </c:pt>
              </c:strCache>
            </c:strRef>
          </c:tx>
          <c:spPr>
            <a:ln w="28575" cap="rnd">
              <a:solidFill>
                <a:schemeClr val="accent2"/>
              </a:solidFill>
              <a:round/>
            </a:ln>
            <a:effectLst/>
          </c:spPr>
          <c:marker>
            <c:symbol val="none"/>
          </c:marker>
          <c:cat>
            <c:strRef>
              <c:f>同業對比!$G$17:$I$17</c:f>
              <c:strCache>
                <c:ptCount val="3"/>
                <c:pt idx="0">
                  <c:v>2022年</c:v>
                </c:pt>
                <c:pt idx="1">
                  <c:v>2023年</c:v>
                </c:pt>
                <c:pt idx="2">
                  <c:v>2024H1</c:v>
                </c:pt>
              </c:strCache>
            </c:strRef>
          </c:cat>
          <c:val>
            <c:numRef>
              <c:f>同業對比!$G$19:$I$19</c:f>
              <c:numCache>
                <c:formatCode>###,###,##0.0000</c:formatCode>
                <c:ptCount val="3"/>
                <c:pt idx="0">
                  <c:v>6.5297999999999998</c:v>
                </c:pt>
                <c:pt idx="1">
                  <c:v>12.8346</c:v>
                </c:pt>
                <c:pt idx="2">
                  <c:v>8.1689000000000007</c:v>
                </c:pt>
              </c:numCache>
            </c:numRef>
          </c:val>
          <c:smooth val="0"/>
          <c:extLst>
            <c:ext xmlns:c16="http://schemas.microsoft.com/office/drawing/2014/chart" uri="{C3380CC4-5D6E-409C-BE32-E72D297353CC}">
              <c16:uniqueId val="{00000001-8C9C-4B8F-9CF3-56CC054ED789}"/>
            </c:ext>
          </c:extLst>
        </c:ser>
        <c:ser>
          <c:idx val="4"/>
          <c:order val="4"/>
          <c:tx>
            <c:strRef>
              <c:f>同業對比!$C$22</c:f>
              <c:strCache>
                <c:ptCount val="1"/>
                <c:pt idx="0">
                  <c:v>九毛九</c:v>
                </c:pt>
              </c:strCache>
            </c:strRef>
          </c:tx>
          <c:spPr>
            <a:ln w="28575" cap="rnd">
              <a:solidFill>
                <a:schemeClr val="accent5"/>
              </a:solidFill>
              <a:round/>
            </a:ln>
            <a:effectLst/>
          </c:spPr>
          <c:marker>
            <c:symbol val="none"/>
          </c:marker>
          <c:cat>
            <c:strRef>
              <c:f>同業對比!$G$17:$I$17</c:f>
              <c:strCache>
                <c:ptCount val="3"/>
                <c:pt idx="0">
                  <c:v>2022年</c:v>
                </c:pt>
                <c:pt idx="1">
                  <c:v>2023年</c:v>
                </c:pt>
                <c:pt idx="2">
                  <c:v>2024H1</c:v>
                </c:pt>
              </c:strCache>
            </c:strRef>
          </c:cat>
          <c:val>
            <c:numRef>
              <c:f>同業對比!$G$22:$I$22</c:f>
              <c:numCache>
                <c:formatCode>###,###,##0.0000</c:formatCode>
                <c:ptCount val="3"/>
                <c:pt idx="0">
                  <c:v>1.5751999999999999</c:v>
                </c:pt>
                <c:pt idx="1">
                  <c:v>13.9316</c:v>
                </c:pt>
                <c:pt idx="2">
                  <c:v>2.2262</c:v>
                </c:pt>
              </c:numCache>
            </c:numRef>
          </c:val>
          <c:smooth val="0"/>
          <c:extLst>
            <c:ext xmlns:c16="http://schemas.microsoft.com/office/drawing/2014/chart" uri="{C3380CC4-5D6E-409C-BE32-E72D297353CC}">
              <c16:uniqueId val="{00000002-8C9C-4B8F-9CF3-56CC054ED789}"/>
            </c:ext>
          </c:extLst>
        </c:ser>
        <c:ser>
          <c:idx val="8"/>
          <c:order val="8"/>
          <c:tx>
            <c:strRef>
              <c:f>同業對比!$C$26</c:f>
              <c:strCache>
                <c:ptCount val="1"/>
                <c:pt idx="0">
                  <c:v>呷哺呷哺</c:v>
                </c:pt>
              </c:strCache>
            </c:strRef>
          </c:tx>
          <c:spPr>
            <a:ln w="28575" cap="rnd">
              <a:solidFill>
                <a:schemeClr val="accent3">
                  <a:lumMod val="60000"/>
                </a:schemeClr>
              </a:solidFill>
              <a:round/>
            </a:ln>
            <a:effectLst/>
          </c:spPr>
          <c:marker>
            <c:symbol val="none"/>
          </c:marker>
          <c:cat>
            <c:strRef>
              <c:f>同業對比!$G$17:$I$17</c:f>
              <c:strCache>
                <c:ptCount val="3"/>
                <c:pt idx="0">
                  <c:v>2022年</c:v>
                </c:pt>
                <c:pt idx="1">
                  <c:v>2023年</c:v>
                </c:pt>
                <c:pt idx="2">
                  <c:v>2024H1</c:v>
                </c:pt>
              </c:strCache>
            </c:strRef>
          </c:cat>
          <c:val>
            <c:numRef>
              <c:f>同業對比!$G$26:$I$26</c:f>
              <c:numCache>
                <c:formatCode>###,###,##0.0000</c:formatCode>
                <c:ptCount val="3"/>
                <c:pt idx="0">
                  <c:v>-20.601600000000001</c:v>
                </c:pt>
                <c:pt idx="1">
                  <c:v>-15.0021</c:v>
                </c:pt>
                <c:pt idx="2">
                  <c:v>-25.964600000000001</c:v>
                </c:pt>
              </c:numCache>
            </c:numRef>
          </c:val>
          <c:smooth val="0"/>
          <c:extLst>
            <c:ext xmlns:c16="http://schemas.microsoft.com/office/drawing/2014/chart" uri="{C3380CC4-5D6E-409C-BE32-E72D297353CC}">
              <c16:uniqueId val="{00000003-8C9C-4B8F-9CF3-56CC054ED789}"/>
            </c:ext>
          </c:extLst>
        </c:ser>
        <c:dLbls>
          <c:showLegendKey val="0"/>
          <c:showVal val="0"/>
          <c:showCatName val="0"/>
          <c:showSerName val="0"/>
          <c:showPercent val="0"/>
          <c:showBubbleSize val="0"/>
        </c:dLbls>
        <c:smooth val="0"/>
        <c:axId val="79204032"/>
        <c:axId val="79205472"/>
        <c:extLst>
          <c:ext xmlns:c15="http://schemas.microsoft.com/office/drawing/2012/chart" uri="{02D57815-91ED-43cb-92C2-25804820EDAC}">
            <c15:filteredLineSeries>
              <c15:ser>
                <c:idx val="2"/>
                <c:order val="2"/>
                <c:tx>
                  <c:strRef>
                    <c:extLst>
                      <c:ext uri="{02D57815-91ED-43cb-92C2-25804820EDAC}">
                        <c15:formulaRef>
                          <c15:sqref>同業對比!$C$20</c15:sqref>
                        </c15:formulaRef>
                      </c:ext>
                    </c:extLst>
                    <c:strCache>
                      <c:ptCount val="1"/>
                      <c:pt idx="0">
                        <c:v>大家乐集团</c:v>
                      </c:pt>
                    </c:strCache>
                  </c:strRef>
                </c:tx>
                <c:spPr>
                  <a:ln w="28575" cap="rnd">
                    <a:solidFill>
                      <a:schemeClr val="accent3"/>
                    </a:solidFill>
                    <a:round/>
                  </a:ln>
                  <a:effectLst/>
                </c:spPr>
                <c:marker>
                  <c:symbol val="none"/>
                </c:marker>
                <c:cat>
                  <c:strRef>
                    <c:extLst>
                      <c:ext uri="{02D57815-91ED-43cb-92C2-25804820EDAC}">
                        <c15:formulaRef>
                          <c15:sqref>同業對比!$G$17:$I$17</c15:sqref>
                        </c15:formulaRef>
                      </c:ext>
                    </c:extLst>
                    <c:strCache>
                      <c:ptCount val="3"/>
                      <c:pt idx="0">
                        <c:v>2022年</c:v>
                      </c:pt>
                      <c:pt idx="1">
                        <c:v>2023年</c:v>
                      </c:pt>
                      <c:pt idx="2">
                        <c:v>2024H1</c:v>
                      </c:pt>
                    </c:strCache>
                  </c:strRef>
                </c:cat>
                <c:val>
                  <c:numRef>
                    <c:extLst>
                      <c:ext uri="{02D57815-91ED-43cb-92C2-25804820EDAC}">
                        <c15:formulaRef>
                          <c15:sqref>同業對比!$G$20:$I$20</c15:sqref>
                        </c15:formulaRef>
                      </c:ext>
                    </c:extLst>
                    <c:numCache>
                      <c:formatCode>###,###,##0.0000</c:formatCode>
                      <c:ptCount val="3"/>
                      <c:pt idx="0">
                        <c:v>0.72560000000000002</c:v>
                      </c:pt>
                      <c:pt idx="1">
                        <c:v>3.9394999999999998</c:v>
                      </c:pt>
                      <c:pt idx="2">
                        <c:v>7.1344000000000003</c:v>
                      </c:pt>
                    </c:numCache>
                  </c:numRef>
                </c:val>
                <c:smooth val="0"/>
                <c:extLst>
                  <c:ext xmlns:c16="http://schemas.microsoft.com/office/drawing/2014/chart" uri="{C3380CC4-5D6E-409C-BE32-E72D297353CC}">
                    <c16:uniqueId val="{00000004-8C9C-4B8F-9CF3-56CC054ED789}"/>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同業對比!$C$21</c15:sqref>
                        </c15:formulaRef>
                      </c:ext>
                    </c:extLst>
                    <c:strCache>
                      <c:ptCount val="1"/>
                      <c:pt idx="0">
                        <c:v>谭仔国际</c:v>
                      </c:pt>
                    </c:strCache>
                  </c:strRef>
                </c:tx>
                <c:spPr>
                  <a:ln w="28575" cap="rnd">
                    <a:solidFill>
                      <a:schemeClr val="accent4"/>
                    </a:solidFill>
                    <a:round/>
                  </a:ln>
                  <a:effectLst/>
                </c:spPr>
                <c:marker>
                  <c:symbol val="none"/>
                </c:marker>
                <c:cat>
                  <c:strRef>
                    <c:extLst xmlns:c15="http://schemas.microsoft.com/office/drawing/2012/chart">
                      <c:ext xmlns:c15="http://schemas.microsoft.com/office/drawing/2012/chart" uri="{02D57815-91ED-43cb-92C2-25804820EDAC}">
                        <c15:formulaRef>
                          <c15:sqref>同業對比!$G$17:$I$17</c15:sqref>
                        </c15:formulaRef>
                      </c:ext>
                    </c:extLst>
                    <c:strCache>
                      <c:ptCount val="3"/>
                      <c:pt idx="0">
                        <c:v>2022年</c:v>
                      </c:pt>
                      <c:pt idx="1">
                        <c:v>2023年</c:v>
                      </c:pt>
                      <c:pt idx="2">
                        <c:v>2024H1</c:v>
                      </c:pt>
                    </c:strCache>
                  </c:strRef>
                </c:cat>
                <c:val>
                  <c:numRef>
                    <c:extLst xmlns:c15="http://schemas.microsoft.com/office/drawing/2012/chart">
                      <c:ext xmlns:c15="http://schemas.microsoft.com/office/drawing/2012/chart" uri="{02D57815-91ED-43cb-92C2-25804820EDAC}">
                        <c15:formulaRef>
                          <c15:sqref>同業對比!$G$21:$I$21</c15:sqref>
                        </c15:formulaRef>
                      </c:ext>
                    </c:extLst>
                    <c:numCache>
                      <c:formatCode>###,###,##0.0000</c:formatCode>
                      <c:ptCount val="3"/>
                      <c:pt idx="0">
                        <c:v>19.340199999999999</c:v>
                      </c:pt>
                      <c:pt idx="1">
                        <c:v>9.1077999999999992</c:v>
                      </c:pt>
                      <c:pt idx="2">
                        <c:v>5.3997999999999999</c:v>
                      </c:pt>
                    </c:numCache>
                  </c:numRef>
                </c:val>
                <c:smooth val="0"/>
                <c:extLst xmlns:c15="http://schemas.microsoft.com/office/drawing/2012/chart">
                  <c:ext xmlns:c16="http://schemas.microsoft.com/office/drawing/2014/chart" uri="{C3380CC4-5D6E-409C-BE32-E72D297353CC}">
                    <c16:uniqueId val="{00000005-8C9C-4B8F-9CF3-56CC054ED789}"/>
                  </c:ext>
                </c:extLst>
              </c15:ser>
            </c15:filteredLineSeries>
            <c15:filteredLineSeries>
              <c15:ser>
                <c:idx val="5"/>
                <c:order val="5"/>
                <c:tx>
                  <c:strRef>
                    <c:extLst xmlns:c15="http://schemas.microsoft.com/office/drawing/2012/chart">
                      <c:ext xmlns:c15="http://schemas.microsoft.com/office/drawing/2012/chart" uri="{02D57815-91ED-43cb-92C2-25804820EDAC}">
                        <c15:formulaRef>
                          <c15:sqref>同業對比!$C$23</c15:sqref>
                        </c15:formulaRef>
                      </c:ext>
                    </c:extLst>
                    <c:strCache>
                      <c:ptCount val="1"/>
                      <c:pt idx="0">
                        <c:v>达势股份</c:v>
                      </c:pt>
                    </c:strCache>
                  </c:strRef>
                </c:tx>
                <c:spPr>
                  <a:ln w="28575" cap="rnd">
                    <a:solidFill>
                      <a:schemeClr val="accent6"/>
                    </a:solidFill>
                    <a:round/>
                  </a:ln>
                  <a:effectLst/>
                </c:spPr>
                <c:marker>
                  <c:symbol val="none"/>
                </c:marker>
                <c:cat>
                  <c:strRef>
                    <c:extLst xmlns:c15="http://schemas.microsoft.com/office/drawing/2012/chart">
                      <c:ext xmlns:c15="http://schemas.microsoft.com/office/drawing/2012/chart" uri="{02D57815-91ED-43cb-92C2-25804820EDAC}">
                        <c15:formulaRef>
                          <c15:sqref>同業對比!$G$17:$I$17</c15:sqref>
                        </c15:formulaRef>
                      </c:ext>
                    </c:extLst>
                    <c:strCache>
                      <c:ptCount val="3"/>
                      <c:pt idx="0">
                        <c:v>2022年</c:v>
                      </c:pt>
                      <c:pt idx="1">
                        <c:v>2023年</c:v>
                      </c:pt>
                      <c:pt idx="2">
                        <c:v>2024H1</c:v>
                      </c:pt>
                    </c:strCache>
                  </c:strRef>
                </c:cat>
                <c:val>
                  <c:numRef>
                    <c:extLst xmlns:c15="http://schemas.microsoft.com/office/drawing/2012/chart">
                      <c:ext xmlns:c15="http://schemas.microsoft.com/office/drawing/2012/chart" uri="{02D57815-91ED-43cb-92C2-25804820EDAC}">
                        <c15:formulaRef>
                          <c15:sqref>同業對比!$G$23:$I$23</c15:sqref>
                        </c15:formulaRef>
                      </c:ext>
                    </c:extLst>
                    <c:numCache>
                      <c:formatCode>###,###,##0.0000</c:formatCode>
                      <c:ptCount val="3"/>
                      <c:pt idx="0">
                        <c:v>-26.023599999999998</c:v>
                      </c:pt>
                      <c:pt idx="1">
                        <c:v>-1.8653999999999999</c:v>
                      </c:pt>
                      <c:pt idx="2">
                        <c:v>0.51259999999999994</c:v>
                      </c:pt>
                    </c:numCache>
                  </c:numRef>
                </c:val>
                <c:smooth val="0"/>
                <c:extLst xmlns:c15="http://schemas.microsoft.com/office/drawing/2012/chart">
                  <c:ext xmlns:c16="http://schemas.microsoft.com/office/drawing/2014/chart" uri="{C3380CC4-5D6E-409C-BE32-E72D297353CC}">
                    <c16:uniqueId val="{00000006-8C9C-4B8F-9CF3-56CC054ED789}"/>
                  </c:ext>
                </c:extLst>
              </c15:ser>
            </c15:filteredLineSeries>
            <c15:filteredLineSeries>
              <c15:ser>
                <c:idx val="6"/>
                <c:order val="6"/>
                <c:tx>
                  <c:strRef>
                    <c:extLst xmlns:c15="http://schemas.microsoft.com/office/drawing/2012/chart">
                      <c:ext xmlns:c15="http://schemas.microsoft.com/office/drawing/2012/chart" uri="{02D57815-91ED-43cb-92C2-25804820EDAC}">
                        <c15:formulaRef>
                          <c15:sqref>同業對比!$C$24</c15:sqref>
                        </c15:formulaRef>
                      </c:ext>
                    </c:extLst>
                    <c:strCache>
                      <c:ptCount val="1"/>
                      <c:pt idx="0">
                        <c:v>味千(中国)</c:v>
                      </c:pt>
                    </c:strCache>
                  </c:strRef>
                </c:tx>
                <c:spPr>
                  <a:ln w="28575" cap="rnd">
                    <a:solidFill>
                      <a:schemeClr val="accent1">
                        <a:lumMod val="60000"/>
                      </a:schemeClr>
                    </a:solidFill>
                    <a:round/>
                  </a:ln>
                  <a:effectLst/>
                </c:spPr>
                <c:marker>
                  <c:symbol val="none"/>
                </c:marker>
                <c:cat>
                  <c:strRef>
                    <c:extLst xmlns:c15="http://schemas.microsoft.com/office/drawing/2012/chart">
                      <c:ext xmlns:c15="http://schemas.microsoft.com/office/drawing/2012/chart" uri="{02D57815-91ED-43cb-92C2-25804820EDAC}">
                        <c15:formulaRef>
                          <c15:sqref>同業對比!$G$17:$I$17</c15:sqref>
                        </c15:formulaRef>
                      </c:ext>
                    </c:extLst>
                    <c:strCache>
                      <c:ptCount val="3"/>
                      <c:pt idx="0">
                        <c:v>2022年</c:v>
                      </c:pt>
                      <c:pt idx="1">
                        <c:v>2023年</c:v>
                      </c:pt>
                      <c:pt idx="2">
                        <c:v>2024H1</c:v>
                      </c:pt>
                    </c:strCache>
                  </c:strRef>
                </c:cat>
                <c:val>
                  <c:numRef>
                    <c:extLst xmlns:c15="http://schemas.microsoft.com/office/drawing/2012/chart">
                      <c:ext xmlns:c15="http://schemas.microsoft.com/office/drawing/2012/chart" uri="{02D57815-91ED-43cb-92C2-25804820EDAC}">
                        <c15:formulaRef>
                          <c15:sqref>同業對比!$G$24:$I$24</c15:sqref>
                        </c15:formulaRef>
                      </c:ext>
                    </c:extLst>
                    <c:numCache>
                      <c:formatCode>###,###,##0.0000</c:formatCode>
                      <c:ptCount val="3"/>
                      <c:pt idx="0">
                        <c:v>-4.8494999999999999</c:v>
                      </c:pt>
                      <c:pt idx="1">
                        <c:v>6.1680000000000001</c:v>
                      </c:pt>
                      <c:pt idx="2">
                        <c:v>-0.2422</c:v>
                      </c:pt>
                    </c:numCache>
                  </c:numRef>
                </c:val>
                <c:smooth val="0"/>
                <c:extLst xmlns:c15="http://schemas.microsoft.com/office/drawing/2012/chart">
                  <c:ext xmlns:c16="http://schemas.microsoft.com/office/drawing/2014/chart" uri="{C3380CC4-5D6E-409C-BE32-E72D297353CC}">
                    <c16:uniqueId val="{00000007-8C9C-4B8F-9CF3-56CC054ED789}"/>
                  </c:ext>
                </c:extLst>
              </c15:ser>
            </c15:filteredLineSeries>
            <c15:filteredLineSeries>
              <c15:ser>
                <c:idx val="7"/>
                <c:order val="7"/>
                <c:tx>
                  <c:strRef>
                    <c:extLst xmlns:c15="http://schemas.microsoft.com/office/drawing/2012/chart">
                      <c:ext xmlns:c15="http://schemas.microsoft.com/office/drawing/2012/chart" uri="{02D57815-91ED-43cb-92C2-25804820EDAC}">
                        <c15:formulaRef>
                          <c15:sqref>同業對比!$C$25</c15:sqref>
                        </c15:formulaRef>
                      </c:ext>
                    </c:extLst>
                    <c:strCache>
                      <c:ptCount val="1"/>
                      <c:pt idx="0">
                        <c:v>特海国际</c:v>
                      </c:pt>
                    </c:strCache>
                  </c:strRef>
                </c:tx>
                <c:spPr>
                  <a:ln w="28575" cap="rnd">
                    <a:solidFill>
                      <a:schemeClr val="accent2">
                        <a:lumMod val="60000"/>
                      </a:schemeClr>
                    </a:solidFill>
                    <a:round/>
                  </a:ln>
                  <a:effectLst/>
                </c:spPr>
                <c:marker>
                  <c:symbol val="none"/>
                </c:marker>
                <c:cat>
                  <c:strRef>
                    <c:extLst xmlns:c15="http://schemas.microsoft.com/office/drawing/2012/chart">
                      <c:ext xmlns:c15="http://schemas.microsoft.com/office/drawing/2012/chart" uri="{02D57815-91ED-43cb-92C2-25804820EDAC}">
                        <c15:formulaRef>
                          <c15:sqref>同業對比!$G$17:$I$17</c15:sqref>
                        </c15:formulaRef>
                      </c:ext>
                    </c:extLst>
                    <c:strCache>
                      <c:ptCount val="3"/>
                      <c:pt idx="0">
                        <c:v>2022年</c:v>
                      </c:pt>
                      <c:pt idx="1">
                        <c:v>2023年</c:v>
                      </c:pt>
                      <c:pt idx="2">
                        <c:v>2024H1</c:v>
                      </c:pt>
                    </c:strCache>
                  </c:strRef>
                </c:cat>
                <c:val>
                  <c:numRef>
                    <c:extLst xmlns:c15="http://schemas.microsoft.com/office/drawing/2012/chart">
                      <c:ext xmlns:c15="http://schemas.microsoft.com/office/drawing/2012/chart" uri="{02D57815-91ED-43cb-92C2-25804820EDAC}">
                        <c15:formulaRef>
                          <c15:sqref>同業對比!$G$25:$I$25</c15:sqref>
                        </c15:formulaRef>
                      </c:ext>
                    </c:extLst>
                    <c:numCache>
                      <c:formatCode>###,###,##0.0000</c:formatCode>
                      <c:ptCount val="3"/>
                      <c:pt idx="0">
                        <c:v>0</c:v>
                      </c:pt>
                      <c:pt idx="1">
                        <c:v>10.062099999999999</c:v>
                      </c:pt>
                      <c:pt idx="2">
                        <c:v>-1.5152000000000001</c:v>
                      </c:pt>
                    </c:numCache>
                  </c:numRef>
                </c:val>
                <c:smooth val="0"/>
                <c:extLst xmlns:c15="http://schemas.microsoft.com/office/drawing/2012/chart">
                  <c:ext xmlns:c16="http://schemas.microsoft.com/office/drawing/2014/chart" uri="{C3380CC4-5D6E-409C-BE32-E72D297353CC}">
                    <c16:uniqueId val="{00000008-8C9C-4B8F-9CF3-56CC054ED789}"/>
                  </c:ext>
                </c:extLst>
              </c15:ser>
            </c15:filteredLineSeries>
            <c15:filteredLineSeries>
              <c15:ser>
                <c:idx val="9"/>
                <c:order val="9"/>
                <c:tx>
                  <c:strRef>
                    <c:extLst xmlns:c15="http://schemas.microsoft.com/office/drawing/2012/chart">
                      <c:ext xmlns:c15="http://schemas.microsoft.com/office/drawing/2012/chart" uri="{02D57815-91ED-43cb-92C2-25804820EDAC}">
                        <c15:formulaRef>
                          <c15:sqref>同業對比!$C$27</c15:sqref>
                        </c15:formulaRef>
                      </c:ext>
                    </c:extLst>
                    <c:strCache>
                      <c:ptCount val="1"/>
                      <c:pt idx="0">
                        <c:v>百福控股</c:v>
                      </c:pt>
                    </c:strCache>
                  </c:strRef>
                </c:tx>
                <c:spPr>
                  <a:ln w="28575" cap="rnd">
                    <a:solidFill>
                      <a:schemeClr val="accent4">
                        <a:lumMod val="60000"/>
                      </a:schemeClr>
                    </a:solidFill>
                    <a:round/>
                  </a:ln>
                  <a:effectLst/>
                </c:spPr>
                <c:marker>
                  <c:symbol val="none"/>
                </c:marker>
                <c:cat>
                  <c:strRef>
                    <c:extLst xmlns:c15="http://schemas.microsoft.com/office/drawing/2012/chart">
                      <c:ext xmlns:c15="http://schemas.microsoft.com/office/drawing/2012/chart" uri="{02D57815-91ED-43cb-92C2-25804820EDAC}">
                        <c15:formulaRef>
                          <c15:sqref>同業對比!$G$17:$I$17</c15:sqref>
                        </c15:formulaRef>
                      </c:ext>
                    </c:extLst>
                    <c:strCache>
                      <c:ptCount val="3"/>
                      <c:pt idx="0">
                        <c:v>2022年</c:v>
                      </c:pt>
                      <c:pt idx="1">
                        <c:v>2023年</c:v>
                      </c:pt>
                      <c:pt idx="2">
                        <c:v>2024H1</c:v>
                      </c:pt>
                    </c:strCache>
                  </c:strRef>
                </c:cat>
                <c:val>
                  <c:numRef>
                    <c:extLst xmlns:c15="http://schemas.microsoft.com/office/drawing/2012/chart">
                      <c:ext xmlns:c15="http://schemas.microsoft.com/office/drawing/2012/chart" uri="{02D57815-91ED-43cb-92C2-25804820EDAC}">
                        <c15:formulaRef>
                          <c15:sqref>同業對比!$G$27:$I$27</c15:sqref>
                        </c15:formulaRef>
                      </c:ext>
                    </c:extLst>
                    <c:numCache>
                      <c:formatCode>###,###,##0.0000</c:formatCode>
                      <c:ptCount val="3"/>
                      <c:pt idx="0">
                        <c:v>-71.052400000000006</c:v>
                      </c:pt>
                      <c:pt idx="1">
                        <c:v>0</c:v>
                      </c:pt>
                      <c:pt idx="2">
                        <c:v>0</c:v>
                      </c:pt>
                    </c:numCache>
                  </c:numRef>
                </c:val>
                <c:smooth val="0"/>
                <c:extLst xmlns:c15="http://schemas.microsoft.com/office/drawing/2012/chart">
                  <c:ext xmlns:c16="http://schemas.microsoft.com/office/drawing/2014/chart" uri="{C3380CC4-5D6E-409C-BE32-E72D297353CC}">
                    <c16:uniqueId val="{00000009-8C9C-4B8F-9CF3-56CC054ED789}"/>
                  </c:ext>
                </c:extLst>
              </c15:ser>
            </c15:filteredLineSeries>
          </c:ext>
        </c:extLst>
      </c:lineChart>
      <c:catAx>
        <c:axId val="79204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79205472"/>
        <c:crosses val="autoZero"/>
        <c:auto val="1"/>
        <c:lblAlgn val="ctr"/>
        <c:lblOffset val="100"/>
        <c:noMultiLvlLbl val="0"/>
      </c:catAx>
      <c:valAx>
        <c:axId val="79205472"/>
        <c:scaling>
          <c:orientation val="minMax"/>
        </c:scaling>
        <c:delete val="0"/>
        <c:axPos val="l"/>
        <c:majorGridlines>
          <c:spPr>
            <a:ln w="9525" cap="flat" cmpd="sng" algn="ctr">
              <a:no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79204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sz="1400" b="0" i="0" u="none" strike="noStrike" kern="1200" spc="0" baseline="0">
                <a:solidFill>
                  <a:sysClr val="windowText" lastClr="000000">
                    <a:lumMod val="65000"/>
                    <a:lumOff val="35000"/>
                  </a:sysClr>
                </a:solidFill>
                <a:latin typeface="+mn-lt"/>
                <a:ea typeface="+mn-ea"/>
                <a:cs typeface="+mn-cs"/>
              </a:rPr>
              <a:t>餐飲業上市公司</a:t>
            </a:r>
            <a:r>
              <a:rPr lang="en-US" altLang="zh-CN" sz="1400" b="0" i="0" u="none" strike="noStrike" kern="1200" spc="0" baseline="0">
                <a:solidFill>
                  <a:sysClr val="windowText" lastClr="000000">
                    <a:lumMod val="65000"/>
                    <a:lumOff val="35000"/>
                  </a:sysClr>
                </a:solidFill>
                <a:latin typeface="+mn-lt"/>
                <a:ea typeface="+mn-ea"/>
                <a:cs typeface="+mn-cs"/>
              </a:rPr>
              <a:t>ROA</a:t>
            </a:r>
            <a:endParaRPr lang="zh-CN" altLang="en-US" sz="1400"/>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同業對比!$C$36</c:f>
              <c:strCache>
                <c:ptCount val="1"/>
                <c:pt idx="0">
                  <c:v>海底捞</c:v>
                </c:pt>
              </c:strCache>
            </c:strRef>
          </c:tx>
          <c:spPr>
            <a:ln w="28575" cap="rnd">
              <a:solidFill>
                <a:schemeClr val="accent1"/>
              </a:solidFill>
              <a:round/>
            </a:ln>
            <a:effectLst/>
          </c:spPr>
          <c:marker>
            <c:symbol val="none"/>
          </c:marker>
          <c:dLbls>
            <c:numFmt formatCode="#,##0.00_);[Red]\(#,##0.00\)" sourceLinked="0"/>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同業對比!$G$35:$I$35</c:f>
              <c:strCache>
                <c:ptCount val="3"/>
                <c:pt idx="0">
                  <c:v>2022年</c:v>
                </c:pt>
                <c:pt idx="1">
                  <c:v>2023年</c:v>
                </c:pt>
                <c:pt idx="2">
                  <c:v>2024H1</c:v>
                </c:pt>
              </c:strCache>
            </c:strRef>
          </c:cat>
          <c:val>
            <c:numRef>
              <c:f>同業對比!$G$36:$I$36</c:f>
              <c:numCache>
                <c:formatCode>###,###,##0.0000</c:formatCode>
                <c:ptCount val="3"/>
                <c:pt idx="0">
                  <c:v>5.5579000000000001</c:v>
                </c:pt>
                <c:pt idx="1">
                  <c:v>19.511900000000001</c:v>
                </c:pt>
                <c:pt idx="2">
                  <c:v>8.1443999999999992</c:v>
                </c:pt>
              </c:numCache>
            </c:numRef>
          </c:val>
          <c:smooth val="0"/>
          <c:extLst>
            <c:ext xmlns:c16="http://schemas.microsoft.com/office/drawing/2014/chart" uri="{C3380CC4-5D6E-409C-BE32-E72D297353CC}">
              <c16:uniqueId val="{00000000-8940-47BF-912E-1560E1092602}"/>
            </c:ext>
          </c:extLst>
        </c:ser>
        <c:ser>
          <c:idx val="1"/>
          <c:order val="1"/>
          <c:tx>
            <c:strRef>
              <c:f>同業對比!$C$37</c:f>
              <c:strCache>
                <c:ptCount val="1"/>
                <c:pt idx="0">
                  <c:v>百胜中国</c:v>
                </c:pt>
              </c:strCache>
            </c:strRef>
          </c:tx>
          <c:spPr>
            <a:ln w="28575" cap="rnd">
              <a:solidFill>
                <a:schemeClr val="accent2"/>
              </a:solidFill>
              <a:round/>
            </a:ln>
            <a:effectLst/>
          </c:spPr>
          <c:marker>
            <c:symbol val="none"/>
          </c:marker>
          <c:cat>
            <c:strRef>
              <c:f>同業對比!$G$35:$I$35</c:f>
              <c:strCache>
                <c:ptCount val="3"/>
                <c:pt idx="0">
                  <c:v>2022年</c:v>
                </c:pt>
                <c:pt idx="1">
                  <c:v>2023年</c:v>
                </c:pt>
                <c:pt idx="2">
                  <c:v>2024H1</c:v>
                </c:pt>
              </c:strCache>
            </c:strRef>
          </c:cat>
          <c:val>
            <c:numRef>
              <c:f>同業對比!$G$37:$I$37</c:f>
              <c:numCache>
                <c:formatCode>###,###,##0.0000</c:formatCode>
                <c:ptCount val="3"/>
                <c:pt idx="0">
                  <c:v>3.5291000000000001</c:v>
                </c:pt>
                <c:pt idx="1">
                  <c:v>6.9329999999999998</c:v>
                </c:pt>
                <c:pt idx="2">
                  <c:v>4.2290000000000001</c:v>
                </c:pt>
              </c:numCache>
            </c:numRef>
          </c:val>
          <c:smooth val="0"/>
          <c:extLst>
            <c:ext xmlns:c16="http://schemas.microsoft.com/office/drawing/2014/chart" uri="{C3380CC4-5D6E-409C-BE32-E72D297353CC}">
              <c16:uniqueId val="{00000001-8940-47BF-912E-1560E1092602}"/>
            </c:ext>
          </c:extLst>
        </c:ser>
        <c:ser>
          <c:idx val="4"/>
          <c:order val="4"/>
          <c:tx>
            <c:strRef>
              <c:f>同業對比!$C$40</c:f>
              <c:strCache>
                <c:ptCount val="1"/>
                <c:pt idx="0">
                  <c:v>九毛九</c:v>
                </c:pt>
              </c:strCache>
            </c:strRef>
          </c:tx>
          <c:spPr>
            <a:ln w="28575" cap="rnd">
              <a:solidFill>
                <a:schemeClr val="accent5"/>
              </a:solidFill>
              <a:round/>
            </a:ln>
            <a:effectLst/>
          </c:spPr>
          <c:marker>
            <c:symbol val="none"/>
          </c:marker>
          <c:cat>
            <c:strRef>
              <c:f>同業對比!$G$35:$I$35</c:f>
              <c:strCache>
                <c:ptCount val="3"/>
                <c:pt idx="0">
                  <c:v>2022年</c:v>
                </c:pt>
                <c:pt idx="1">
                  <c:v>2023年</c:v>
                </c:pt>
                <c:pt idx="2">
                  <c:v>2024H1</c:v>
                </c:pt>
              </c:strCache>
            </c:strRef>
          </c:cat>
          <c:val>
            <c:numRef>
              <c:f>同業對比!$G$40:$I$40</c:f>
              <c:numCache>
                <c:formatCode>###,###,##0.0000</c:formatCode>
                <c:ptCount val="3"/>
                <c:pt idx="0">
                  <c:v>0.93489999999999995</c:v>
                </c:pt>
                <c:pt idx="1">
                  <c:v>7.6033999999999997</c:v>
                </c:pt>
                <c:pt idx="2">
                  <c:v>1.1082000000000001</c:v>
                </c:pt>
              </c:numCache>
            </c:numRef>
          </c:val>
          <c:smooth val="0"/>
          <c:extLst>
            <c:ext xmlns:c16="http://schemas.microsoft.com/office/drawing/2014/chart" uri="{C3380CC4-5D6E-409C-BE32-E72D297353CC}">
              <c16:uniqueId val="{00000002-8940-47BF-912E-1560E1092602}"/>
            </c:ext>
          </c:extLst>
        </c:ser>
        <c:ser>
          <c:idx val="8"/>
          <c:order val="8"/>
          <c:tx>
            <c:strRef>
              <c:f>同業對比!$C$44</c:f>
              <c:strCache>
                <c:ptCount val="1"/>
                <c:pt idx="0">
                  <c:v>呷哺呷哺</c:v>
                </c:pt>
              </c:strCache>
            </c:strRef>
          </c:tx>
          <c:spPr>
            <a:ln w="28575" cap="rnd">
              <a:solidFill>
                <a:schemeClr val="accent3">
                  <a:lumMod val="60000"/>
                </a:schemeClr>
              </a:solidFill>
              <a:round/>
            </a:ln>
            <a:effectLst/>
          </c:spPr>
          <c:marker>
            <c:symbol val="none"/>
          </c:marker>
          <c:cat>
            <c:strRef>
              <c:f>同業對比!$G$35:$I$35</c:f>
              <c:strCache>
                <c:ptCount val="3"/>
                <c:pt idx="0">
                  <c:v>2022年</c:v>
                </c:pt>
                <c:pt idx="1">
                  <c:v>2023年</c:v>
                </c:pt>
                <c:pt idx="2">
                  <c:v>2024H1</c:v>
                </c:pt>
              </c:strCache>
            </c:strRef>
          </c:cat>
          <c:val>
            <c:numRef>
              <c:f>同業對比!$G$44:$I$44</c:f>
              <c:numCache>
                <c:formatCode>###,###,##0.0000</c:formatCode>
                <c:ptCount val="3"/>
                <c:pt idx="0">
                  <c:v>-7.6241000000000003</c:v>
                </c:pt>
                <c:pt idx="1">
                  <c:v>-4.7343000000000002</c:v>
                </c:pt>
                <c:pt idx="2">
                  <c:v>-7.1022999999999996</c:v>
                </c:pt>
              </c:numCache>
            </c:numRef>
          </c:val>
          <c:smooth val="0"/>
          <c:extLst>
            <c:ext xmlns:c16="http://schemas.microsoft.com/office/drawing/2014/chart" uri="{C3380CC4-5D6E-409C-BE32-E72D297353CC}">
              <c16:uniqueId val="{00000003-8940-47BF-912E-1560E1092602}"/>
            </c:ext>
          </c:extLst>
        </c:ser>
        <c:dLbls>
          <c:showLegendKey val="0"/>
          <c:showVal val="0"/>
          <c:showCatName val="0"/>
          <c:showSerName val="0"/>
          <c:showPercent val="0"/>
          <c:showBubbleSize val="0"/>
        </c:dLbls>
        <c:smooth val="0"/>
        <c:axId val="10992928"/>
        <c:axId val="10998208"/>
        <c:extLst>
          <c:ext xmlns:c15="http://schemas.microsoft.com/office/drawing/2012/chart" uri="{02D57815-91ED-43cb-92C2-25804820EDAC}">
            <c15:filteredLineSeries>
              <c15:ser>
                <c:idx val="2"/>
                <c:order val="2"/>
                <c:tx>
                  <c:strRef>
                    <c:extLst>
                      <c:ext uri="{02D57815-91ED-43cb-92C2-25804820EDAC}">
                        <c15:formulaRef>
                          <c15:sqref>同業對比!$C$38</c15:sqref>
                        </c15:formulaRef>
                      </c:ext>
                    </c:extLst>
                    <c:strCache>
                      <c:ptCount val="1"/>
                      <c:pt idx="0">
                        <c:v>大家乐集团</c:v>
                      </c:pt>
                    </c:strCache>
                  </c:strRef>
                </c:tx>
                <c:spPr>
                  <a:ln w="28575" cap="rnd">
                    <a:solidFill>
                      <a:schemeClr val="accent3"/>
                    </a:solidFill>
                    <a:round/>
                  </a:ln>
                  <a:effectLst/>
                </c:spPr>
                <c:marker>
                  <c:symbol val="none"/>
                </c:marker>
                <c:cat>
                  <c:strRef>
                    <c:extLst>
                      <c:ext uri="{02D57815-91ED-43cb-92C2-25804820EDAC}">
                        <c15:formulaRef>
                          <c15:sqref>同業對比!$G$35:$I$35</c15:sqref>
                        </c15:formulaRef>
                      </c:ext>
                    </c:extLst>
                    <c:strCache>
                      <c:ptCount val="3"/>
                      <c:pt idx="0">
                        <c:v>2022年</c:v>
                      </c:pt>
                      <c:pt idx="1">
                        <c:v>2023年</c:v>
                      </c:pt>
                      <c:pt idx="2">
                        <c:v>2024H1</c:v>
                      </c:pt>
                    </c:strCache>
                  </c:strRef>
                </c:cat>
                <c:val>
                  <c:numRef>
                    <c:extLst>
                      <c:ext uri="{02D57815-91ED-43cb-92C2-25804820EDAC}">
                        <c15:formulaRef>
                          <c15:sqref>同業對比!$G$38:$I$38</c15:sqref>
                        </c15:formulaRef>
                      </c:ext>
                    </c:extLst>
                    <c:numCache>
                      <c:formatCode>###,###,##0.0000</c:formatCode>
                      <c:ptCount val="3"/>
                      <c:pt idx="0">
                        <c:v>0.30249999999999999</c:v>
                      </c:pt>
                      <c:pt idx="1">
                        <c:v>1.5711999999999999</c:v>
                      </c:pt>
                      <c:pt idx="2">
                        <c:v>2.9333999999999998</c:v>
                      </c:pt>
                    </c:numCache>
                  </c:numRef>
                </c:val>
                <c:smooth val="0"/>
                <c:extLst>
                  <c:ext xmlns:c16="http://schemas.microsoft.com/office/drawing/2014/chart" uri="{C3380CC4-5D6E-409C-BE32-E72D297353CC}">
                    <c16:uniqueId val="{00000004-8940-47BF-912E-1560E1092602}"/>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同業對比!$C$39</c15:sqref>
                        </c15:formulaRef>
                      </c:ext>
                    </c:extLst>
                    <c:strCache>
                      <c:ptCount val="1"/>
                      <c:pt idx="0">
                        <c:v>谭仔国际</c:v>
                      </c:pt>
                    </c:strCache>
                  </c:strRef>
                </c:tx>
                <c:spPr>
                  <a:ln w="28575" cap="rnd">
                    <a:solidFill>
                      <a:schemeClr val="accent4"/>
                    </a:solidFill>
                    <a:round/>
                  </a:ln>
                  <a:effectLst/>
                </c:spPr>
                <c:marker>
                  <c:symbol val="none"/>
                </c:marker>
                <c:cat>
                  <c:strRef>
                    <c:extLst xmlns:c15="http://schemas.microsoft.com/office/drawing/2012/chart">
                      <c:ext xmlns:c15="http://schemas.microsoft.com/office/drawing/2012/chart" uri="{02D57815-91ED-43cb-92C2-25804820EDAC}">
                        <c15:formulaRef>
                          <c15:sqref>同業對比!$G$35:$I$35</c15:sqref>
                        </c15:formulaRef>
                      </c:ext>
                    </c:extLst>
                    <c:strCache>
                      <c:ptCount val="3"/>
                      <c:pt idx="0">
                        <c:v>2022年</c:v>
                      </c:pt>
                      <c:pt idx="1">
                        <c:v>2023年</c:v>
                      </c:pt>
                      <c:pt idx="2">
                        <c:v>2024H1</c:v>
                      </c:pt>
                    </c:strCache>
                  </c:strRef>
                </c:cat>
                <c:val>
                  <c:numRef>
                    <c:extLst xmlns:c15="http://schemas.microsoft.com/office/drawing/2012/chart">
                      <c:ext xmlns:c15="http://schemas.microsoft.com/office/drawing/2012/chart" uri="{02D57815-91ED-43cb-92C2-25804820EDAC}">
                        <c15:formulaRef>
                          <c15:sqref>同業對比!$G$39:$I$39</c15:sqref>
                        </c15:formulaRef>
                      </c:ext>
                    </c:extLst>
                    <c:numCache>
                      <c:formatCode>###,###,##0.0000</c:formatCode>
                      <c:ptCount val="3"/>
                      <c:pt idx="0">
                        <c:v>10.2151</c:v>
                      </c:pt>
                      <c:pt idx="1">
                        <c:v>5.3760000000000003</c:v>
                      </c:pt>
                      <c:pt idx="2">
                        <c:v>3.0398999999999998</c:v>
                      </c:pt>
                    </c:numCache>
                  </c:numRef>
                </c:val>
                <c:smooth val="0"/>
                <c:extLst xmlns:c15="http://schemas.microsoft.com/office/drawing/2012/chart">
                  <c:ext xmlns:c16="http://schemas.microsoft.com/office/drawing/2014/chart" uri="{C3380CC4-5D6E-409C-BE32-E72D297353CC}">
                    <c16:uniqueId val="{00000005-8940-47BF-912E-1560E1092602}"/>
                  </c:ext>
                </c:extLst>
              </c15:ser>
            </c15:filteredLineSeries>
            <c15:filteredLineSeries>
              <c15:ser>
                <c:idx val="5"/>
                <c:order val="5"/>
                <c:tx>
                  <c:strRef>
                    <c:extLst xmlns:c15="http://schemas.microsoft.com/office/drawing/2012/chart">
                      <c:ext xmlns:c15="http://schemas.microsoft.com/office/drawing/2012/chart" uri="{02D57815-91ED-43cb-92C2-25804820EDAC}">
                        <c15:formulaRef>
                          <c15:sqref>同業對比!$C$41</c15:sqref>
                        </c15:formulaRef>
                      </c:ext>
                    </c:extLst>
                    <c:strCache>
                      <c:ptCount val="1"/>
                      <c:pt idx="0">
                        <c:v>达势股份</c:v>
                      </c:pt>
                    </c:strCache>
                  </c:strRef>
                </c:tx>
                <c:spPr>
                  <a:ln w="28575" cap="rnd">
                    <a:solidFill>
                      <a:schemeClr val="accent6"/>
                    </a:solidFill>
                    <a:round/>
                  </a:ln>
                  <a:effectLst/>
                </c:spPr>
                <c:marker>
                  <c:symbol val="none"/>
                </c:marker>
                <c:cat>
                  <c:strRef>
                    <c:extLst xmlns:c15="http://schemas.microsoft.com/office/drawing/2012/chart">
                      <c:ext xmlns:c15="http://schemas.microsoft.com/office/drawing/2012/chart" uri="{02D57815-91ED-43cb-92C2-25804820EDAC}">
                        <c15:formulaRef>
                          <c15:sqref>同業對比!$G$35:$I$35</c15:sqref>
                        </c15:formulaRef>
                      </c:ext>
                    </c:extLst>
                    <c:strCache>
                      <c:ptCount val="3"/>
                      <c:pt idx="0">
                        <c:v>2022年</c:v>
                      </c:pt>
                      <c:pt idx="1">
                        <c:v>2023年</c:v>
                      </c:pt>
                      <c:pt idx="2">
                        <c:v>2024H1</c:v>
                      </c:pt>
                    </c:strCache>
                  </c:strRef>
                </c:cat>
                <c:val>
                  <c:numRef>
                    <c:extLst xmlns:c15="http://schemas.microsoft.com/office/drawing/2012/chart">
                      <c:ext xmlns:c15="http://schemas.microsoft.com/office/drawing/2012/chart" uri="{02D57815-91ED-43cb-92C2-25804820EDAC}">
                        <c15:formulaRef>
                          <c15:sqref>同業對比!$G$41:$I$41</c15:sqref>
                        </c15:formulaRef>
                      </c:ext>
                    </c:extLst>
                    <c:numCache>
                      <c:formatCode>###,###,##0.0000</c:formatCode>
                      <c:ptCount val="3"/>
                      <c:pt idx="0">
                        <c:v>-6.9222999999999999</c:v>
                      </c:pt>
                      <c:pt idx="1">
                        <c:v>-0.71750000000000003</c:v>
                      </c:pt>
                      <c:pt idx="2">
                        <c:v>0.25169999999999998</c:v>
                      </c:pt>
                    </c:numCache>
                  </c:numRef>
                </c:val>
                <c:smooth val="0"/>
                <c:extLst xmlns:c15="http://schemas.microsoft.com/office/drawing/2012/chart">
                  <c:ext xmlns:c16="http://schemas.microsoft.com/office/drawing/2014/chart" uri="{C3380CC4-5D6E-409C-BE32-E72D297353CC}">
                    <c16:uniqueId val="{00000006-8940-47BF-912E-1560E1092602}"/>
                  </c:ext>
                </c:extLst>
              </c15:ser>
            </c15:filteredLineSeries>
            <c15:filteredLineSeries>
              <c15:ser>
                <c:idx val="6"/>
                <c:order val="6"/>
                <c:tx>
                  <c:strRef>
                    <c:extLst xmlns:c15="http://schemas.microsoft.com/office/drawing/2012/chart">
                      <c:ext xmlns:c15="http://schemas.microsoft.com/office/drawing/2012/chart" uri="{02D57815-91ED-43cb-92C2-25804820EDAC}">
                        <c15:formulaRef>
                          <c15:sqref>同業對比!$C$42</c15:sqref>
                        </c15:formulaRef>
                      </c:ext>
                    </c:extLst>
                    <c:strCache>
                      <c:ptCount val="1"/>
                      <c:pt idx="0">
                        <c:v>味千(中国)</c:v>
                      </c:pt>
                    </c:strCache>
                  </c:strRef>
                </c:tx>
                <c:spPr>
                  <a:ln w="28575" cap="rnd">
                    <a:solidFill>
                      <a:schemeClr val="accent1">
                        <a:lumMod val="60000"/>
                      </a:schemeClr>
                    </a:solidFill>
                    <a:round/>
                  </a:ln>
                  <a:effectLst/>
                </c:spPr>
                <c:marker>
                  <c:symbol val="none"/>
                </c:marker>
                <c:cat>
                  <c:strRef>
                    <c:extLst xmlns:c15="http://schemas.microsoft.com/office/drawing/2012/chart">
                      <c:ext xmlns:c15="http://schemas.microsoft.com/office/drawing/2012/chart" uri="{02D57815-91ED-43cb-92C2-25804820EDAC}">
                        <c15:formulaRef>
                          <c15:sqref>同業對比!$G$35:$I$35</c15:sqref>
                        </c15:formulaRef>
                      </c:ext>
                    </c:extLst>
                    <c:strCache>
                      <c:ptCount val="3"/>
                      <c:pt idx="0">
                        <c:v>2022年</c:v>
                      </c:pt>
                      <c:pt idx="1">
                        <c:v>2023年</c:v>
                      </c:pt>
                      <c:pt idx="2">
                        <c:v>2024H1</c:v>
                      </c:pt>
                    </c:strCache>
                  </c:strRef>
                </c:cat>
                <c:val>
                  <c:numRef>
                    <c:extLst xmlns:c15="http://schemas.microsoft.com/office/drawing/2012/chart">
                      <c:ext xmlns:c15="http://schemas.microsoft.com/office/drawing/2012/chart" uri="{02D57815-91ED-43cb-92C2-25804820EDAC}">
                        <c15:formulaRef>
                          <c15:sqref>同業對比!$G$42:$I$42</c15:sqref>
                        </c15:formulaRef>
                      </c:ext>
                    </c:extLst>
                    <c:numCache>
                      <c:formatCode>###,###,##0.0000</c:formatCode>
                      <c:ptCount val="3"/>
                      <c:pt idx="0">
                        <c:v>-3.5228999999999999</c:v>
                      </c:pt>
                      <c:pt idx="1">
                        <c:v>4.6280000000000001</c:v>
                      </c:pt>
                      <c:pt idx="2">
                        <c:v>-0.18010000000000001</c:v>
                      </c:pt>
                    </c:numCache>
                  </c:numRef>
                </c:val>
                <c:smooth val="0"/>
                <c:extLst xmlns:c15="http://schemas.microsoft.com/office/drawing/2012/chart">
                  <c:ext xmlns:c16="http://schemas.microsoft.com/office/drawing/2014/chart" uri="{C3380CC4-5D6E-409C-BE32-E72D297353CC}">
                    <c16:uniqueId val="{00000007-8940-47BF-912E-1560E1092602}"/>
                  </c:ext>
                </c:extLst>
              </c15:ser>
            </c15:filteredLineSeries>
            <c15:filteredLineSeries>
              <c15:ser>
                <c:idx val="7"/>
                <c:order val="7"/>
                <c:tx>
                  <c:strRef>
                    <c:extLst xmlns:c15="http://schemas.microsoft.com/office/drawing/2012/chart">
                      <c:ext xmlns:c15="http://schemas.microsoft.com/office/drawing/2012/chart" uri="{02D57815-91ED-43cb-92C2-25804820EDAC}">
                        <c15:formulaRef>
                          <c15:sqref>同業對比!$C$43</c15:sqref>
                        </c15:formulaRef>
                      </c:ext>
                    </c:extLst>
                    <c:strCache>
                      <c:ptCount val="1"/>
                      <c:pt idx="0">
                        <c:v>特海国际</c:v>
                      </c:pt>
                    </c:strCache>
                  </c:strRef>
                </c:tx>
                <c:spPr>
                  <a:ln w="28575" cap="rnd">
                    <a:solidFill>
                      <a:schemeClr val="accent2">
                        <a:lumMod val="60000"/>
                      </a:schemeClr>
                    </a:solidFill>
                    <a:round/>
                  </a:ln>
                  <a:effectLst/>
                </c:spPr>
                <c:marker>
                  <c:symbol val="none"/>
                </c:marker>
                <c:cat>
                  <c:strRef>
                    <c:extLst xmlns:c15="http://schemas.microsoft.com/office/drawing/2012/chart">
                      <c:ext xmlns:c15="http://schemas.microsoft.com/office/drawing/2012/chart" uri="{02D57815-91ED-43cb-92C2-25804820EDAC}">
                        <c15:formulaRef>
                          <c15:sqref>同業對比!$G$35:$I$35</c15:sqref>
                        </c15:formulaRef>
                      </c:ext>
                    </c:extLst>
                    <c:strCache>
                      <c:ptCount val="3"/>
                      <c:pt idx="0">
                        <c:v>2022年</c:v>
                      </c:pt>
                      <c:pt idx="1">
                        <c:v>2023年</c:v>
                      </c:pt>
                      <c:pt idx="2">
                        <c:v>2024H1</c:v>
                      </c:pt>
                    </c:strCache>
                  </c:strRef>
                </c:cat>
                <c:val>
                  <c:numRef>
                    <c:extLst xmlns:c15="http://schemas.microsoft.com/office/drawing/2012/chart">
                      <c:ext xmlns:c15="http://schemas.microsoft.com/office/drawing/2012/chart" uri="{02D57815-91ED-43cb-92C2-25804820EDAC}">
                        <c15:formulaRef>
                          <c15:sqref>同業對比!$G$43:$I$43</c15:sqref>
                        </c15:formulaRef>
                      </c:ext>
                    </c:extLst>
                    <c:numCache>
                      <c:formatCode>###,###,##0.0000</c:formatCode>
                      <c:ptCount val="3"/>
                      <c:pt idx="0">
                        <c:v>-6.8585000000000003</c:v>
                      </c:pt>
                      <c:pt idx="1">
                        <c:v>4.4497999999999998</c:v>
                      </c:pt>
                      <c:pt idx="2">
                        <c:v>-0.76319999999999999</c:v>
                      </c:pt>
                    </c:numCache>
                  </c:numRef>
                </c:val>
                <c:smooth val="0"/>
                <c:extLst xmlns:c15="http://schemas.microsoft.com/office/drawing/2012/chart">
                  <c:ext xmlns:c16="http://schemas.microsoft.com/office/drawing/2014/chart" uri="{C3380CC4-5D6E-409C-BE32-E72D297353CC}">
                    <c16:uniqueId val="{00000008-8940-47BF-912E-1560E1092602}"/>
                  </c:ext>
                </c:extLst>
              </c15:ser>
            </c15:filteredLineSeries>
            <c15:filteredLineSeries>
              <c15:ser>
                <c:idx val="9"/>
                <c:order val="9"/>
                <c:tx>
                  <c:strRef>
                    <c:extLst xmlns:c15="http://schemas.microsoft.com/office/drawing/2012/chart">
                      <c:ext xmlns:c15="http://schemas.microsoft.com/office/drawing/2012/chart" uri="{02D57815-91ED-43cb-92C2-25804820EDAC}">
                        <c15:formulaRef>
                          <c15:sqref>同業對比!$C$45</c15:sqref>
                        </c15:formulaRef>
                      </c:ext>
                    </c:extLst>
                    <c:strCache>
                      <c:ptCount val="1"/>
                      <c:pt idx="0">
                        <c:v>百福控股</c:v>
                      </c:pt>
                    </c:strCache>
                  </c:strRef>
                </c:tx>
                <c:spPr>
                  <a:ln w="28575" cap="rnd">
                    <a:solidFill>
                      <a:schemeClr val="accent4">
                        <a:lumMod val="60000"/>
                      </a:schemeClr>
                    </a:solidFill>
                    <a:round/>
                  </a:ln>
                  <a:effectLst/>
                </c:spPr>
                <c:marker>
                  <c:symbol val="none"/>
                </c:marker>
                <c:cat>
                  <c:strRef>
                    <c:extLst xmlns:c15="http://schemas.microsoft.com/office/drawing/2012/chart">
                      <c:ext xmlns:c15="http://schemas.microsoft.com/office/drawing/2012/chart" uri="{02D57815-91ED-43cb-92C2-25804820EDAC}">
                        <c15:formulaRef>
                          <c15:sqref>同業對比!$G$35:$I$35</c15:sqref>
                        </c15:formulaRef>
                      </c:ext>
                    </c:extLst>
                    <c:strCache>
                      <c:ptCount val="3"/>
                      <c:pt idx="0">
                        <c:v>2022年</c:v>
                      </c:pt>
                      <c:pt idx="1">
                        <c:v>2023年</c:v>
                      </c:pt>
                      <c:pt idx="2">
                        <c:v>2024H1</c:v>
                      </c:pt>
                    </c:strCache>
                  </c:strRef>
                </c:cat>
                <c:val>
                  <c:numRef>
                    <c:extLst xmlns:c15="http://schemas.microsoft.com/office/drawing/2012/chart">
                      <c:ext xmlns:c15="http://schemas.microsoft.com/office/drawing/2012/chart" uri="{02D57815-91ED-43cb-92C2-25804820EDAC}">
                        <c15:formulaRef>
                          <c15:sqref>同業對比!$G$45:$I$45</c15:sqref>
                        </c15:formulaRef>
                      </c:ext>
                    </c:extLst>
                    <c:numCache>
                      <c:formatCode>###,###,##0.0000</c:formatCode>
                      <c:ptCount val="3"/>
                      <c:pt idx="0">
                        <c:v>-10.912100000000001</c:v>
                      </c:pt>
                      <c:pt idx="1">
                        <c:v>-12.371499999999999</c:v>
                      </c:pt>
                      <c:pt idx="2">
                        <c:v>-4.1936</c:v>
                      </c:pt>
                    </c:numCache>
                  </c:numRef>
                </c:val>
                <c:smooth val="0"/>
                <c:extLst xmlns:c15="http://schemas.microsoft.com/office/drawing/2012/chart">
                  <c:ext xmlns:c16="http://schemas.microsoft.com/office/drawing/2014/chart" uri="{C3380CC4-5D6E-409C-BE32-E72D297353CC}">
                    <c16:uniqueId val="{00000009-8940-47BF-912E-1560E1092602}"/>
                  </c:ext>
                </c:extLst>
              </c15:ser>
            </c15:filteredLineSeries>
          </c:ext>
        </c:extLst>
      </c:lineChart>
      <c:catAx>
        <c:axId val="10992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0998208"/>
        <c:crosses val="autoZero"/>
        <c:auto val="1"/>
        <c:lblAlgn val="ctr"/>
        <c:lblOffset val="100"/>
        <c:noMultiLvlLbl val="0"/>
      </c:catAx>
      <c:valAx>
        <c:axId val="10998208"/>
        <c:scaling>
          <c:orientation val="minMax"/>
        </c:scaling>
        <c:delete val="0"/>
        <c:axPos val="l"/>
        <c:majorGridlines>
          <c:spPr>
            <a:ln w="9525" cap="flat" cmpd="sng" algn="ctr">
              <a:no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0992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sz="1400" b="0" i="0" u="none" strike="noStrike" kern="1200" spc="0" baseline="0">
                <a:solidFill>
                  <a:sysClr val="windowText" lastClr="000000">
                    <a:lumMod val="65000"/>
                    <a:lumOff val="35000"/>
                  </a:sysClr>
                </a:solidFill>
                <a:latin typeface="+mn-lt"/>
                <a:ea typeface="+mn-ea"/>
                <a:cs typeface="+mn-cs"/>
              </a:rPr>
              <a:t>24H1</a:t>
            </a:r>
            <a:r>
              <a:rPr lang="zh-CN" altLang="en-US" sz="1400" b="0" i="0" u="none" strike="noStrike" kern="1200" spc="0" baseline="0">
                <a:solidFill>
                  <a:sysClr val="windowText" lastClr="000000">
                    <a:lumMod val="65000"/>
                    <a:lumOff val="35000"/>
                  </a:sysClr>
                </a:solidFill>
                <a:latin typeface="+mn-lt"/>
                <a:ea typeface="+mn-ea"/>
                <a:cs typeface="+mn-cs"/>
              </a:rPr>
              <a:t>翻檯率</a:t>
            </a:r>
            <a:endParaRPr lang="zh-CN" altLang="en-US"/>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翻檯率等數據!$L$22</c:f>
              <c:strCache>
                <c:ptCount val="1"/>
                <c:pt idx="0">
                  <c:v>翻檯率</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翻檯率等數據!$M$21:$P$21</c:f>
              <c:strCache>
                <c:ptCount val="4"/>
                <c:pt idx="0">
                  <c:v>海底撈</c:v>
                </c:pt>
                <c:pt idx="1">
                  <c:v>太二</c:v>
                </c:pt>
                <c:pt idx="2">
                  <c:v>慫</c:v>
                </c:pt>
                <c:pt idx="3">
                  <c:v>呷哺呷哺</c:v>
                </c:pt>
              </c:strCache>
            </c:strRef>
          </c:cat>
          <c:val>
            <c:numRef>
              <c:f>翻檯率等數據!$M$22:$P$22</c:f>
              <c:numCache>
                <c:formatCode>General</c:formatCode>
                <c:ptCount val="4"/>
                <c:pt idx="0">
                  <c:v>4.2</c:v>
                </c:pt>
                <c:pt idx="1">
                  <c:v>3.8</c:v>
                </c:pt>
                <c:pt idx="2">
                  <c:v>2.9</c:v>
                </c:pt>
                <c:pt idx="3">
                  <c:v>1.5</c:v>
                </c:pt>
              </c:numCache>
            </c:numRef>
          </c:val>
          <c:extLst>
            <c:ext xmlns:c16="http://schemas.microsoft.com/office/drawing/2014/chart" uri="{C3380CC4-5D6E-409C-BE32-E72D297353CC}">
              <c16:uniqueId val="{00000000-DF22-4A97-8E79-D4D6076B92E5}"/>
            </c:ext>
          </c:extLst>
        </c:ser>
        <c:dLbls>
          <c:showLegendKey val="0"/>
          <c:showVal val="0"/>
          <c:showCatName val="0"/>
          <c:showSerName val="0"/>
          <c:showPercent val="0"/>
          <c:showBubbleSize val="0"/>
        </c:dLbls>
        <c:gapWidth val="219"/>
        <c:overlap val="-27"/>
        <c:axId val="370025056"/>
        <c:axId val="370036576"/>
      </c:barChart>
      <c:catAx>
        <c:axId val="370025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70036576"/>
        <c:crosses val="autoZero"/>
        <c:auto val="1"/>
        <c:lblAlgn val="ctr"/>
        <c:lblOffset val="100"/>
        <c:noMultiLvlLbl val="0"/>
      </c:catAx>
      <c:valAx>
        <c:axId val="370036576"/>
        <c:scaling>
          <c:orientation val="minMax"/>
        </c:scaling>
        <c:delete val="0"/>
        <c:axPos val="l"/>
        <c:majorGridlines>
          <c:spPr>
            <a:ln w="9525" cap="flat" cmpd="sng" algn="ctr">
              <a:no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700250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淨營運資本</a:t>
            </a:r>
            <a:r>
              <a:rPr lang="en-US" altLang="zh-CN"/>
              <a:t>(</a:t>
            </a:r>
            <a:r>
              <a:rPr lang="zh-CN" altLang="en-US"/>
              <a:t>千元</a:t>
            </a:r>
            <a:r>
              <a:rPr lang="en-US" altLang="zh-CN"/>
              <a:t>)</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整理!$A$155</c:f>
              <c:strCache>
                <c:ptCount val="1"/>
                <c:pt idx="0">
                  <c:v>流動資產合計</c:v>
                </c:pt>
              </c:strCache>
            </c:strRef>
          </c:tx>
          <c:spPr>
            <a:solidFill>
              <a:schemeClr val="accent1"/>
            </a:solidFill>
            <a:ln>
              <a:noFill/>
            </a:ln>
            <a:effectLst/>
          </c:spPr>
          <c:invertIfNegative val="0"/>
          <c:cat>
            <c:strRef>
              <c:f>整理!$F$154:$K$154</c:f>
              <c:strCache>
                <c:ptCount val="6"/>
                <c:pt idx="0">
                  <c:v>2019-12-31</c:v>
                </c:pt>
                <c:pt idx="1">
                  <c:v>2020-12-31</c:v>
                </c:pt>
                <c:pt idx="2">
                  <c:v>2021-12-31</c:v>
                </c:pt>
                <c:pt idx="3">
                  <c:v>2022-12-31</c:v>
                </c:pt>
                <c:pt idx="4">
                  <c:v>2023-12-31</c:v>
                </c:pt>
                <c:pt idx="5">
                  <c:v>2024-06-30</c:v>
                </c:pt>
              </c:strCache>
              <c:extLst/>
            </c:strRef>
          </c:cat>
          <c:val>
            <c:numRef>
              <c:f>整理!$F$155:$K$155</c:f>
              <c:numCache>
                <c:formatCode>###,##0.0</c:formatCode>
                <c:ptCount val="6"/>
                <c:pt idx="0">
                  <c:v>7200291</c:v>
                </c:pt>
                <c:pt idx="1">
                  <c:v>6593256</c:v>
                </c:pt>
                <c:pt idx="2">
                  <c:v>11405502</c:v>
                </c:pt>
                <c:pt idx="3">
                  <c:v>10506590</c:v>
                </c:pt>
                <c:pt idx="4">
                  <c:v>14907039</c:v>
                </c:pt>
                <c:pt idx="5">
                  <c:v>16689933</c:v>
                </c:pt>
              </c:numCache>
              <c:extLst/>
            </c:numRef>
          </c:val>
          <c:extLst>
            <c:ext xmlns:c16="http://schemas.microsoft.com/office/drawing/2014/chart" uri="{C3380CC4-5D6E-409C-BE32-E72D297353CC}">
              <c16:uniqueId val="{00000000-9C2D-4AF5-88B3-AA33D4D8F530}"/>
            </c:ext>
          </c:extLst>
        </c:ser>
        <c:ser>
          <c:idx val="1"/>
          <c:order val="1"/>
          <c:tx>
            <c:strRef>
              <c:f>整理!$A$156</c:f>
              <c:strCache>
                <c:ptCount val="1"/>
                <c:pt idx="0">
                  <c:v>流動負債合計</c:v>
                </c:pt>
              </c:strCache>
            </c:strRef>
          </c:tx>
          <c:spPr>
            <a:solidFill>
              <a:schemeClr val="accent2"/>
            </a:solidFill>
            <a:ln>
              <a:noFill/>
            </a:ln>
            <a:effectLst/>
          </c:spPr>
          <c:invertIfNegative val="0"/>
          <c:cat>
            <c:strRef>
              <c:f>整理!$F$154:$K$154</c:f>
              <c:strCache>
                <c:ptCount val="6"/>
                <c:pt idx="0">
                  <c:v>2019-12-31</c:v>
                </c:pt>
                <c:pt idx="1">
                  <c:v>2020-12-31</c:v>
                </c:pt>
                <c:pt idx="2">
                  <c:v>2021-12-31</c:v>
                </c:pt>
                <c:pt idx="3">
                  <c:v>2022-12-31</c:v>
                </c:pt>
                <c:pt idx="4">
                  <c:v>2023-12-31</c:v>
                </c:pt>
                <c:pt idx="5">
                  <c:v>2024-06-30</c:v>
                </c:pt>
              </c:strCache>
              <c:extLst/>
            </c:strRef>
          </c:cat>
          <c:val>
            <c:numRef>
              <c:f>整理!$F$156:$K$156</c:f>
              <c:numCache>
                <c:formatCode>###,##0.0</c:formatCode>
                <c:ptCount val="6"/>
                <c:pt idx="0">
                  <c:v>5664071</c:v>
                </c:pt>
                <c:pt idx="1">
                  <c:v>9867943</c:v>
                </c:pt>
                <c:pt idx="2">
                  <c:v>9885869</c:v>
                </c:pt>
                <c:pt idx="3">
                  <c:v>7232090</c:v>
                </c:pt>
                <c:pt idx="4">
                  <c:v>7241812</c:v>
                </c:pt>
                <c:pt idx="5">
                  <c:v>10417988</c:v>
                </c:pt>
              </c:numCache>
              <c:extLst/>
            </c:numRef>
          </c:val>
          <c:extLst>
            <c:ext xmlns:c16="http://schemas.microsoft.com/office/drawing/2014/chart" uri="{C3380CC4-5D6E-409C-BE32-E72D297353CC}">
              <c16:uniqueId val="{00000001-9C2D-4AF5-88B3-AA33D4D8F530}"/>
            </c:ext>
          </c:extLst>
        </c:ser>
        <c:ser>
          <c:idx val="2"/>
          <c:order val="2"/>
          <c:tx>
            <c:strRef>
              <c:f>整理!$A$157</c:f>
              <c:strCache>
                <c:ptCount val="1"/>
                <c:pt idx="0">
                  <c:v>淨營運資本</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整理!$F$154:$K$154</c:f>
              <c:strCache>
                <c:ptCount val="6"/>
                <c:pt idx="0">
                  <c:v>2019-12-31</c:v>
                </c:pt>
                <c:pt idx="1">
                  <c:v>2020-12-31</c:v>
                </c:pt>
                <c:pt idx="2">
                  <c:v>2021-12-31</c:v>
                </c:pt>
                <c:pt idx="3">
                  <c:v>2022-12-31</c:v>
                </c:pt>
                <c:pt idx="4">
                  <c:v>2023-12-31</c:v>
                </c:pt>
                <c:pt idx="5">
                  <c:v>2024-06-30</c:v>
                </c:pt>
              </c:strCache>
              <c:extLst/>
            </c:strRef>
          </c:cat>
          <c:val>
            <c:numRef>
              <c:f>整理!$F$157:$K$157</c:f>
              <c:numCache>
                <c:formatCode>#,##0.0_ </c:formatCode>
                <c:ptCount val="6"/>
                <c:pt idx="0">
                  <c:v>1536220</c:v>
                </c:pt>
                <c:pt idx="1">
                  <c:v>-3274687</c:v>
                </c:pt>
                <c:pt idx="2">
                  <c:v>1519633</c:v>
                </c:pt>
                <c:pt idx="3">
                  <c:v>3274500</c:v>
                </c:pt>
                <c:pt idx="4">
                  <c:v>7665227</c:v>
                </c:pt>
                <c:pt idx="5">
                  <c:v>6271945</c:v>
                </c:pt>
              </c:numCache>
              <c:extLst/>
            </c:numRef>
          </c:val>
          <c:extLst>
            <c:ext xmlns:c16="http://schemas.microsoft.com/office/drawing/2014/chart" uri="{C3380CC4-5D6E-409C-BE32-E72D297353CC}">
              <c16:uniqueId val="{00000002-9C2D-4AF5-88B3-AA33D4D8F530}"/>
            </c:ext>
          </c:extLst>
        </c:ser>
        <c:dLbls>
          <c:showLegendKey val="0"/>
          <c:showVal val="0"/>
          <c:showCatName val="0"/>
          <c:showSerName val="0"/>
          <c:showPercent val="0"/>
          <c:showBubbleSize val="0"/>
        </c:dLbls>
        <c:gapWidth val="219"/>
        <c:overlap val="-27"/>
        <c:axId val="1009806976"/>
        <c:axId val="1009790656"/>
      </c:barChart>
      <c:catAx>
        <c:axId val="1009806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9790656"/>
        <c:crosses val="autoZero"/>
        <c:auto val="1"/>
        <c:lblAlgn val="ctr"/>
        <c:lblOffset val="100"/>
        <c:noMultiLvlLbl val="0"/>
      </c:catAx>
      <c:valAx>
        <c:axId val="1009790656"/>
        <c:scaling>
          <c:orientation val="minMax"/>
        </c:scaling>
        <c:delete val="0"/>
        <c:axPos val="l"/>
        <c:majorGridlines>
          <c:spPr>
            <a:ln w="9525" cap="flat" cmpd="sng" algn="ctr">
              <a:noFill/>
              <a:round/>
            </a:ln>
            <a:effectLst/>
          </c:spPr>
        </c:majorGridlines>
        <c:numFmt formatCode="0.0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9806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sz="1400" b="0" i="0" u="none" strike="noStrike" kern="1200" spc="0" baseline="0">
                <a:solidFill>
                  <a:sysClr val="windowText" lastClr="000000">
                    <a:lumMod val="65000"/>
                    <a:lumOff val="35000"/>
                  </a:sysClr>
                </a:solidFill>
                <a:latin typeface="+mn-lt"/>
                <a:ea typeface="+mn-ea"/>
                <a:cs typeface="+mn-cs"/>
              </a:rPr>
              <a:t>24H1</a:t>
            </a:r>
            <a:r>
              <a:rPr lang="zh-CN" altLang="en-US" sz="1400" b="0" i="0" u="none" strike="noStrike" kern="1200" spc="0" baseline="0">
                <a:solidFill>
                  <a:sysClr val="windowText" lastClr="000000">
                    <a:lumMod val="65000"/>
                    <a:lumOff val="35000"/>
                  </a:sysClr>
                </a:solidFill>
                <a:latin typeface="+mn-lt"/>
                <a:ea typeface="+mn-ea"/>
                <a:cs typeface="+mn-cs"/>
              </a:rPr>
              <a:t>人均消費</a:t>
            </a:r>
            <a:endParaRPr lang="zh-CN" altLang="en-US"/>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翻檯率等數據!$L$23</c:f>
              <c:strCache>
                <c:ptCount val="1"/>
                <c:pt idx="0">
                  <c:v>人均消費</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翻檯率等數據!$M$21:$P$21</c:f>
              <c:strCache>
                <c:ptCount val="4"/>
                <c:pt idx="0">
                  <c:v>海底撈</c:v>
                </c:pt>
                <c:pt idx="1">
                  <c:v>太二</c:v>
                </c:pt>
                <c:pt idx="2">
                  <c:v>慫</c:v>
                </c:pt>
                <c:pt idx="3">
                  <c:v>呷哺呷哺</c:v>
                </c:pt>
              </c:strCache>
            </c:strRef>
          </c:cat>
          <c:val>
            <c:numRef>
              <c:f>翻檯率等數據!$M$23:$P$23</c:f>
              <c:numCache>
                <c:formatCode>General</c:formatCode>
                <c:ptCount val="4"/>
                <c:pt idx="0">
                  <c:v>97.4</c:v>
                </c:pt>
                <c:pt idx="1">
                  <c:v>71</c:v>
                </c:pt>
                <c:pt idx="2">
                  <c:v>110</c:v>
                </c:pt>
                <c:pt idx="3">
                  <c:v>59.2</c:v>
                </c:pt>
              </c:numCache>
            </c:numRef>
          </c:val>
          <c:extLst>
            <c:ext xmlns:c16="http://schemas.microsoft.com/office/drawing/2014/chart" uri="{C3380CC4-5D6E-409C-BE32-E72D297353CC}">
              <c16:uniqueId val="{00000000-4994-4D79-8E47-6BEEC8EFD6FC}"/>
            </c:ext>
          </c:extLst>
        </c:ser>
        <c:dLbls>
          <c:showLegendKey val="0"/>
          <c:showVal val="0"/>
          <c:showCatName val="0"/>
          <c:showSerName val="0"/>
          <c:showPercent val="0"/>
          <c:showBubbleSize val="0"/>
        </c:dLbls>
        <c:gapWidth val="219"/>
        <c:overlap val="-27"/>
        <c:axId val="79212192"/>
        <c:axId val="79215072"/>
      </c:barChart>
      <c:catAx>
        <c:axId val="79212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79215072"/>
        <c:crosses val="autoZero"/>
        <c:auto val="1"/>
        <c:lblAlgn val="ctr"/>
        <c:lblOffset val="100"/>
        <c:noMultiLvlLbl val="0"/>
      </c:catAx>
      <c:valAx>
        <c:axId val="79215072"/>
        <c:scaling>
          <c:orientation val="minMax"/>
        </c:scaling>
        <c:delete val="0"/>
        <c:axPos val="l"/>
        <c:majorGridlines>
          <c:spPr>
            <a:ln w="9525" cap="flat" cmpd="sng" algn="ctr">
              <a:no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792121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整理!$A$158</c:f>
              <c:strCache>
                <c:ptCount val="1"/>
                <c:pt idx="0">
                  <c:v>流動比率</c:v>
                </c:pt>
              </c:strCache>
            </c:strRef>
          </c:tx>
          <c:spPr>
            <a:ln w="28575" cap="rnd">
              <a:solidFill>
                <a:schemeClr val="accent1"/>
              </a:solidFill>
              <a:round/>
            </a:ln>
            <a:effectLst/>
          </c:spPr>
          <c:marker>
            <c:symbol val="none"/>
          </c:marker>
          <c:dLbls>
            <c:numFmt formatCode="#,##0.00_);[Red]\(#,##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整理!$F$154:$K$154</c:f>
              <c:strCache>
                <c:ptCount val="6"/>
                <c:pt idx="0">
                  <c:v>2019-12-31</c:v>
                </c:pt>
                <c:pt idx="1">
                  <c:v>2020-12-31</c:v>
                </c:pt>
                <c:pt idx="2">
                  <c:v>2021-12-31</c:v>
                </c:pt>
                <c:pt idx="3">
                  <c:v>2022-12-31</c:v>
                </c:pt>
                <c:pt idx="4">
                  <c:v>2023-12-31</c:v>
                </c:pt>
                <c:pt idx="5">
                  <c:v>2024-06-30</c:v>
                </c:pt>
              </c:strCache>
              <c:extLst/>
            </c:strRef>
          </c:cat>
          <c:val>
            <c:numRef>
              <c:f>整理!$F$158:$K$158</c:f>
              <c:numCache>
                <c:formatCode>General</c:formatCode>
                <c:ptCount val="6"/>
                <c:pt idx="0">
                  <c:v>1.2712218826352988</c:v>
                </c:pt>
                <c:pt idx="1">
                  <c:v>0.66814897491807568</c:v>
                </c:pt>
                <c:pt idx="2">
                  <c:v>1.1537176954297088</c:v>
                </c:pt>
                <c:pt idx="3">
                  <c:v>1.4527736795310899</c:v>
                </c:pt>
                <c:pt idx="4">
                  <c:v>2.058468101629813</c:v>
                </c:pt>
                <c:pt idx="5">
                  <c:v>1.6020303536536997</c:v>
                </c:pt>
              </c:numCache>
              <c:extLst/>
            </c:numRef>
          </c:val>
          <c:smooth val="0"/>
          <c:extLst>
            <c:ext xmlns:c16="http://schemas.microsoft.com/office/drawing/2014/chart" uri="{C3380CC4-5D6E-409C-BE32-E72D297353CC}">
              <c16:uniqueId val="{00000000-EA05-4289-802D-82E73BD4B132}"/>
            </c:ext>
          </c:extLst>
        </c:ser>
        <c:dLbls>
          <c:showLegendKey val="0"/>
          <c:showVal val="0"/>
          <c:showCatName val="0"/>
          <c:showSerName val="0"/>
          <c:showPercent val="0"/>
          <c:showBubbleSize val="0"/>
        </c:dLbls>
        <c:smooth val="0"/>
        <c:axId val="1002986864"/>
        <c:axId val="734827024"/>
      </c:lineChart>
      <c:catAx>
        <c:axId val="1002986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34827024"/>
        <c:crosses val="autoZero"/>
        <c:auto val="1"/>
        <c:lblAlgn val="ctr"/>
        <c:lblOffset val="100"/>
        <c:noMultiLvlLbl val="0"/>
      </c:catAx>
      <c:valAx>
        <c:axId val="734827024"/>
        <c:scaling>
          <c:orientation val="minMax"/>
        </c:scaling>
        <c:delete val="0"/>
        <c:axPos val="l"/>
        <c:majorGridlines>
          <c:spPr>
            <a:ln w="9525" cap="flat" cmpd="sng" algn="ctr">
              <a:no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29868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整理!$A$160</c:f>
              <c:strCache>
                <c:ptCount val="1"/>
                <c:pt idx="0">
                  <c:v>速動比率</c:v>
                </c:pt>
              </c:strCache>
            </c:strRef>
          </c:tx>
          <c:spPr>
            <a:ln w="28575" cap="rnd">
              <a:solidFill>
                <a:schemeClr val="accent1"/>
              </a:solidFill>
              <a:round/>
            </a:ln>
            <a:effectLst/>
          </c:spPr>
          <c:marker>
            <c:symbol val="none"/>
          </c:marker>
          <c:dLbls>
            <c:numFmt formatCode="#,##0.00_);[Red]\(#,##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整理!$F$154:$K$154</c:f>
              <c:strCache>
                <c:ptCount val="6"/>
                <c:pt idx="0">
                  <c:v>2019-12-31</c:v>
                </c:pt>
                <c:pt idx="1">
                  <c:v>2020-12-31</c:v>
                </c:pt>
                <c:pt idx="2">
                  <c:v>2021-12-31</c:v>
                </c:pt>
                <c:pt idx="3">
                  <c:v>2022-12-31</c:v>
                </c:pt>
                <c:pt idx="4">
                  <c:v>2023-12-31</c:v>
                </c:pt>
                <c:pt idx="5">
                  <c:v>2024-06-30</c:v>
                </c:pt>
              </c:strCache>
              <c:extLst/>
            </c:strRef>
          </c:cat>
          <c:val>
            <c:numRef>
              <c:f>整理!$F$160:$K$160</c:f>
              <c:numCache>
                <c:formatCode>General</c:formatCode>
                <c:ptCount val="6"/>
                <c:pt idx="0">
                  <c:v>1.0594190997958888</c:v>
                </c:pt>
                <c:pt idx="1">
                  <c:v>0.5511828554340048</c:v>
                </c:pt>
                <c:pt idx="2">
                  <c:v>1.0064127898113964</c:v>
                </c:pt>
                <c:pt idx="3">
                  <c:v>1.2948922095825688</c:v>
                </c:pt>
                <c:pt idx="4">
                  <c:v>1.910076096976834</c:v>
                </c:pt>
                <c:pt idx="5">
                  <c:v>1.5234290920665297</c:v>
                </c:pt>
              </c:numCache>
              <c:extLst/>
            </c:numRef>
          </c:val>
          <c:smooth val="0"/>
          <c:extLst>
            <c:ext xmlns:c16="http://schemas.microsoft.com/office/drawing/2014/chart" uri="{C3380CC4-5D6E-409C-BE32-E72D297353CC}">
              <c16:uniqueId val="{00000000-75BB-4E65-9995-ECB7DEA37690}"/>
            </c:ext>
          </c:extLst>
        </c:ser>
        <c:dLbls>
          <c:showLegendKey val="0"/>
          <c:showVal val="0"/>
          <c:showCatName val="0"/>
          <c:showSerName val="0"/>
          <c:showPercent val="0"/>
          <c:showBubbleSize val="0"/>
        </c:dLbls>
        <c:smooth val="0"/>
        <c:axId val="1079620432"/>
        <c:axId val="1079615632"/>
      </c:lineChart>
      <c:catAx>
        <c:axId val="1079620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9615632"/>
        <c:crosses val="autoZero"/>
        <c:auto val="1"/>
        <c:lblAlgn val="ctr"/>
        <c:lblOffset val="100"/>
        <c:noMultiLvlLbl val="0"/>
      </c:catAx>
      <c:valAx>
        <c:axId val="1079615632"/>
        <c:scaling>
          <c:orientation val="minMax"/>
        </c:scaling>
        <c:delete val="0"/>
        <c:axPos val="l"/>
        <c:majorGridlines>
          <c:spPr>
            <a:ln w="9525" cap="flat" cmpd="sng" algn="ctr">
              <a:no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96204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sz="1400" b="0" i="0" u="none" strike="noStrike" kern="1200" spc="0" baseline="0">
                <a:solidFill>
                  <a:sysClr val="windowText" lastClr="000000">
                    <a:lumMod val="65000"/>
                    <a:lumOff val="35000"/>
                  </a:sysClr>
                </a:solidFill>
                <a:latin typeface="+mn-lt"/>
                <a:ea typeface="+mn-ea"/>
                <a:cs typeface="+mn-cs"/>
              </a:rPr>
              <a:t>負債比率</a:t>
            </a:r>
            <a:endParaRPr lang="zh-CN" altLang="en-US"/>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整理!$A$70</c:f>
              <c:strCache>
                <c:ptCount val="1"/>
                <c:pt idx="0">
                  <c:v>資產負債率</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ysClr val="windowText" lastClr="000000"/>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整理!$B$65:$H$65</c:f>
              <c:strCache>
                <c:ptCount val="7"/>
                <c:pt idx="0">
                  <c:v>2018-12-31</c:v>
                </c:pt>
                <c:pt idx="1">
                  <c:v>2019-12-31</c:v>
                </c:pt>
                <c:pt idx="2">
                  <c:v>2020-12-31</c:v>
                </c:pt>
                <c:pt idx="3">
                  <c:v>2021-12-31</c:v>
                </c:pt>
                <c:pt idx="4">
                  <c:v>2022-12-31</c:v>
                </c:pt>
                <c:pt idx="5">
                  <c:v>2023-12-31</c:v>
                </c:pt>
                <c:pt idx="6">
                  <c:v>2024-06-30</c:v>
                </c:pt>
              </c:strCache>
            </c:strRef>
          </c:cat>
          <c:val>
            <c:numRef>
              <c:f>整理!$B$70:$H$70</c:f>
              <c:numCache>
                <c:formatCode>0.00%</c:formatCode>
                <c:ptCount val="7"/>
                <c:pt idx="0">
                  <c:v>0.27753738642502751</c:v>
                </c:pt>
                <c:pt idx="1">
                  <c:v>0.48452177876593366</c:v>
                </c:pt>
                <c:pt idx="2">
                  <c:v>0.62810315519837434</c:v>
                </c:pt>
                <c:pt idx="3">
                  <c:v>0.71705195373821529</c:v>
                </c:pt>
                <c:pt idx="4">
                  <c:v>0.65222080814285821</c:v>
                </c:pt>
                <c:pt idx="5">
                  <c:v>0.53329250178648147</c:v>
                </c:pt>
                <c:pt idx="6">
                  <c:v>0.62403785742840057</c:v>
                </c:pt>
              </c:numCache>
            </c:numRef>
          </c:val>
          <c:smooth val="0"/>
          <c:extLst>
            <c:ext xmlns:c16="http://schemas.microsoft.com/office/drawing/2014/chart" uri="{C3380CC4-5D6E-409C-BE32-E72D297353CC}">
              <c16:uniqueId val="{00000000-109C-401D-9525-1250699AD156}"/>
            </c:ext>
          </c:extLst>
        </c:ser>
        <c:dLbls>
          <c:showLegendKey val="0"/>
          <c:showVal val="0"/>
          <c:showCatName val="0"/>
          <c:showSerName val="0"/>
          <c:showPercent val="0"/>
          <c:showBubbleSize val="0"/>
        </c:dLbls>
        <c:smooth val="0"/>
        <c:axId val="771298351"/>
        <c:axId val="771296911"/>
      </c:lineChart>
      <c:catAx>
        <c:axId val="7712983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vert="eaVert"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771296911"/>
        <c:crosses val="autoZero"/>
        <c:auto val="1"/>
        <c:lblAlgn val="ctr"/>
        <c:lblOffset val="100"/>
        <c:noMultiLvlLbl val="0"/>
      </c:catAx>
      <c:valAx>
        <c:axId val="771296911"/>
        <c:scaling>
          <c:orientation val="minMax"/>
        </c:scaling>
        <c:delete val="0"/>
        <c:axPos val="l"/>
        <c:majorGridlines>
          <c:spPr>
            <a:ln w="9525" cap="flat" cmpd="sng" algn="ctr">
              <a:no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77129835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股東乘數</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整理!$A$69</c:f>
              <c:strCache>
                <c:ptCount val="1"/>
                <c:pt idx="0">
                  <c:v>權益乘數</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整理!$B$65:$H$65</c:f>
              <c:strCache>
                <c:ptCount val="7"/>
                <c:pt idx="0">
                  <c:v>2018-12-31</c:v>
                </c:pt>
                <c:pt idx="1">
                  <c:v>2019-12-31</c:v>
                </c:pt>
                <c:pt idx="2">
                  <c:v>2020-12-31</c:v>
                </c:pt>
                <c:pt idx="3">
                  <c:v>2021-12-31</c:v>
                </c:pt>
                <c:pt idx="4">
                  <c:v>2022-12-31</c:v>
                </c:pt>
                <c:pt idx="5">
                  <c:v>2023-12-31</c:v>
                </c:pt>
                <c:pt idx="6">
                  <c:v>2024-06-30</c:v>
                </c:pt>
              </c:strCache>
            </c:strRef>
          </c:cat>
          <c:val>
            <c:numRef>
              <c:f>整理!$B$69:$H$69</c:f>
              <c:numCache>
                <c:formatCode>0.00_ </c:formatCode>
                <c:ptCount val="7"/>
                <c:pt idx="0">
                  <c:v>1.3841546693353239</c:v>
                </c:pt>
                <c:pt idx="1">
                  <c:v>1.9399461680572609</c:v>
                </c:pt>
                <c:pt idx="2">
                  <c:v>2.6889176769795191</c:v>
                </c:pt>
                <c:pt idx="3">
                  <c:v>3.5342177237541188</c:v>
                </c:pt>
                <c:pt idx="4">
                  <c:v>2.8753876695727465</c:v>
                </c:pt>
                <c:pt idx="5">
                  <c:v>2.1426696674637533</c:v>
                </c:pt>
                <c:pt idx="6">
                  <c:v>2.6598422733734606</c:v>
                </c:pt>
              </c:numCache>
            </c:numRef>
          </c:val>
          <c:smooth val="0"/>
          <c:extLst>
            <c:ext xmlns:c16="http://schemas.microsoft.com/office/drawing/2014/chart" uri="{C3380CC4-5D6E-409C-BE32-E72D297353CC}">
              <c16:uniqueId val="{00000000-9C76-48E6-8AD5-CF0ECD572734}"/>
            </c:ext>
          </c:extLst>
        </c:ser>
        <c:dLbls>
          <c:dLblPos val="t"/>
          <c:showLegendKey val="0"/>
          <c:showVal val="1"/>
          <c:showCatName val="0"/>
          <c:showSerName val="0"/>
          <c:showPercent val="0"/>
          <c:showBubbleSize val="0"/>
        </c:dLbls>
        <c:smooth val="0"/>
        <c:axId val="999240815"/>
        <c:axId val="999241775"/>
      </c:lineChart>
      <c:catAx>
        <c:axId val="9992408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vert="eaVert"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99241775"/>
        <c:crosses val="autoZero"/>
        <c:auto val="1"/>
        <c:lblAlgn val="ctr"/>
        <c:lblOffset val="100"/>
        <c:noMultiLvlLbl val="0"/>
      </c:catAx>
      <c:valAx>
        <c:axId val="999241775"/>
        <c:scaling>
          <c:orientation val="minMax"/>
        </c:scaling>
        <c:delete val="0"/>
        <c:axPos val="l"/>
        <c:majorGridlines>
          <c:spPr>
            <a:ln w="9525" cap="flat" cmpd="sng" algn="ctr">
              <a:noFill/>
              <a:round/>
            </a:ln>
            <a:effectLst/>
          </c:spPr>
        </c:majorGridlines>
        <c:numFmt formatCode="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9924081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整理!$A$9</c:f>
              <c:strCache>
                <c:ptCount val="1"/>
                <c:pt idx="0">
                  <c:v>毛利率</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整理!$F$6:$K$6</c:f>
              <c:strCache>
                <c:ptCount val="6"/>
                <c:pt idx="0">
                  <c:v>2019-12-31</c:v>
                </c:pt>
                <c:pt idx="1">
                  <c:v>2020-12-31</c:v>
                </c:pt>
                <c:pt idx="2">
                  <c:v>2021-12-31</c:v>
                </c:pt>
                <c:pt idx="3">
                  <c:v>2022-12-31</c:v>
                </c:pt>
                <c:pt idx="4">
                  <c:v>2023-12-31</c:v>
                </c:pt>
                <c:pt idx="5">
                  <c:v>2024-06-30</c:v>
                </c:pt>
              </c:strCache>
              <c:extLst/>
            </c:strRef>
          </c:cat>
          <c:val>
            <c:numRef>
              <c:f>整理!$F$9:$K$9</c:f>
              <c:numCache>
                <c:formatCode>0.00%</c:formatCode>
                <c:ptCount val="6"/>
                <c:pt idx="0">
                  <c:v>0.57677812810101836</c:v>
                </c:pt>
                <c:pt idx="1">
                  <c:v>0.57149102781113814</c:v>
                </c:pt>
                <c:pt idx="2">
                  <c:v>0.56272534989131051</c:v>
                </c:pt>
                <c:pt idx="3">
                  <c:v>0.5841820551767839</c:v>
                </c:pt>
                <c:pt idx="4">
                  <c:v>0.59119794135807802</c:v>
                </c:pt>
                <c:pt idx="5">
                  <c:v>0.60973198752979341</c:v>
                </c:pt>
              </c:numCache>
              <c:extLst/>
            </c:numRef>
          </c:val>
          <c:smooth val="0"/>
          <c:extLst>
            <c:ext xmlns:c16="http://schemas.microsoft.com/office/drawing/2014/chart" uri="{C3380CC4-5D6E-409C-BE32-E72D297353CC}">
              <c16:uniqueId val="{00000000-DB57-4144-90D1-CA36DF32F511}"/>
            </c:ext>
          </c:extLst>
        </c:ser>
        <c:dLbls>
          <c:showLegendKey val="0"/>
          <c:showVal val="0"/>
          <c:showCatName val="0"/>
          <c:showSerName val="0"/>
          <c:showPercent val="0"/>
          <c:showBubbleSize val="0"/>
        </c:dLbls>
        <c:smooth val="0"/>
        <c:axId val="1277036528"/>
        <c:axId val="1277032208"/>
      </c:lineChart>
      <c:catAx>
        <c:axId val="1277036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77032208"/>
        <c:crosses val="autoZero"/>
        <c:auto val="1"/>
        <c:lblAlgn val="ctr"/>
        <c:lblOffset val="100"/>
        <c:noMultiLvlLbl val="0"/>
      </c:catAx>
      <c:valAx>
        <c:axId val="1277032208"/>
        <c:scaling>
          <c:orientation val="minMax"/>
        </c:scaling>
        <c:delete val="0"/>
        <c:axPos val="l"/>
        <c:majorGridlines>
          <c:spPr>
            <a:ln w="9525" cap="flat" cmpd="sng" algn="ctr">
              <a:no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770365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整理!$A$30</c:f>
              <c:strCache>
                <c:ptCount val="1"/>
                <c:pt idx="0">
                  <c:v>淨利率</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整理!$C$27:$H$27</c:f>
              <c:strCache>
                <c:ptCount val="6"/>
                <c:pt idx="0">
                  <c:v>2019-12-31</c:v>
                </c:pt>
                <c:pt idx="1">
                  <c:v>2020-12-31</c:v>
                </c:pt>
                <c:pt idx="2">
                  <c:v>2021-12-31</c:v>
                </c:pt>
                <c:pt idx="3">
                  <c:v>2022-12-31</c:v>
                </c:pt>
                <c:pt idx="4">
                  <c:v>2023-12-31</c:v>
                </c:pt>
                <c:pt idx="5">
                  <c:v>2024-06-30</c:v>
                </c:pt>
              </c:strCache>
              <c:extLst/>
            </c:strRef>
          </c:cat>
          <c:val>
            <c:numRef>
              <c:f>整理!$C$30:$H$30</c:f>
              <c:numCache>
                <c:formatCode>0.00%</c:formatCode>
                <c:ptCount val="6"/>
                <c:pt idx="0">
                  <c:v>8.8378535273962083E-2</c:v>
                </c:pt>
                <c:pt idx="1">
                  <c:v>1.0817894787056312E-2</c:v>
                </c:pt>
                <c:pt idx="2">
                  <c:v>-0.10121726157059618</c:v>
                </c:pt>
                <c:pt idx="3">
                  <c:v>4.4242153182385537E-2</c:v>
                </c:pt>
                <c:pt idx="4">
                  <c:v>0.10844477507582741</c:v>
                </c:pt>
                <c:pt idx="5">
                  <c:v>9.4602958284256369E-2</c:v>
                </c:pt>
              </c:numCache>
              <c:extLst/>
            </c:numRef>
          </c:val>
          <c:smooth val="0"/>
          <c:extLst>
            <c:ext xmlns:c16="http://schemas.microsoft.com/office/drawing/2014/chart" uri="{C3380CC4-5D6E-409C-BE32-E72D297353CC}">
              <c16:uniqueId val="{00000000-EF58-435F-A546-6478EA58C8BD}"/>
            </c:ext>
          </c:extLst>
        </c:ser>
        <c:dLbls>
          <c:dLblPos val="t"/>
          <c:showLegendKey val="0"/>
          <c:showVal val="1"/>
          <c:showCatName val="0"/>
          <c:showSerName val="0"/>
          <c:showPercent val="0"/>
          <c:showBubbleSize val="0"/>
        </c:dLbls>
        <c:smooth val="0"/>
        <c:axId val="998276368"/>
        <c:axId val="998269168"/>
      </c:lineChart>
      <c:catAx>
        <c:axId val="998276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98269168"/>
        <c:crosses val="autoZero"/>
        <c:auto val="1"/>
        <c:lblAlgn val="ctr"/>
        <c:lblOffset val="100"/>
        <c:noMultiLvlLbl val="0"/>
      </c:catAx>
      <c:valAx>
        <c:axId val="998269168"/>
        <c:scaling>
          <c:orientation val="minMax"/>
        </c:scaling>
        <c:delete val="0"/>
        <c:axPos val="l"/>
        <c:majorGridlines>
          <c:spPr>
            <a:ln w="9525" cap="flat" cmpd="sng" algn="ctr">
              <a:no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982763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整理!$A$31</c:f>
              <c:strCache>
                <c:ptCount val="1"/>
                <c:pt idx="0">
                  <c:v>資產回報率</c:v>
                </c:pt>
              </c:strCache>
            </c:strRef>
          </c:tx>
          <c:spPr>
            <a:ln w="28575" cap="rnd">
              <a:solidFill>
                <a:schemeClr val="accent1"/>
              </a:solidFill>
              <a:round/>
            </a:ln>
            <a:effectLst/>
          </c:spPr>
          <c:marker>
            <c:symbol val="none"/>
          </c:marker>
          <c:dLbls>
            <c:dLbl>
              <c:idx val="5"/>
              <c:tx>
                <c:rich>
                  <a:bodyPr/>
                  <a:lstStyle/>
                  <a:p>
                    <a:fld id="{8962B3D7-9AB9-4BC2-87AA-D72A49038DE8}" type="VALUE">
                      <a:rPr lang="en-US" altLang="zh-CN"/>
                      <a:pPr/>
                      <a:t>[值]</a:t>
                    </a:fld>
                    <a:r>
                      <a:rPr lang="en-US" altLang="zh-CN"/>
                      <a:t>(</a:t>
                    </a:r>
                    <a:r>
                      <a:rPr lang="zh-CN" altLang="en-US"/>
                      <a:t>半年</a:t>
                    </a:r>
                    <a:r>
                      <a:rPr lang="en-US" altLang="zh-CN"/>
                      <a:t>)</a:t>
                    </a:r>
                  </a:p>
                </c:rich>
              </c:tx>
              <c:dLblPos val="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8E19-4750-82C0-AEEFA4C0AEB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整理!$C$27:$H$27</c:f>
              <c:strCache>
                <c:ptCount val="6"/>
                <c:pt idx="0">
                  <c:v>2019-12-31</c:v>
                </c:pt>
                <c:pt idx="1">
                  <c:v>2020-12-31</c:v>
                </c:pt>
                <c:pt idx="2">
                  <c:v>2021-12-31</c:v>
                </c:pt>
                <c:pt idx="3">
                  <c:v>2022-12-31</c:v>
                </c:pt>
                <c:pt idx="4">
                  <c:v>2023-12-31</c:v>
                </c:pt>
                <c:pt idx="5">
                  <c:v>2024-06-30</c:v>
                </c:pt>
              </c:strCache>
              <c:extLst/>
            </c:strRef>
          </c:cat>
          <c:val>
            <c:numRef>
              <c:f>整理!$C$31:$H$31</c:f>
              <c:numCache>
                <c:formatCode>0.00%</c:formatCode>
                <c:ptCount val="6"/>
                <c:pt idx="0">
                  <c:v>0.11385319404371762</c:v>
                </c:pt>
                <c:pt idx="1">
                  <c:v>1.1245118636353992E-2</c:v>
                </c:pt>
                <c:pt idx="2">
                  <c:v>-0.14850054174498306</c:v>
                </c:pt>
                <c:pt idx="3">
                  <c:v>6.4051778160100062E-2</c:v>
                </c:pt>
                <c:pt idx="4">
                  <c:v>0.1821696058815582</c:v>
                </c:pt>
                <c:pt idx="5">
                  <c:v>8.0129646589406897E-2</c:v>
                </c:pt>
              </c:numCache>
              <c:extLst/>
            </c:numRef>
          </c:val>
          <c:smooth val="0"/>
          <c:extLst>
            <c:ext xmlns:c16="http://schemas.microsoft.com/office/drawing/2014/chart" uri="{C3380CC4-5D6E-409C-BE32-E72D297353CC}">
              <c16:uniqueId val="{00000000-8E19-4750-82C0-AEEFA4C0AEB6}"/>
            </c:ext>
          </c:extLst>
        </c:ser>
        <c:dLbls>
          <c:dLblPos val="t"/>
          <c:showLegendKey val="0"/>
          <c:showVal val="1"/>
          <c:showCatName val="0"/>
          <c:showSerName val="0"/>
          <c:showPercent val="0"/>
          <c:showBubbleSize val="0"/>
        </c:dLbls>
        <c:smooth val="0"/>
        <c:axId val="1072235600"/>
        <c:axId val="1072226960"/>
      </c:lineChart>
      <c:catAx>
        <c:axId val="1072235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2226960"/>
        <c:crosses val="autoZero"/>
        <c:auto val="1"/>
        <c:lblAlgn val="ctr"/>
        <c:lblOffset val="100"/>
        <c:noMultiLvlLbl val="0"/>
      </c:catAx>
      <c:valAx>
        <c:axId val="1072226960"/>
        <c:scaling>
          <c:orientation val="minMax"/>
        </c:scaling>
        <c:delete val="0"/>
        <c:axPos val="l"/>
        <c:majorGridlines>
          <c:spPr>
            <a:ln w="9525" cap="flat" cmpd="sng" algn="ctr">
              <a:no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22356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878A76-CFEB-4643-9662-C49454338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TotalTime>
  <Pages>1</Pages>
  <Words>395</Words>
  <Characters>2255</Characters>
  <Application>Microsoft Office Word</Application>
  <DocSecurity>0</DocSecurity>
  <Lines>18</Lines>
  <Paragraphs>5</Paragraphs>
  <ScaleCrop>false</ScaleCrop>
  <Company/>
  <LinksUpToDate>false</LinksUpToDate>
  <CharactersWithSpaces>2645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尤斌 崔</dc:creator>
  <cp:lastModifiedBy>尤斌 崔</cp:lastModifiedBy>
  <cp:revision>33</cp:revision>
  <dcterms:created xsi:type="dcterms:W3CDTF">2024-10-23T03:10:00Z</dcterms:created>
  <dcterms:modified xsi:type="dcterms:W3CDTF">2024-10-30T16:03:00Z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0FD195A9E2C24E5C931DC9ED7F9E8CE7_12</vt:lpwstr>
  </property>
</Properties>
</file>