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6 Report - Modulation Recognition and Interference Effects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Known References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Carrier/message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Observed features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Calculated feature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Measured span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Difference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AM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FM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Show one AM and one FM calculation.</w:t>
      </w:r>
    </w:p>
    <w:p>
      <w:r>
        <w:br/>
      </w:r>
    </w:p>
    <w:p w14:paraId="5480D0E4" w14:textId="77777777" w:rsidR="003F260B" w:rsidRPr="003F260B" w:rsidRDefault="003F260B" w:rsidP="005F629C">
      <w:pPr>
        <w:pStyle w:val="Heading1"/>
      </w:pPr>
      <w:r>
        <w:t>Table 2 - Unknown Classification (20)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Envelope/time evidence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Spectrum evidence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Classification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Confidence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Alternative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Unknown 1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Unknown 2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State one unsupported attribution claim.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Controlled Impairment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Fixed settings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Changed feature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Measured result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Recovery/sync effect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Restored?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Baseline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Impaired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Restored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Quantify the most important before/after change.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Known Reference</w:t>
      </w:r>
    </w:p>
    <w:p w14:paraId="344CA639" w14:textId="338FC09C" w:rsidR="00775EDC" w:rsidRPr="00775EDC" w:rsidRDefault="00775EDC" w:rsidP="00775EDC">
      <w:r>
        <w:t>Pictured: Time and spectrum evidence with carrier and message features.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Unknown Classification</w:t>
      </w:r>
    </w:p>
    <w:p w14:paraId="344CA639" w14:textId="338FC09C" w:rsidR="00775EDC" w:rsidRPr="00775EDC" w:rsidRDefault="00775EDC" w:rsidP="00775EDC">
      <w:r>
        <w:t>Pictured: The most diagnostic unknown with annotations.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Impairment Comparison</w:t>
      </w:r>
    </w:p>
    <w:p w14:paraId="344CA639" w14:textId="338FC09C" w:rsidR="00775EDC" w:rsidRPr="00775EDC" w:rsidRDefault="00775EDC" w:rsidP="00775EDC">
      <w:r>
        <w:t>Pictured: Baseline, impaired, and restored evidence.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measured features best separated AM and FM?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the controlled impairment change recovery or synchronization?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diagnosis is supported and what attribution remains unsupported?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additional measurement would increase confidence?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6 Report - Modulation Recognition and Interference Effects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