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正确使用GreenDao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>（12条）</w:t>
      </w:r>
    </w:p>
    <w:p>
      <w:pPr>
        <w:jc w:val="center"/>
        <w:rPr>
          <w:rFonts w:hint="eastAsia" w:ascii="Times New Roman" w:hAnsi="Times New Roman"/>
          <w:sz w:val="36"/>
          <w:szCs w:val="36"/>
          <w:lang w:val="en-US" w:eastAsia="zh-CN"/>
        </w:rPr>
      </w:pPr>
    </w:p>
    <w:p>
      <w:pPr>
        <w:jc w:val="center"/>
        <w:rPr>
          <w:rFonts w:hint="eastAsia"/>
        </w:rPr>
      </w:pPr>
      <w:bookmarkStart w:id="0" w:name="_Toc311011407"/>
      <w:bookmarkStart w:id="1" w:name="_Toc28302"/>
      <w:r>
        <w:rPr>
          <w:rFonts w:hint="eastAsia"/>
        </w:rPr>
        <w:t>修订纪录</w:t>
      </w:r>
      <w:bookmarkEnd w:id="0"/>
      <w:bookmarkEnd w:id="1"/>
    </w:p>
    <w:tbl>
      <w:tblPr>
        <w:tblStyle w:val="5"/>
        <w:tblW w:w="9288" w:type="dxa"/>
        <w:jc w:val="center"/>
        <w:tblInd w:w="0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single" w:color="C0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3450"/>
        <w:gridCol w:w="360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single" w:color="C0C0C0" w:sz="6" w:space="0"/>
          </w:tblBorders>
          <w:tblLayout w:type="fixed"/>
        </w:tblPrEx>
        <w:trPr>
          <w:jc w:val="center"/>
        </w:trPr>
        <w:tc>
          <w:tcPr>
            <w:tcW w:w="2238" w:type="dxa"/>
            <w:tcBorders>
              <w:bottom w:val="single" w:color="80808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i/>
                <w:sz w:val="21"/>
              </w:rPr>
            </w:pPr>
            <w:r>
              <w:rPr>
                <w:rFonts w:hint="eastAsia"/>
                <w:b/>
                <w:i/>
                <w:sz w:val="21"/>
              </w:rPr>
              <w:t>修订时间</w:t>
            </w:r>
          </w:p>
        </w:tc>
        <w:tc>
          <w:tcPr>
            <w:tcW w:w="3450" w:type="dxa"/>
            <w:tcBorders>
              <w:bottom w:val="single" w:color="808080" w:sz="6" w:space="0"/>
            </w:tcBorders>
            <w:shd w:val="solid" w:color="C0C0C0" w:fill="FFFFFF"/>
            <w:vAlign w:val="top"/>
          </w:tcPr>
          <w:p>
            <w:pPr>
              <w:jc w:val="center"/>
              <w:rPr>
                <w:rFonts w:hint="eastAsia"/>
                <w:b/>
                <w:i/>
                <w:sz w:val="21"/>
              </w:rPr>
            </w:pPr>
            <w:r>
              <w:rPr>
                <w:rFonts w:hint="eastAsia"/>
                <w:b/>
                <w:i/>
                <w:sz w:val="21"/>
              </w:rPr>
              <w:t>内容摘要</w:t>
            </w:r>
          </w:p>
        </w:tc>
        <w:tc>
          <w:tcPr>
            <w:tcW w:w="3600" w:type="dxa"/>
            <w:tcBorders>
              <w:bottom w:val="single" w:color="808080" w:sz="6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i/>
                <w:sz w:val="21"/>
              </w:rPr>
            </w:pPr>
            <w:r>
              <w:rPr>
                <w:rFonts w:hint="eastAsia"/>
                <w:b/>
                <w:i/>
                <w:sz w:val="21"/>
              </w:rPr>
              <w:t>作者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2018年2月24日</w:t>
            </w:r>
          </w:p>
        </w:tc>
        <w:tc>
          <w:tcPr>
            <w:tcW w:w="3450" w:type="dxa"/>
            <w:shd w:val="solid" w:color="C0C0C0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3600" w:type="dxa"/>
            <w:vAlign w:val="top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tsotumu@qq.com</w:t>
            </w:r>
          </w:p>
        </w:tc>
      </w:tr>
    </w:tbl>
    <w:p>
      <w:pPr>
        <w:jc w:val="center"/>
      </w:pPr>
      <w:r>
        <w:rPr>
          <w:rFonts w:hint="eastAsia"/>
          <w:sz w:val="21"/>
        </w:rPr>
        <w:t>（说明：对外文档中无需修订纪录）</w:t>
      </w:r>
    </w:p>
    <w:p>
      <w:pPr>
        <w:pStyle w:val="2"/>
        <w:numPr>
          <w:numId w:val="0"/>
        </w:numPr>
        <w:ind w:left="420" w:leftChars="0"/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bookmarkStart w:id="2" w:name="_GoBack"/>
      <w:bookmarkEnd w:id="2"/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在项目中添加GreenDao，官方参考项目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"https://github.com/greenrobot/greenDAO/blob/master/examples/DaoExample/build.gradle"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sz w:val="21"/>
          <w:szCs w:val="21"/>
          <w:lang w:val="en-US" w:eastAsia="zh-CN"/>
        </w:rPr>
        <w:t>链接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000115" cy="9810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14140" cy="2667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20002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建Entity，构建数据库表，常用的注解如下表所示：</w:t>
      </w:r>
    </w:p>
    <w:tbl>
      <w:tblPr>
        <w:tblStyle w:val="6"/>
        <w:tblW w:w="11666" w:type="dxa"/>
        <w:jc w:val="center"/>
        <w:tblInd w:w="5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686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8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65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single" w:color="auto" w:sz="6" w:space="0"/>
              <w:left w:val="single" w:color="auto" w:sz="12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@Entity</w:t>
            </w:r>
          </w:p>
        </w:tc>
        <w:tc>
          <w:tcPr>
            <w:tcW w:w="6865" w:type="dxa"/>
            <w:tcBorders>
              <w:top w:val="single" w:color="auto" w:sz="6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 xml:space="preserve">声明数据库表，nameInDb = 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表名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  <w:tcBorders>
              <w:top w:val="single" w:color="auto" w:sz="6" w:space="0"/>
              <w:left w:val="dashed" w:color="auto" w:sz="4" w:space="0"/>
              <w:bottom w:val="dashed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dashed" w:color="auto" w:sz="4" w:space="0"/>
              <w:left w:val="single" w:color="auto" w:sz="12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@Id</w:t>
            </w:r>
          </w:p>
        </w:tc>
        <w:tc>
          <w:tcPr>
            <w:tcW w:w="6865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声明变量为主键、类型必须为long</w:t>
            </w:r>
          </w:p>
        </w:tc>
        <w:tc>
          <w:tcPr>
            <w:tcW w:w="2841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dashed" w:color="auto" w:sz="4" w:space="0"/>
              <w:left w:val="single" w:color="auto" w:sz="12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@Unique</w:t>
            </w:r>
          </w:p>
        </w:tc>
        <w:tc>
          <w:tcPr>
            <w:tcW w:w="6865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声明某变量是否唯一</w:t>
            </w:r>
          </w:p>
        </w:tc>
        <w:tc>
          <w:tcPr>
            <w:tcW w:w="2841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dashed" w:color="auto" w:sz="4" w:space="0"/>
              <w:left w:val="single" w:color="auto" w:sz="12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@Transient</w:t>
            </w:r>
          </w:p>
        </w:tc>
        <w:tc>
          <w:tcPr>
            <w:tcW w:w="6865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声明某变量不被映射到数据库表中，</w:t>
            </w:r>
          </w:p>
        </w:tc>
        <w:tc>
          <w:tcPr>
            <w:tcW w:w="2841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dashed" w:color="auto" w:sz="4" w:space="0"/>
              <w:left w:val="single" w:color="auto" w:sz="12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@Property</w:t>
            </w:r>
          </w:p>
        </w:tc>
        <w:tc>
          <w:tcPr>
            <w:tcW w:w="6865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自定义列名</w:t>
            </w:r>
          </w:p>
        </w:tc>
        <w:tc>
          <w:tcPr>
            <w:tcW w:w="2841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dashed" w:color="auto" w:sz="4" w:space="0"/>
              <w:left w:val="single" w:color="auto" w:sz="12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@NotNull</w:t>
            </w:r>
          </w:p>
        </w:tc>
        <w:tc>
          <w:tcPr>
            <w:tcW w:w="6865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0" w:type="dxa"/>
            <w:tcBorders>
              <w:top w:val="dashed" w:color="auto" w:sz="4" w:space="0"/>
              <w:left w:val="single" w:color="auto" w:sz="12" w:space="0"/>
              <w:bottom w:val="single" w:color="auto" w:sz="12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65" w:type="dxa"/>
            <w:tcBorders>
              <w:top w:val="dashed" w:color="auto" w:sz="4" w:space="0"/>
              <w:left w:val="dashed" w:color="auto" w:sz="4" w:space="0"/>
              <w:bottom w:val="single" w:color="auto" w:sz="12" w:space="0"/>
              <w:right w:val="dashed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dashed" w:color="auto" w:sz="4" w:space="0"/>
              <w:left w:val="dashed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增删改查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增加，代码如下：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57090" cy="571500"/>
            <wp:effectExtent l="0" t="0" r="1016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删除，代码如下：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09715" cy="1762125"/>
            <wp:effectExtent l="0" t="0" r="63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更改，代码如下：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9208770" cy="882650"/>
            <wp:effectExtent l="0" t="0" r="1143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877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查询，条件查询如下：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9257030" cy="3952875"/>
            <wp:effectExtent l="0" t="0" r="127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703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变更数据库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变更数据库（添加表，删除表，修改表属性）需要做数据库升级，注意事项：</w:t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修改值schemaVersion：</w:t>
      </w:r>
    </w:p>
    <w:p>
      <w:pPr>
        <w:numPr>
          <w:ilvl w:val="0"/>
          <w:numId w:val="0"/>
        </w:numPr>
        <w:ind w:left="84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90615" cy="895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26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如果更改数据库表的列项，需要做数据库迁移：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68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待完成。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调试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打印日志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790190" cy="2381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/>
          <w:sz w:val="28"/>
          <w:szCs w:val="28"/>
          <w:lang w:val="en-US" w:eastAsia="zh-CN"/>
        </w:rPr>
        <w:t>高效地使用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Session：缓存管理。对于重复查询，会返回缓存里面的的同一Entity对象，例如：通过id去获取一个entity并且你之前获取过该entity，greendao则不会查询数据库获取该Entity。而是从session 缓存中直接返回该Entity。无论你操作多少次，结果都是一样的。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Dao：封装各个表的各项操作。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Master：维护管理数据库连接。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由于GreenDao默认开启了缓存，所以当你调用A查询语句取得X实体，然后对X实体进行修改并更新到数据库，接着再调用A查询语句取得X实体，会发现X实体的内容依旧是修改前的。其实你的修改已经更新到数据库中，只是查询采用了缓存，所以直接返回了第一次查询的实体。 解决方法：查询前先清空缓存，清空方法如下：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09315" cy="771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1DA0"/>
    <w:multiLevelType w:val="multilevel"/>
    <w:tmpl w:val="5A371DA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5A387D61"/>
    <w:multiLevelType w:val="multilevel"/>
    <w:tmpl w:val="5A387D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1D9E"/>
    <w:rsid w:val="03D37F62"/>
    <w:rsid w:val="05011E09"/>
    <w:rsid w:val="053660EF"/>
    <w:rsid w:val="05F3518C"/>
    <w:rsid w:val="07727810"/>
    <w:rsid w:val="0E5D09AC"/>
    <w:rsid w:val="129027BE"/>
    <w:rsid w:val="15431434"/>
    <w:rsid w:val="171A3AF7"/>
    <w:rsid w:val="178623B0"/>
    <w:rsid w:val="1C306FD7"/>
    <w:rsid w:val="2245759A"/>
    <w:rsid w:val="23E159F3"/>
    <w:rsid w:val="27227207"/>
    <w:rsid w:val="283A2FC0"/>
    <w:rsid w:val="2A660FF2"/>
    <w:rsid w:val="2AB85CE4"/>
    <w:rsid w:val="2D325FA5"/>
    <w:rsid w:val="2D3A23EE"/>
    <w:rsid w:val="30FB2D55"/>
    <w:rsid w:val="31F3618E"/>
    <w:rsid w:val="345D32EA"/>
    <w:rsid w:val="364C7A52"/>
    <w:rsid w:val="37C875D8"/>
    <w:rsid w:val="38143F3A"/>
    <w:rsid w:val="39227F8D"/>
    <w:rsid w:val="3C4345E2"/>
    <w:rsid w:val="3EAE79F5"/>
    <w:rsid w:val="40235864"/>
    <w:rsid w:val="41467679"/>
    <w:rsid w:val="433A1627"/>
    <w:rsid w:val="43BA1454"/>
    <w:rsid w:val="44232BF2"/>
    <w:rsid w:val="442F0093"/>
    <w:rsid w:val="44CF4900"/>
    <w:rsid w:val="45AF58CA"/>
    <w:rsid w:val="47270A7E"/>
    <w:rsid w:val="49A74012"/>
    <w:rsid w:val="4A451F22"/>
    <w:rsid w:val="4B831A5A"/>
    <w:rsid w:val="4BD20143"/>
    <w:rsid w:val="4DCB7C55"/>
    <w:rsid w:val="50F34F8C"/>
    <w:rsid w:val="514C3547"/>
    <w:rsid w:val="52F72C45"/>
    <w:rsid w:val="53601D31"/>
    <w:rsid w:val="53A904D1"/>
    <w:rsid w:val="54AE3F7E"/>
    <w:rsid w:val="56ED2005"/>
    <w:rsid w:val="5734493D"/>
    <w:rsid w:val="57F85901"/>
    <w:rsid w:val="59CA2AB5"/>
    <w:rsid w:val="59E95C0F"/>
    <w:rsid w:val="5CEC7BB6"/>
    <w:rsid w:val="5D356755"/>
    <w:rsid w:val="5D361617"/>
    <w:rsid w:val="5EE06BFC"/>
    <w:rsid w:val="5F14375B"/>
    <w:rsid w:val="5F4019B2"/>
    <w:rsid w:val="6092273F"/>
    <w:rsid w:val="61CD3BAB"/>
    <w:rsid w:val="61D71348"/>
    <w:rsid w:val="632F55A8"/>
    <w:rsid w:val="67620EB7"/>
    <w:rsid w:val="6A324423"/>
    <w:rsid w:val="6AF8323C"/>
    <w:rsid w:val="6DA746AA"/>
    <w:rsid w:val="6E1A05FA"/>
    <w:rsid w:val="6FEB684F"/>
    <w:rsid w:val="708F7D28"/>
    <w:rsid w:val="74602D6B"/>
    <w:rsid w:val="74B21B3D"/>
    <w:rsid w:val="768A02A8"/>
    <w:rsid w:val="77DD2EAF"/>
    <w:rsid w:val="7924570C"/>
    <w:rsid w:val="79862156"/>
    <w:rsid w:val="7A0E35D1"/>
    <w:rsid w:val="7AF739A4"/>
    <w:rsid w:val="7C7938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2018-02-24T07:56:39Z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