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5932BA" w14:textId="09A0987B" w:rsidR="00D756E0" w:rsidRDefault="00D756E0" w:rsidP="00836AD3">
      <w:pPr>
        <w:spacing w:after="0" w:line="360" w:lineRule="auto"/>
        <w:jc w:val="both"/>
      </w:pPr>
      <w:r>
        <w:t>Tutorial 3</w:t>
      </w:r>
    </w:p>
    <w:p w14:paraId="6A32CAB9" w14:textId="77777777" w:rsidR="009447EE" w:rsidRDefault="009447EE" w:rsidP="00836AD3">
      <w:pPr>
        <w:spacing w:after="0" w:line="360" w:lineRule="auto"/>
        <w:jc w:val="both"/>
      </w:pPr>
    </w:p>
    <w:p w14:paraId="093938EE" w14:textId="76BDCB72" w:rsidR="00D756E0" w:rsidRDefault="00D756E0" w:rsidP="00836AD3">
      <w:pPr>
        <w:spacing w:after="0" w:line="360" w:lineRule="auto"/>
        <w:jc w:val="both"/>
      </w:pPr>
      <w:r>
        <w:t xml:space="preserve">Title: </w:t>
      </w:r>
      <w:r>
        <w:rPr>
          <w:b/>
        </w:rPr>
        <w:t>Full-Duplex Spoken Dialogue for Embodied AI: Applications in Virtual Avatars and Humanoid Robot Simulation</w:t>
      </w:r>
    </w:p>
    <w:p w14:paraId="464240D3" w14:textId="77777777" w:rsidR="009447EE" w:rsidRDefault="009447EE" w:rsidP="00836AD3">
      <w:pPr>
        <w:spacing w:after="0" w:line="360" w:lineRule="auto"/>
        <w:jc w:val="both"/>
        <w:rPr>
          <w:lang w:val="en-JP"/>
        </w:rPr>
      </w:pPr>
    </w:p>
    <w:p w14:paraId="6F56B887" w14:textId="64CDCD1A" w:rsidR="00D756E0" w:rsidRDefault="00D756E0" w:rsidP="00836AD3">
      <w:pPr>
        <w:spacing w:after="0" w:line="360" w:lineRule="auto"/>
        <w:jc w:val="both"/>
        <w:rPr>
          <w:lang w:val="en-JP"/>
        </w:rPr>
      </w:pPr>
      <w:r>
        <w:rPr>
          <w:lang w:val="en-JP"/>
        </w:rPr>
        <w:t>Tutorial Time: Monday 9 November, 13:30–15:00 AEDT (90 minutes; hybrid: on-site and online) · Room 080.10.016</w:t>
      </w:r>
    </w:p>
    <w:p w14:paraId="5015864B" w14:textId="77777777" w:rsidR="009447EE" w:rsidRDefault="009447EE" w:rsidP="00836AD3">
      <w:pPr>
        <w:spacing w:after="0" w:line="360" w:lineRule="auto"/>
        <w:jc w:val="both"/>
      </w:pPr>
    </w:p>
    <w:p w14:paraId="77CDB0CB" w14:textId="178478A8" w:rsidR="00D756E0" w:rsidRDefault="00D756E0" w:rsidP="00836AD3">
      <w:pPr>
        <w:spacing w:after="0" w:line="360" w:lineRule="auto"/>
        <w:jc w:val="both"/>
        <w:rPr>
          <w:lang w:eastAsia="ja-JP"/>
        </w:rPr>
      </w:pPr>
      <w:r>
        <w:rPr>
          <w:lang w:eastAsia="ja-JP"/>
        </w:rPr>
        <w:t>Dr Ao Guo</w:t>
      </w:r>
    </w:p>
    <w:p w14:paraId="46BF634C" w14:textId="45170481" w:rsidR="00D756E0" w:rsidRDefault="00D756E0" w:rsidP="00836AD3">
      <w:pPr>
        <w:spacing w:after="0" w:line="360" w:lineRule="auto"/>
        <w:jc w:val="both"/>
        <w:rPr>
          <w:lang w:eastAsia="ja-JP"/>
        </w:rPr>
      </w:pPr>
      <w:proofErr w:type="spellStart"/>
      <w:proofErr w:type="spellEnd"/>
      <w:r>
        <w:rPr>
          <w:lang w:eastAsia="ja-JP"/>
        </w:rPr>
        <w:t>Assistant Professor, Department of Intelligent Systems, Graduate School of Informatics, Nagoya University, Japan</w:t>
      </w:r>
    </w:p>
    <w:p w14:paraId="26654E95" w14:textId="77777777" w:rsidR="009447EE" w:rsidRDefault="009447EE" w:rsidP="00836AD3">
      <w:pPr>
        <w:spacing w:after="0" w:line="360" w:lineRule="auto"/>
        <w:jc w:val="both"/>
      </w:pPr>
    </w:p>
    <w:p w14:paraId="287C5708" w14:textId="288C38A1" w:rsidR="00D756E0" w:rsidRPr="00D756E0" w:rsidRDefault="00D756E0" w:rsidP="00836AD3">
      <w:pPr>
        <w:spacing w:after="0" w:line="360" w:lineRule="auto"/>
        <w:jc w:val="both"/>
        <w:rPr>
          <w:rFonts w:hint="eastAsia"/>
        </w:rPr>
      </w:pPr>
      <w:r>
        <w:rPr>
          <w:lang w:eastAsia="ja-JP"/>
        </w:rPr>
        <w:t>Abstract: Spoken dialogue is becoming the primary interface to agents that have a body: virtual avatars in applications and games, and humanoid robots in shops, museums and homes. The technology itself has also moved quickly, from turn-based pipelines that wait for silence to full-duplex models that listen and speak at once, reproducing the overlap and backchannelling of human conversation. This tutorial offers a practical route through both. The first part introduces the development of spoken dialogue systems: the classical pipeline, incremental processing, turn-taking prediction, and current full-duplex models. The second part makes this concrete by connecting a dialogue system to a body: a virtual avatar and a simulated humanoid robot, in which speech, gesture and movement can be observed together and modified directly. Current work on connecting external actions to full-duplex models will be noted briefly, though it lies outside the main scope of the tutorial. Through this tutorial, participants will learn how modern spoken dialogue systems are structured, how full-duplex interaction differs from turn-based interaction, and what is involved in driving a virtual avatar and a simulated humanoid robot from a dialogue system.</w:t>
      </w:r>
    </w:p>
    <w:p w14:paraId="6E12CFE3" w14:textId="7349BFF9" w:rsidR="005A7132" w:rsidRDefault="00D756E0">
      <w:pPr>
        <w:jc w:val="left"/>
      </w:pPr>
      <w:r>
        <w:drawing>
          <wp:inline xmlns:a="http://schemas.openxmlformats.org/drawingml/2006/main" xmlns:pic="http://schemas.openxmlformats.org/drawingml/2006/picture">
            <wp:extent cx="1823299" cy="2033999"/>
            <wp:docPr id="1" name="Picture 1"/>
            <wp:cNvGraphicFramePr>
              <a:graphicFrameLocks noChangeAspect="1"/>
            </wp:cNvGraphicFramePr>
            <a:graphic>
              <a:graphicData uri="http://schemas.openxmlformats.org/drawingml/2006/picture">
                <pic:pic>
                  <pic:nvPicPr>
                    <pic:cNvPr id="0" name="ao_guo.jpg"/>
                    <pic:cNvPicPr/>
                  </pic:nvPicPr>
                  <pic:blipFill>
                    <a:blip r:embed="rId7"/>
                    <a:stretch>
                      <a:fillRect/>
                    </a:stretch>
                  </pic:blipFill>
                  <pic:spPr>
                    <a:xfrm>
                      <a:off x="0" y="0"/>
                      <a:ext cx="1823299" cy="2033999"/>
                    </a:xfrm>
                    <a:prstGeom prst="rect"/>
                  </pic:spPr>
                </pic:pic>
              </a:graphicData>
            </a:graphic>
          </wp:inline>
        </w:drawing>
      </w:r>
    </w:p>
    <w:sectPr w:rsidR="005A71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E0"/>
    <w:rsid w:val="002203C0"/>
    <w:rsid w:val="003053D8"/>
    <w:rsid w:val="00416435"/>
    <w:rsid w:val="005A7132"/>
    <w:rsid w:val="005C4CD1"/>
    <w:rsid w:val="007D603F"/>
    <w:rsid w:val="00836AD3"/>
    <w:rsid w:val="009161A4"/>
    <w:rsid w:val="009447EE"/>
    <w:rsid w:val="009F3003"/>
    <w:rsid w:val="00C26B5E"/>
    <w:rsid w:val="00D046F5"/>
    <w:rsid w:val="00D756E0"/>
    <w:rsid w:val="00D82514"/>
    <w:rsid w:val="00DA22C0"/>
    <w:rsid w:val="00DB7350"/>
  </w:rsids>
  <m:mathPr>
    <m:mathFont m:val="Cambria Math"/>
    <m:brkBin m:val="before"/>
    <m:brkBinSub m:val="--"/>
    <m:smallFrac m:val="0"/>
    <m:dispDef/>
    <m:lMargin m:val="0"/>
    <m:rMargin m:val="0"/>
    <m:defJc m:val="centerGroup"/>
    <m:wrapIndent m:val="1440"/>
    <m:intLim m:val="subSup"/>
    <m:naryLim m:val="undOvr"/>
  </m:mathPr>
  <w:themeFontLang w:val="en-JP"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653846"/>
  <w15:chartTrackingRefBased/>
  <w15:docId w15:val="{2FA836F5-4E96-9948-9536-047ECC0CF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JP"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75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75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6E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756E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756E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756E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rsid w:val="00D756E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756E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756E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756E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756E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75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6E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75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6E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756E0"/>
    <w:pPr>
      <w:spacing w:before="160"/>
      <w:jc w:val="center"/>
    </w:pPr>
    <w:rPr>
      <w:i/>
      <w:iCs/>
      <w:color w:val="404040" w:themeColor="text1" w:themeTint="BF"/>
    </w:rPr>
  </w:style>
  <w:style w:type="character" w:customStyle="1" w:styleId="QuoteChar">
    <w:name w:val="Quote Char"/>
    <w:basedOn w:val="DefaultParagraphFont"/>
    <w:link w:val="Quote"/>
    <w:uiPriority w:val="29"/>
    <w:rsid w:val="00D756E0"/>
    <w:rPr>
      <w:i/>
      <w:iCs/>
      <w:color w:val="404040" w:themeColor="text1" w:themeTint="BF"/>
      <w:lang w:val="en-US"/>
    </w:rPr>
  </w:style>
  <w:style w:type="paragraph" w:styleId="ListParagraph">
    <w:name w:val="List Paragraph"/>
    <w:basedOn w:val="Normal"/>
    <w:uiPriority w:val="34"/>
    <w:qFormat/>
    <w:rsid w:val="00D756E0"/>
    <w:pPr>
      <w:ind w:left="720"/>
      <w:contextualSpacing/>
    </w:pPr>
  </w:style>
  <w:style w:type="character" w:styleId="IntenseEmphasis">
    <w:name w:val="Intense Emphasis"/>
    <w:basedOn w:val="DefaultParagraphFont"/>
    <w:uiPriority w:val="21"/>
    <w:qFormat/>
    <w:rsid w:val="00D756E0"/>
    <w:rPr>
      <w:i/>
      <w:iCs/>
      <w:color w:val="0F4761" w:themeColor="accent1" w:themeShade="BF"/>
    </w:rPr>
  </w:style>
  <w:style w:type="paragraph" w:styleId="IntenseQuote">
    <w:name w:val="Intense Quote"/>
    <w:basedOn w:val="Normal"/>
    <w:next w:val="Normal"/>
    <w:link w:val="IntenseQuoteChar"/>
    <w:uiPriority w:val="30"/>
    <w:qFormat/>
    <w:rsid w:val="00D75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6E0"/>
    <w:rPr>
      <w:i/>
      <w:iCs/>
      <w:color w:val="0F4761" w:themeColor="accent1" w:themeShade="BF"/>
      <w:lang w:val="en-US"/>
    </w:rPr>
  </w:style>
  <w:style w:type="character" w:styleId="IntenseReference">
    <w:name w:val="Intense Reference"/>
    <w:basedOn w:val="DefaultParagraphFont"/>
    <w:uiPriority w:val="32"/>
    <w:qFormat/>
    <w:rsid w:val="00D756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Ruichen</dc:creator>
  <cp:keywords/>
  <dc:description/>
  <cp:lastModifiedBy>CONG Ruichen</cp:lastModifiedBy>
  <cp:revision>2</cp:revision>
  <dcterms:created xsi:type="dcterms:W3CDTF">2026-10-26T11:22:00Z</dcterms:created>
  <dcterms:modified xsi:type="dcterms:W3CDTF">2026-10-26T12:21:00Z</dcterms:modified>
</cp:coreProperties>
</file>