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cs="宋体"/>
        </w:rPr>
      </w:pPr>
    </w:p>
    <w:p>
      <w:pPr>
        <w:jc w:val="center"/>
        <w:rPr>
          <w:rFonts w:ascii="宋体" w:hAnsi="宋体" w:eastAsia="宋体" w:cs="宋体"/>
        </w:rPr>
      </w:pPr>
    </w:p>
    <w:p>
      <w:pPr>
        <w:jc w:val="center"/>
        <w:rPr>
          <w:rFonts w:ascii="宋体" w:hAnsi="宋体" w:eastAsia="宋体" w:cs="宋体"/>
        </w:rPr>
      </w:pPr>
    </w:p>
    <w:p>
      <w:pPr>
        <w:jc w:val="center"/>
        <w:rPr>
          <w:b/>
          <w:sz w:val="41"/>
        </w:rPr>
      </w:pPr>
      <w:r>
        <w:rPr>
          <w:rFonts w:ascii="宋体" w:hAnsi="宋体" w:eastAsia="宋体" w:cs="宋体"/>
          <w:b/>
          <w:sz w:val="41"/>
        </w:rPr>
        <w:t>多源数据可信融合计算平台-任务书</w:t>
      </w:r>
    </w:p>
    <w:p>
      <w:pPr>
        <w:spacing w:line="480" w:lineRule="auto"/>
        <w:ind w:firstLine="482"/>
        <w:jc w:val="center"/>
        <w:rPr>
          <w:rFonts w:ascii="宋体" w:hAnsi="宋体" w:eastAsia="宋体" w:cs="宋体"/>
        </w:rPr>
      </w:pPr>
    </w:p>
    <w:p>
      <w:pPr>
        <w:spacing w:line="480" w:lineRule="auto"/>
        <w:ind w:firstLine="482"/>
        <w:jc w:val="center"/>
        <w:rPr>
          <w:rFonts w:ascii="宋体" w:hAnsi="宋体" w:eastAsia="宋体" w:cs="宋体"/>
        </w:rPr>
      </w:pPr>
    </w:p>
    <w:p>
      <w:pPr>
        <w:spacing w:line="480" w:lineRule="auto"/>
        <w:ind w:firstLine="482"/>
        <w:jc w:val="center"/>
        <w:rPr>
          <w:rFonts w:ascii="宋体" w:hAnsi="宋体" w:eastAsia="宋体" w:cs="宋体"/>
        </w:rPr>
      </w:pPr>
    </w:p>
    <w:p>
      <w:pPr>
        <w:spacing w:line="480" w:lineRule="auto"/>
        <w:ind w:firstLine="482"/>
        <w:jc w:val="center"/>
        <w:rPr>
          <w:rFonts w:ascii="宋体" w:hAnsi="宋体" w:eastAsia="宋体" w:cs="宋体"/>
        </w:rPr>
      </w:pPr>
    </w:p>
    <w:tbl>
      <w:tblPr>
        <w:tblStyle w:val="10"/>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505"/>
        <w:gridCol w:w="577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05" w:hRule="atLeast"/>
        </w:trPr>
        <w:tc>
          <w:tcPr>
            <w:tcW w:w="250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pacing w:line="320" w:lineRule="auto"/>
              <w:ind w:firstLine="562"/>
              <w:jc w:val="center"/>
              <w:rPr>
                <w:rFonts w:ascii="宋体" w:hAnsi="宋体" w:eastAsia="宋体" w:cs="宋体"/>
              </w:rPr>
            </w:pPr>
            <w:r>
              <w:rPr>
                <w:rFonts w:ascii="宋体" w:hAnsi="宋体" w:eastAsia="宋体" w:cs="宋体"/>
                <w:b/>
                <w:color w:val="000000"/>
                <w:sz w:val="28"/>
              </w:rPr>
              <w:t>申请者姓名</w:t>
            </w:r>
          </w:p>
        </w:tc>
        <w:tc>
          <w:tcPr>
            <w:tcW w:w="57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pacing w:line="320" w:lineRule="auto"/>
              <w:ind w:firstLine="560"/>
              <w:jc w:val="center"/>
              <w:rPr>
                <w:rFonts w:ascii="宋体" w:hAnsi="宋体" w:eastAsia="宋体" w:cs="宋体"/>
              </w:rPr>
            </w:pPr>
            <w:r>
              <w:rPr>
                <w:rFonts w:ascii="宋体" w:hAnsi="宋体" w:eastAsia="宋体" w:cs="宋体"/>
                <w:color w:val="000000"/>
                <w:sz w:val="28"/>
              </w:rPr>
              <w:t>余国先</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05" w:hRule="atLeast"/>
        </w:trPr>
        <w:tc>
          <w:tcPr>
            <w:tcW w:w="250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pacing w:line="320" w:lineRule="auto"/>
              <w:ind w:firstLine="562"/>
              <w:jc w:val="center"/>
              <w:rPr>
                <w:rFonts w:ascii="宋体" w:hAnsi="宋体" w:eastAsia="宋体" w:cs="宋体"/>
              </w:rPr>
            </w:pPr>
            <w:r>
              <w:rPr>
                <w:rFonts w:ascii="宋体" w:hAnsi="宋体" w:eastAsia="宋体" w:cs="宋体"/>
                <w:b/>
                <w:color w:val="000000"/>
                <w:sz w:val="28"/>
              </w:rPr>
              <w:t>所属机构</w:t>
            </w:r>
          </w:p>
        </w:tc>
        <w:tc>
          <w:tcPr>
            <w:tcW w:w="577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pacing w:line="320" w:lineRule="auto"/>
              <w:ind w:firstLine="560"/>
              <w:jc w:val="center"/>
              <w:rPr>
                <w:rFonts w:ascii="宋体" w:hAnsi="宋体" w:eastAsia="宋体" w:cs="宋体"/>
              </w:rPr>
            </w:pPr>
            <w:r>
              <w:rPr>
                <w:rFonts w:ascii="宋体" w:hAnsi="宋体" w:eastAsia="宋体" w:cs="宋体"/>
                <w:color w:val="000000"/>
                <w:sz w:val="28"/>
              </w:rPr>
              <w:t>山东大学</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05" w:hRule="atLeast"/>
        </w:trPr>
        <w:tc>
          <w:tcPr>
            <w:tcW w:w="250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pacing w:line="320" w:lineRule="auto"/>
              <w:ind w:firstLine="562"/>
              <w:jc w:val="center"/>
              <w:rPr>
                <w:rFonts w:ascii="宋体" w:hAnsi="宋体" w:eastAsia="宋体" w:cs="宋体"/>
              </w:rPr>
            </w:pPr>
            <w:r>
              <w:rPr>
                <w:rFonts w:ascii="宋体" w:hAnsi="宋体" w:eastAsia="宋体" w:cs="宋体"/>
                <w:b/>
                <w:color w:val="000000"/>
                <w:sz w:val="28"/>
              </w:rPr>
              <w:t>提交日期</w:t>
            </w:r>
          </w:p>
        </w:tc>
        <w:tc>
          <w:tcPr>
            <w:tcW w:w="577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pacing w:line="320" w:lineRule="auto"/>
              <w:ind w:firstLine="560"/>
              <w:jc w:val="center"/>
              <w:rPr>
                <w:rFonts w:ascii="宋体" w:hAnsi="宋体" w:eastAsia="宋体" w:cs="宋体"/>
              </w:rPr>
            </w:pPr>
            <w:r>
              <w:rPr>
                <w:rFonts w:ascii="宋体" w:hAnsi="宋体" w:eastAsia="宋体" w:cs="宋体"/>
                <w:color w:val="000000"/>
                <w:sz w:val="28"/>
              </w:rPr>
              <w:t>2024/04/01</w:t>
            </w:r>
          </w:p>
        </w:tc>
      </w:tr>
    </w:tbl>
    <w:p>
      <w:pPr>
        <w:pStyle w:val="16"/>
        <w:spacing w:before="0" w:beforeAutospacing="0" w:after="0" w:afterAutospacing="0" w:line="240" w:lineRule="atLeast"/>
        <w:jc w:val="center"/>
        <w:rPr>
          <w:b/>
          <w:color w:val="000000"/>
        </w:rPr>
      </w:pPr>
    </w:p>
    <w:p>
      <w:pPr>
        <w:pStyle w:val="16"/>
        <w:spacing w:before="0" w:beforeAutospacing="0" w:after="0" w:afterAutospacing="0" w:line="240" w:lineRule="atLeast"/>
        <w:rPr>
          <w:bCs/>
          <w:color w:val="000000"/>
          <w:szCs w:val="28"/>
        </w:rPr>
      </w:pPr>
    </w:p>
    <w:p>
      <w:pPr>
        <w:pStyle w:val="16"/>
        <w:spacing w:before="0" w:beforeAutospacing="0" w:after="0" w:afterAutospacing="0" w:line="240" w:lineRule="atLeast"/>
        <w:rPr>
          <w:bCs/>
          <w:color w:val="000000"/>
          <w:szCs w:val="28"/>
        </w:rPr>
      </w:pPr>
      <w:r>
        <w:rPr>
          <w:bCs/>
          <w:color w:val="000000"/>
          <w:szCs w:val="28"/>
        </w:rPr>
        <w:t xml:space="preserve"> </w:t>
      </w:r>
    </w:p>
    <w:p>
      <w:pPr>
        <w:pStyle w:val="16"/>
        <w:spacing w:before="0" w:beforeAutospacing="0" w:after="0" w:afterAutospacing="0" w:line="240" w:lineRule="atLeast"/>
        <w:rPr>
          <w:bCs/>
          <w:color w:val="000000"/>
          <w:szCs w:val="28"/>
        </w:rPr>
      </w:pPr>
    </w:p>
    <w:p>
      <w:pPr>
        <w:ind w:firstLine="562" w:firstLineChars="200"/>
        <w:rPr>
          <w:rFonts w:ascii="宋体" w:hAnsi="宋体" w:eastAsia="宋体" w:cs="宋体"/>
          <w:b/>
          <w:color w:val="000000"/>
          <w:sz w:val="28"/>
        </w:rPr>
      </w:pPr>
    </w:p>
    <w:p>
      <w:pPr>
        <w:ind w:firstLine="562" w:firstLineChars="200"/>
        <w:rPr>
          <w:rFonts w:ascii="宋体" w:hAnsi="宋体" w:eastAsia="宋体" w:cs="宋体"/>
          <w:b/>
          <w:color w:val="000000"/>
          <w:sz w:val="28"/>
        </w:rPr>
      </w:pPr>
      <w:r>
        <w:rPr>
          <w:rFonts w:ascii="宋体" w:hAnsi="宋体" w:eastAsia="宋体" w:cs="宋体"/>
          <w:b/>
          <w:color w:val="000000"/>
          <w:sz w:val="28"/>
        </w:rPr>
        <w:br w:type="page"/>
      </w:r>
    </w:p>
    <w:p>
      <w:pPr>
        <w:ind w:left="0" w:firstLineChars="0"/>
        <w:rPr>
          <w:rFonts w:ascii="宋体" w:hAnsi="宋体" w:eastAsia="宋体" w:cs="宋体"/>
          <w:b/>
          <w:color w:val="000000"/>
          <w:sz w:val="28"/>
        </w:rPr>
      </w:pPr>
      <w:r>
        <w:rPr>
          <w:rFonts w:ascii="宋体" w:hAnsi="宋体" w:eastAsia="宋体" w:cs="宋体"/>
          <w:b/>
          <w:color w:val="000000"/>
          <w:sz w:val="28"/>
        </w:rPr>
        <w:t>目录</w:t>
      </w:r>
    </w:p>
    <w:p>
      <w:pPr>
        <w:pStyle w:val="28"/>
        <w:spacing w:before="0" w:beforeAutospacing="0" w:after="0" w:afterAutospacing="0"/>
        <w:rPr>
          <w:b/>
          <w:bCs/>
          <w:color w:val="000000"/>
          <w:sz w:val="28"/>
          <w:szCs w:val="28"/>
        </w:rPr>
      </w:pPr>
      <w:r>
        <w:rPr>
          <w:b/>
          <w:bCs/>
          <w:color w:val="000000"/>
          <w:sz w:val="28"/>
          <w:szCs w:val="28"/>
        </w:rPr>
        <w:t>1.项目概述</w:t>
      </w:r>
    </w:p>
    <w:p>
      <w:pPr>
        <w:pStyle w:val="28"/>
        <w:spacing w:before="0" w:beforeAutospacing="0" w:after="0" w:afterAutospacing="0"/>
        <w:ind w:firstLine="480" w:firstLineChars="200"/>
        <w:rPr>
          <w:bCs/>
          <w:color w:val="000000"/>
          <w:szCs w:val="28"/>
        </w:rPr>
      </w:pPr>
      <w:r>
        <w:rPr>
          <w:bCs/>
          <w:color w:val="000000"/>
          <w:szCs w:val="28"/>
        </w:rPr>
        <w:t>1.1研究背景</w:t>
      </w:r>
    </w:p>
    <w:p>
      <w:pPr>
        <w:pStyle w:val="28"/>
        <w:spacing w:before="0" w:beforeAutospacing="0" w:after="0" w:afterAutospacing="0"/>
        <w:ind w:firstLine="480" w:firstLineChars="200"/>
        <w:rPr>
          <w:bCs/>
          <w:color w:val="000000"/>
          <w:szCs w:val="28"/>
        </w:rPr>
      </w:pPr>
      <w:r>
        <w:rPr>
          <w:bCs/>
          <w:color w:val="000000"/>
          <w:szCs w:val="28"/>
        </w:rPr>
        <w:t>1.2研究现状</w:t>
      </w:r>
    </w:p>
    <w:p>
      <w:pPr>
        <w:pStyle w:val="28"/>
        <w:spacing w:before="0" w:beforeAutospacing="0" w:after="0" w:afterAutospacing="0"/>
        <w:ind w:firstLine="480" w:firstLineChars="200"/>
        <w:rPr>
          <w:bCs/>
          <w:color w:val="000000"/>
          <w:szCs w:val="28"/>
        </w:rPr>
      </w:pPr>
      <w:r>
        <w:rPr>
          <w:bCs/>
          <w:color w:val="000000"/>
          <w:szCs w:val="28"/>
        </w:rPr>
        <w:t>1.3需求分析</w:t>
      </w:r>
    </w:p>
    <w:p>
      <w:pPr>
        <w:pStyle w:val="28"/>
        <w:spacing w:before="0" w:beforeAutospacing="0" w:after="0" w:afterAutospacing="0"/>
        <w:ind w:firstLine="480" w:firstLineChars="200"/>
        <w:rPr>
          <w:bCs/>
          <w:color w:val="000000"/>
          <w:szCs w:val="28"/>
        </w:rPr>
      </w:pPr>
      <w:r>
        <w:rPr>
          <w:bCs/>
          <w:color w:val="000000"/>
          <w:szCs w:val="28"/>
        </w:rPr>
        <w:t>1.4研究价值</w:t>
      </w:r>
    </w:p>
    <w:p>
      <w:pPr>
        <w:pStyle w:val="28"/>
        <w:pBdr>
          <w:bottom w:val="none" w:color="auto" w:sz="0" w:space="0"/>
        </w:pBdr>
        <w:spacing w:before="0" w:beforeAutospacing="0" w:after="0" w:afterAutospacing="0"/>
        <w:ind w:left="0"/>
      </w:pPr>
      <w:r>
        <w:rPr>
          <w:b/>
          <w:bCs/>
          <w:color w:val="000000"/>
          <w:sz w:val="28"/>
          <w:szCs w:val="28"/>
        </w:rPr>
        <w:t>2.研究内容</w:t>
      </w:r>
      <w:r>
        <w:rPr>
          <w:b/>
          <w:bCs/>
          <w:color w:val="000000"/>
          <w:sz w:val="28"/>
          <w:szCs w:val="28"/>
        </w:rPr>
        <w:br w:type="textWrapping"/>
      </w:r>
      <w:r>
        <w:tab/>
      </w:r>
      <w:r>
        <w:t>2.1隐私计算核心引擎</w:t>
      </w:r>
      <w:r>
        <w:br w:type="textWrapping"/>
      </w:r>
      <w:r>
        <w:tab/>
      </w:r>
      <w:r>
        <w:t>2.2管理工具</w:t>
      </w:r>
      <w:r>
        <w:br w:type="textWrapping"/>
      </w:r>
      <w:r>
        <w:tab/>
      </w:r>
      <w:r>
        <w:t>2.3应用组件</w:t>
      </w:r>
      <w:r>
        <w:br w:type="textWrapping"/>
      </w:r>
      <w:r>
        <w:tab/>
      </w:r>
      <w:r>
        <w:t>2.4应用验证</w:t>
      </w:r>
    </w:p>
    <w:p>
      <w:pPr>
        <w:pStyle w:val="28"/>
        <w:spacing w:before="0" w:beforeAutospacing="0" w:after="0" w:afterAutospacing="0"/>
        <w:rPr>
          <w:b/>
          <w:bCs/>
          <w:color w:val="000000"/>
          <w:sz w:val="28"/>
          <w:szCs w:val="28"/>
        </w:rPr>
      </w:pPr>
      <w:r>
        <w:rPr>
          <w:b/>
          <w:bCs/>
          <w:color w:val="000000"/>
          <w:sz w:val="28"/>
          <w:szCs w:val="28"/>
        </w:rPr>
        <w:t>3.研发计划</w:t>
      </w:r>
    </w:p>
    <w:p>
      <w:pPr>
        <w:pStyle w:val="28"/>
        <w:spacing w:before="0" w:beforeAutospacing="0" w:after="0" w:afterAutospacing="0"/>
        <w:rPr>
          <w:b/>
          <w:bCs/>
          <w:color w:val="000000"/>
          <w:sz w:val="28"/>
          <w:szCs w:val="28"/>
        </w:rPr>
      </w:pPr>
      <w:r>
        <w:rPr>
          <w:b/>
          <w:bCs/>
          <w:color w:val="000000"/>
          <w:sz w:val="28"/>
          <w:szCs w:val="28"/>
        </w:rPr>
        <w:t>4.预期成果</w:t>
      </w:r>
      <w:r>
        <w:br w:type="textWrapping"/>
      </w:r>
      <w:r>
        <w:rPr>
          <w:b/>
          <w:bCs/>
          <w:color w:val="000000"/>
          <w:sz w:val="28"/>
          <w:szCs w:val="28"/>
        </w:rPr>
        <w:t>5.人力投入</w:t>
      </w:r>
    </w:p>
    <w:p>
      <w:pPr>
        <w:ind w:firstLine="420" w:firstLineChars="200"/>
        <w:rPr>
          <w:rFonts w:ascii="宋体" w:hAnsi="宋体" w:eastAsia="宋体" w:cs="宋体"/>
        </w:rPr>
      </w:pPr>
    </w:p>
    <w:p>
      <w:pPr>
        <w:pStyle w:val="28"/>
        <w:spacing w:before="0" w:beforeAutospacing="0" w:after="0" w:afterAutospacing="0"/>
        <w:rPr>
          <w:b/>
          <w:bCs/>
          <w:color w:val="000000"/>
          <w:sz w:val="28"/>
          <w:szCs w:val="28"/>
        </w:rPr>
      </w:pPr>
    </w:p>
    <w:p>
      <w:pPr>
        <w:pStyle w:val="28"/>
        <w:spacing w:before="0" w:beforeAutospacing="0" w:after="0" w:afterAutospacing="0"/>
        <w:rPr>
          <w:b/>
          <w:bCs/>
          <w:color w:val="000000"/>
          <w:sz w:val="28"/>
          <w:szCs w:val="28"/>
        </w:rPr>
      </w:pPr>
      <w:r>
        <w:rPr>
          <w:b/>
          <w:bCs/>
          <w:color w:val="000000"/>
          <w:sz w:val="28"/>
          <w:szCs w:val="28"/>
        </w:rPr>
        <w:br w:type="page"/>
      </w:r>
    </w:p>
    <w:p>
      <w:pPr>
        <w:pStyle w:val="28"/>
        <w:spacing w:before="0" w:beforeAutospacing="0" w:after="0" w:afterAutospacing="0"/>
        <w:rPr>
          <w:b/>
          <w:bCs/>
          <w:color w:val="000000"/>
          <w:sz w:val="28"/>
          <w:szCs w:val="28"/>
        </w:rPr>
      </w:pPr>
      <w:r>
        <w:rPr>
          <w:b/>
          <w:bCs/>
          <w:color w:val="000000"/>
          <w:sz w:val="28"/>
          <w:szCs w:val="28"/>
        </w:rPr>
        <w:t>1.项目概述</w:t>
      </w:r>
    </w:p>
    <w:p>
      <w:pPr>
        <w:spacing w:line="360" w:lineRule="auto"/>
        <w:ind w:left="0" w:firstLineChars="0"/>
        <w:rPr>
          <w:rFonts w:ascii="宋体" w:hAnsi="宋体" w:eastAsia="宋体" w:cs="宋体"/>
          <w:b/>
          <w:sz w:val="24"/>
        </w:rPr>
      </w:pPr>
      <w:r>
        <w:rPr>
          <w:rFonts w:ascii="宋体" w:hAnsi="宋体" w:eastAsia="宋体" w:cs="宋体"/>
          <w:b/>
          <w:sz w:val="24"/>
        </w:rPr>
        <w:t>1.1研究背景</w:t>
      </w:r>
    </w:p>
    <w:p>
      <w:pPr>
        <w:spacing w:line="360" w:lineRule="auto"/>
        <w:ind w:firstLine="480" w:firstLineChars="200"/>
        <w:rPr>
          <w:rFonts w:ascii="宋体" w:hAnsi="宋体" w:eastAsia="宋体" w:cs="宋体"/>
          <w:sz w:val="24"/>
        </w:rPr>
      </w:pPr>
      <w:r>
        <w:rPr>
          <w:rFonts w:ascii="宋体" w:hAnsi="宋体" w:eastAsia="宋体" w:cs="宋体"/>
          <w:sz w:val="24"/>
        </w:rPr>
        <w:t>自2019年党的第十九届四中全会首次将数据列为生产要素以来，我国数字经济蓬勃发展，已成为推动经济增长的核心引擎之一。数字经济在各个领域迅速展开，从电子商务到智能制造，从大数据分析到人工智能应用，无不受益于数据的赋能和数字技术的迅速发展。自从《数据二十条》政策发布以来，各行各业在数据要素交易方面进行了积极探索，公共数据授权运营也在各地陆续开展起来，应用场景已经逐步从单一数据源的开放共享、流转、增值服务，扩展到多源数据的融合计算，即分析、挖掘融合后的数据价值，例如通过融合银行、医院、药店、保险公司医保局等多方数据以支持贷款风控评估、疾病预测、个性化治疗、医疗资源优化、药品经济学分析等智能数据服务。然而，这一迅速发展伴随着众多数据隐私安全的潜在危险，数据安全事件频发引起了全球范围内对数据安全和个人信息保护的重视。隐私泄露、大数据杀熟、暴力催收等种种乱象也号召业界建立起安全合理有效的数据可信计算机制，其既要保证模型的隐私，也要保证数据的隐私，同时还要保证性能。</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多源数据融合可以涌现更多的数据价值，更好地满足社会经济发展的需求；浪潮、山东区块链研究院、长安链、趣链、阿里、微众银行、上交所、贵交所等公司正在积极打造与推进基于区块链与隐私计算的多源数据融合的可信流通平台与生态。目前，山大地纬股份有限公司在数据要素领域主要聚焦于单条明细数据精准授权，缺少对于多源数据可信融合场景的支持，也是公司的短板。此外，北方大健康、建设银行等客户对于数据安全融合分析、挖掘的需求越来越强烈，业界也在开始可信数据空间相关的研发与推广；因此，建设与推广的数据要素交易与交付平台需要强化与补充批量数据计算与多源数据融合计算能力。</w:t>
      </w:r>
    </w:p>
    <w:p>
      <w:pPr>
        <w:spacing w:line="360" w:lineRule="auto"/>
        <w:ind w:firstLine="480" w:firstLineChars="200"/>
        <w:rPr>
          <w:rFonts w:hint="eastAsia" w:ascii="宋体" w:hAnsi="宋体" w:eastAsia="宋体" w:cs="宋体"/>
          <w:sz w:val="24"/>
        </w:rPr>
      </w:pPr>
    </w:p>
    <w:p>
      <w:pPr>
        <w:pBdr>
          <w:bottom w:val="none" w:color="auto" w:sz="0" w:space="0"/>
        </w:pBdr>
        <w:spacing w:line="360" w:lineRule="auto"/>
        <w:ind w:left="0" w:firstLineChars="0"/>
        <w:rPr>
          <w:rFonts w:ascii="宋体" w:hAnsi="宋体" w:eastAsia="宋体" w:cs="宋体"/>
          <w:b/>
          <w:sz w:val="24"/>
        </w:rPr>
      </w:pPr>
      <w:r>
        <w:rPr>
          <w:rFonts w:ascii="宋体" w:hAnsi="宋体" w:eastAsia="宋体" w:cs="宋体"/>
          <w:b/>
          <w:sz w:val="24"/>
        </w:rPr>
        <w:t>1.2研究现状</w:t>
      </w:r>
    </w:p>
    <w:p>
      <w:pPr>
        <w:spacing w:line="360" w:lineRule="auto"/>
        <w:ind w:firstLine="480" w:firstLineChars="200"/>
        <w:rPr>
          <w:rFonts w:ascii="宋体" w:hAnsi="宋体" w:eastAsia="宋体" w:cs="宋体"/>
          <w:sz w:val="24"/>
        </w:rPr>
      </w:pPr>
      <w:r>
        <w:rPr>
          <w:rFonts w:ascii="宋体" w:hAnsi="宋体" w:eastAsia="宋体" w:cs="宋体"/>
          <w:sz w:val="24"/>
        </w:rPr>
        <w:t>在大数据时代，仅凭单一数据源的数据进行分析和挖掘往往难以满足现实需求。多源数据融合可以挖掘更多的价值，更好地满足社会经济发展的需求。利用</w:t>
      </w:r>
      <w:r>
        <w:rPr>
          <w:rFonts w:ascii="宋体" w:hAnsi="宋体" w:eastAsia="宋体" w:cs="宋体"/>
          <w:color w:val="000000"/>
          <w:sz w:val="24"/>
        </w:rPr>
        <w:t>零知识证明、多方安全计算、同态加密、差分隐私、可信执行环境、联邦学习等</w:t>
      </w:r>
      <w:r>
        <w:rPr>
          <w:rFonts w:ascii="宋体" w:hAnsi="宋体" w:eastAsia="宋体" w:cs="宋体"/>
          <w:sz w:val="24"/>
        </w:rPr>
        <w:t>核心隐私计算技术，实现多源数据可信融合计算相关技术，能够使隐私保护从以往单纯加解密转变为明密文可信计算的全新领域，同时也带动了相关领域的快速发展，可以更好地满足社会经济发展的需求。</w:t>
      </w:r>
    </w:p>
    <w:p>
      <w:pPr>
        <w:spacing w:line="360" w:lineRule="auto"/>
        <w:ind w:firstLine="480" w:firstLineChars="200"/>
        <w:rPr>
          <w:rFonts w:ascii="宋体" w:hAnsi="宋体" w:eastAsia="宋体" w:cs="宋体"/>
          <w:color w:val="333333"/>
          <w:sz w:val="24"/>
        </w:rPr>
      </w:pPr>
      <w:r>
        <w:rPr>
          <w:rFonts w:ascii="宋体" w:hAnsi="宋体" w:eastAsia="宋体" w:cs="宋体"/>
          <w:color w:val="333333"/>
          <w:sz w:val="24"/>
        </w:rPr>
        <w:t>为了综合集成上述隐私计算技术，目前工业界和学术界已经涌现出许多隐私计算框架，如FATE，TensorFlow Federated，FedML，Pysyft，Fedlearner，SecretFlow-SPU、CrypTen、Delta和Rosetta等，以满足不同领域和应用场景的需求。如表1所示，这些框架各自具有一定的优势和不足之处。</w:t>
      </w:r>
    </w:p>
    <w:p>
      <w:pPr>
        <w:snapToGrid/>
        <w:spacing w:before="0" w:after="0" w:line="240" w:lineRule="auto"/>
        <w:ind w:left="0" w:right="0"/>
        <w:jc w:val="both"/>
        <w:rPr>
          <w:rFonts w:ascii="宋体" w:hAnsi="宋体" w:eastAsia="宋体" w:cs="宋体"/>
          <w:strike w:val="0"/>
          <w:color w:val="000000"/>
          <w:sz w:val="24"/>
          <w:u w:val="none"/>
        </w:rPr>
      </w:pPr>
    </w:p>
    <w:p>
      <w:pPr>
        <w:snapToGrid/>
        <w:spacing w:before="0" w:after="0" w:line="240" w:lineRule="auto"/>
        <w:ind w:left="0" w:right="0"/>
        <w:jc w:val="center"/>
      </w:pPr>
      <w:r>
        <w:rPr>
          <w:rFonts w:ascii="宋体" w:hAnsi="宋体" w:eastAsia="宋体" w:cs="宋体"/>
          <w:i w:val="0"/>
          <w:strike w:val="0"/>
          <w:color w:val="000000"/>
          <w:sz w:val="24"/>
          <w:u w:val="none"/>
        </w:rPr>
        <w:t>表1</w:t>
      </w:r>
      <w:r>
        <w:rPr>
          <w:rFonts w:ascii="宋体" w:hAnsi="宋体" w:eastAsia="宋体" w:cs="宋体"/>
          <w:strike w:val="0"/>
          <w:color w:val="000000"/>
          <w:sz w:val="24"/>
          <w:u w:val="none"/>
        </w:rPr>
        <w:t>.</w:t>
      </w:r>
      <w:r>
        <w:rPr>
          <w:rFonts w:ascii="宋体" w:hAnsi="宋体" w:eastAsia="宋体" w:cs="宋体"/>
          <w:i w:val="0"/>
          <w:strike w:val="0"/>
          <w:color w:val="000000"/>
          <w:sz w:val="24"/>
          <w:u w:val="none"/>
        </w:rPr>
        <w:t xml:space="preserve"> 现有隐私计算框架</w:t>
      </w:r>
    </w:p>
    <w:tbl>
      <w:tblPr>
        <w:tblStyle w:val="10"/>
        <w:tblW w:w="0" w:type="auto"/>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288"/>
        <w:gridCol w:w="465"/>
        <w:gridCol w:w="443"/>
        <w:gridCol w:w="462"/>
        <w:gridCol w:w="394"/>
        <w:gridCol w:w="512"/>
        <w:gridCol w:w="606"/>
        <w:gridCol w:w="606"/>
        <w:gridCol w:w="606"/>
        <w:gridCol w:w="607"/>
        <w:gridCol w:w="628"/>
        <w:gridCol w:w="610"/>
        <w:gridCol w:w="705"/>
        <w:gridCol w:w="424"/>
        <w:gridCol w:w="489"/>
        <w:gridCol w:w="43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387" w:hRule="atLeast"/>
        </w:trPr>
        <w:tc>
          <w:tcPr>
            <w:tcW w:w="288" w:type="dxa"/>
            <w:vMerge w:val="restart"/>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序</w:t>
            </w:r>
            <w:r>
              <w:rPr>
                <w:rFonts w:ascii="宋体" w:hAnsi="宋体" w:eastAsia="宋体" w:cs="宋体"/>
                <w:b w:val="0"/>
                <w:strike w:val="0"/>
                <w:color w:val="000000"/>
                <w:spacing w:val="0"/>
                <w:sz w:val="21"/>
                <w:u w:val="none"/>
              </w:rPr>
              <w:t xml:space="preserve"> </w:t>
            </w:r>
            <w:r>
              <w:rPr>
                <w:rFonts w:ascii="宋体" w:hAnsi="宋体" w:eastAsia="宋体" w:cs="宋体"/>
                <w:b w:val="0"/>
                <w:i w:val="0"/>
                <w:strike w:val="0"/>
                <w:color w:val="000000"/>
                <w:spacing w:val="0"/>
                <w:sz w:val="21"/>
                <w:u w:val="none"/>
              </w:rPr>
              <w:t>号</w:t>
            </w:r>
          </w:p>
        </w:tc>
        <w:tc>
          <w:tcPr>
            <w:tcW w:w="465" w:type="dxa"/>
            <w:vMerge w:val="restart"/>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框架</w:t>
            </w:r>
          </w:p>
        </w:tc>
        <w:tc>
          <w:tcPr>
            <w:tcW w:w="443" w:type="dxa"/>
            <w:vMerge w:val="restart"/>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机构名称</w:t>
            </w:r>
          </w:p>
        </w:tc>
        <w:tc>
          <w:tcPr>
            <w:tcW w:w="462" w:type="dxa"/>
            <w:vMerge w:val="restart"/>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深度学习框架</w:t>
            </w:r>
          </w:p>
        </w:tc>
        <w:tc>
          <w:tcPr>
            <w:tcW w:w="6624" w:type="dxa"/>
            <w:gridSpan w:val="12"/>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框架特性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702" w:hRule="atLeast"/>
        </w:trPr>
        <w:tc>
          <w:tcPr>
            <w:tcW w:w="288" w:type="dxa"/>
            <w:vMerge w:val="continue"/>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p>
        </w:tc>
        <w:tc>
          <w:tcPr>
            <w:tcW w:w="465" w:type="dxa"/>
            <w:vMerge w:val="continue"/>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p>
        </w:tc>
        <w:tc>
          <w:tcPr>
            <w:tcW w:w="443" w:type="dxa"/>
            <w:vMerge w:val="continue"/>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p>
        </w:tc>
        <w:tc>
          <w:tcPr>
            <w:tcW w:w="462" w:type="dxa"/>
            <w:vMerge w:val="continue"/>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p>
        </w:tc>
        <w:tc>
          <w:tcPr>
            <w:tcW w:w="394" w:type="dxa"/>
            <w:vMerge w:val="restart"/>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rPr>
            </w:pPr>
            <w:r>
              <w:rPr>
                <w:rFonts w:ascii="宋体" w:hAnsi="宋体" w:eastAsia="宋体" w:cs="宋体"/>
                <w:sz w:val="21"/>
              </w:rPr>
              <w:t>适用场景</w:t>
            </w:r>
          </w:p>
          <w:p>
            <w:pPr>
              <w:pBdr>
                <w:bottom w:val="none" w:color="auto" w:sz="0" w:space="0"/>
              </w:pBdr>
              <w:snapToGrid/>
              <w:spacing w:before="0" w:after="0" w:line="240" w:lineRule="auto"/>
              <w:ind w:left="0" w:right="0"/>
              <w:jc w:val="center"/>
              <w:rPr>
                <w:rFonts w:ascii="宋体" w:hAnsi="宋体" w:eastAsia="宋体" w:cs="宋体"/>
                <w:sz w:val="21"/>
              </w:rPr>
            </w:pPr>
          </w:p>
        </w:tc>
        <w:tc>
          <w:tcPr>
            <w:tcW w:w="512" w:type="dxa"/>
            <w:vMerge w:val="restart"/>
            <w:tcMar>
              <w:top w:w="120" w:type="dxa"/>
              <w:left w:w="60" w:type="dxa"/>
              <w:bottom w:w="120" w:type="dxa"/>
              <w:right w:w="60" w:type="dxa"/>
            </w:tcMar>
            <w:vAlign w:val="center"/>
          </w:tcPr>
          <w:p>
            <w:pPr>
              <w:pBdr>
                <w:bottom w:val="none" w:color="auto" w:sz="0" w:space="0"/>
              </w:pBdr>
              <w:snapToGrid/>
              <w:spacing w:before="0" w:after="0" w:line="240" w:lineRule="auto"/>
              <w:ind w:left="0" w:right="0"/>
              <w:jc w:val="both"/>
              <w:rPr>
                <w:rFonts w:ascii="宋体" w:hAnsi="宋体" w:eastAsia="宋体" w:cs="宋体"/>
              </w:rPr>
            </w:pPr>
            <w:r>
              <w:rPr>
                <w:rFonts w:ascii="宋体" w:hAnsi="宋体" w:eastAsia="宋体" w:cs="宋体"/>
                <w:sz w:val="21"/>
              </w:rPr>
              <w:t>数据挖掘能力</w:t>
            </w:r>
          </w:p>
          <w:p>
            <w:pPr>
              <w:pBdr>
                <w:bottom w:val="none" w:color="auto" w:sz="0" w:space="0"/>
              </w:pBdr>
              <w:snapToGrid/>
              <w:spacing w:before="0" w:after="0" w:line="240" w:lineRule="auto"/>
              <w:ind w:left="0" w:right="0"/>
              <w:jc w:val="center"/>
              <w:rPr>
                <w:rFonts w:ascii="宋体" w:hAnsi="宋体" w:eastAsia="宋体" w:cs="宋体"/>
                <w:sz w:val="21"/>
              </w:rPr>
            </w:pPr>
          </w:p>
        </w:tc>
        <w:tc>
          <w:tcPr>
            <w:tcW w:w="2425" w:type="dxa"/>
            <w:gridSpan w:val="4"/>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框架应用支撑</w:t>
            </w:r>
          </w:p>
        </w:tc>
        <w:tc>
          <w:tcPr>
            <w:tcW w:w="1943" w:type="dxa"/>
            <w:gridSpan w:val="3"/>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场景支持能力</w:t>
            </w:r>
          </w:p>
        </w:tc>
        <w:tc>
          <w:tcPr>
            <w:tcW w:w="1350" w:type="dxa"/>
            <w:gridSpan w:val="3"/>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产品易用性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91" w:hRule="atLeast"/>
        </w:trPr>
        <w:tc>
          <w:tcPr>
            <w:tcW w:w="288" w:type="dxa"/>
            <w:vMerge w:val="continue"/>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p>
        </w:tc>
        <w:tc>
          <w:tcPr>
            <w:tcW w:w="465" w:type="dxa"/>
            <w:vMerge w:val="continue"/>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p>
        </w:tc>
        <w:tc>
          <w:tcPr>
            <w:tcW w:w="443" w:type="dxa"/>
            <w:vMerge w:val="continue"/>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p>
        </w:tc>
        <w:tc>
          <w:tcPr>
            <w:tcW w:w="462" w:type="dxa"/>
            <w:vMerge w:val="continue"/>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p>
        </w:tc>
        <w:tc>
          <w:tcPr>
            <w:tcW w:w="394" w:type="dxa"/>
            <w:vMerge w:val="continue"/>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p>
        </w:tc>
        <w:tc>
          <w:tcPr>
            <w:tcW w:w="512" w:type="dxa"/>
            <w:vMerge w:val="continue"/>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联合</w:t>
            </w:r>
            <w:r>
              <w:rPr>
                <w:rFonts w:ascii="宋体" w:hAnsi="宋体" w:eastAsia="宋体" w:cs="宋体"/>
                <w:sz w:val="23"/>
              </w:rPr>
              <w:t>建</w:t>
            </w:r>
            <w:r>
              <w:rPr>
                <w:rFonts w:ascii="宋体" w:hAnsi="宋体" w:eastAsia="宋体" w:cs="宋体"/>
                <w:sz w:val="21"/>
              </w:rPr>
              <w:t>模</w:t>
            </w: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联合查询</w:t>
            </w: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联合统计</w:t>
            </w:r>
          </w:p>
        </w:tc>
        <w:tc>
          <w:tcPr>
            <w:tcW w:w="607"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联合预测</w:t>
            </w:r>
          </w:p>
        </w:tc>
        <w:tc>
          <w:tcPr>
            <w:tcW w:w="62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多方安全计算</w:t>
            </w:r>
          </w:p>
        </w:tc>
        <w:tc>
          <w:tcPr>
            <w:tcW w:w="610"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联邦学习</w:t>
            </w:r>
          </w:p>
        </w:tc>
        <w:tc>
          <w:tcPr>
            <w:tcW w:w="705"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TEE</w:t>
            </w:r>
          </w:p>
        </w:tc>
        <w:tc>
          <w:tcPr>
            <w:tcW w:w="424"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文档易用性</w:t>
            </w:r>
          </w:p>
        </w:tc>
        <w:tc>
          <w:tcPr>
            <w:tcW w:w="489"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配置易用性</w:t>
            </w:r>
          </w:p>
        </w:tc>
        <w:tc>
          <w:tcPr>
            <w:tcW w:w="437"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开发易用性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91" w:hRule="atLeast"/>
        </w:trPr>
        <w:tc>
          <w:tcPr>
            <w:tcW w:w="28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1</w:t>
            </w:r>
          </w:p>
        </w:tc>
        <w:tc>
          <w:tcPr>
            <w:tcW w:w="465"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FATE</w:t>
            </w:r>
          </w:p>
        </w:tc>
        <w:tc>
          <w:tcPr>
            <w:tcW w:w="443"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333333"/>
                <w:spacing w:val="0"/>
                <w:sz w:val="21"/>
                <w:u w:val="none"/>
              </w:rPr>
              <w:t>微众银行</w:t>
            </w:r>
          </w:p>
        </w:tc>
        <w:tc>
          <w:tcPr>
            <w:tcW w:w="462"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Pytorch</w:t>
            </w:r>
          </w:p>
        </w:tc>
        <w:tc>
          <w:tcPr>
            <w:tcW w:w="394"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both"/>
              <w:rPr>
                <w:rFonts w:ascii="宋体" w:hAnsi="宋体" w:eastAsia="宋体" w:cs="宋体"/>
                <w:sz w:val="21"/>
              </w:rPr>
            </w:pPr>
            <w:r>
              <w:rPr>
                <w:rFonts w:ascii="宋体" w:hAnsi="宋体" w:eastAsia="宋体" w:cs="宋体"/>
                <w:sz w:val="21"/>
              </w:rPr>
              <w:t>金融</w:t>
            </w:r>
          </w:p>
        </w:tc>
        <w:tc>
          <w:tcPr>
            <w:tcW w:w="512"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一般</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不全</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07"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不全</w:t>
            </w:r>
          </w:p>
        </w:tc>
        <w:tc>
          <w:tcPr>
            <w:tcW w:w="62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10"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705"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424"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489"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较复杂</w:t>
            </w:r>
          </w:p>
        </w:tc>
        <w:tc>
          <w:tcPr>
            <w:tcW w:w="437"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不易扩展</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91" w:hRule="atLeast"/>
        </w:trPr>
        <w:tc>
          <w:tcPr>
            <w:tcW w:w="28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2</w:t>
            </w:r>
          </w:p>
        </w:tc>
        <w:tc>
          <w:tcPr>
            <w:tcW w:w="465"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TensorFlow Federated</w:t>
            </w:r>
          </w:p>
        </w:tc>
        <w:tc>
          <w:tcPr>
            <w:tcW w:w="443"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谷歌</w:t>
            </w:r>
          </w:p>
        </w:tc>
        <w:tc>
          <w:tcPr>
            <w:tcW w:w="462"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TensorFlow</w:t>
            </w:r>
          </w:p>
        </w:tc>
        <w:tc>
          <w:tcPr>
            <w:tcW w:w="394"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科研</w:t>
            </w:r>
          </w:p>
        </w:tc>
        <w:tc>
          <w:tcPr>
            <w:tcW w:w="512"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一般</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607"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不全</w:t>
            </w:r>
          </w:p>
        </w:tc>
        <w:tc>
          <w:tcPr>
            <w:tcW w:w="628"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10"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仅横向联邦</w:t>
            </w:r>
          </w:p>
        </w:tc>
        <w:tc>
          <w:tcPr>
            <w:tcW w:w="705"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424"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489"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437"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未落地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91" w:hRule="atLeast"/>
        </w:trPr>
        <w:tc>
          <w:tcPr>
            <w:tcW w:w="28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3</w:t>
            </w:r>
          </w:p>
        </w:tc>
        <w:tc>
          <w:tcPr>
            <w:tcW w:w="465"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FedML</w:t>
            </w:r>
          </w:p>
        </w:tc>
        <w:tc>
          <w:tcPr>
            <w:tcW w:w="443"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333333"/>
                <w:spacing w:val="0"/>
                <w:sz w:val="21"/>
                <w:u w:val="none"/>
                <w:shd w:val="clear" w:color="auto" w:fill="FFFFFF"/>
              </w:rPr>
              <w:t>南加州大学</w:t>
            </w:r>
          </w:p>
        </w:tc>
        <w:tc>
          <w:tcPr>
            <w:tcW w:w="462"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TensorFlow</w:t>
            </w:r>
          </w:p>
        </w:tc>
        <w:tc>
          <w:tcPr>
            <w:tcW w:w="394"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科研</w:t>
            </w:r>
          </w:p>
        </w:tc>
        <w:tc>
          <w:tcPr>
            <w:tcW w:w="512"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一般</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607"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不全</w:t>
            </w:r>
          </w:p>
        </w:tc>
        <w:tc>
          <w:tcPr>
            <w:tcW w:w="628"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610"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705"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424"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较少</w:t>
            </w:r>
          </w:p>
        </w:tc>
        <w:tc>
          <w:tcPr>
            <w:tcW w:w="489"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437"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未落地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91" w:hRule="atLeast"/>
        </w:trPr>
        <w:tc>
          <w:tcPr>
            <w:tcW w:w="28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4</w:t>
            </w:r>
          </w:p>
        </w:tc>
        <w:tc>
          <w:tcPr>
            <w:tcW w:w="465"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Pysyft</w:t>
            </w:r>
          </w:p>
        </w:tc>
        <w:tc>
          <w:tcPr>
            <w:tcW w:w="443"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333333"/>
                <w:spacing w:val="0"/>
                <w:sz w:val="21"/>
                <w:u w:val="none"/>
              </w:rPr>
              <w:t>Open Mined</w:t>
            </w:r>
          </w:p>
        </w:tc>
        <w:tc>
          <w:tcPr>
            <w:tcW w:w="462"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Pytorch</w:t>
            </w:r>
          </w:p>
        </w:tc>
        <w:tc>
          <w:tcPr>
            <w:tcW w:w="394"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物联网</w:t>
            </w:r>
          </w:p>
        </w:tc>
        <w:tc>
          <w:tcPr>
            <w:tcW w:w="512"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不足</w:t>
            </w: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607"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不全</w:t>
            </w:r>
          </w:p>
        </w:tc>
        <w:tc>
          <w:tcPr>
            <w:tcW w:w="62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10"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仅横向联邦</w:t>
            </w:r>
          </w:p>
        </w:tc>
        <w:tc>
          <w:tcPr>
            <w:tcW w:w="705"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424"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较少</w:t>
            </w:r>
          </w:p>
        </w:tc>
        <w:tc>
          <w:tcPr>
            <w:tcW w:w="489"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437"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未落地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91" w:hRule="atLeast"/>
        </w:trPr>
        <w:tc>
          <w:tcPr>
            <w:tcW w:w="28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5</w:t>
            </w:r>
          </w:p>
        </w:tc>
        <w:tc>
          <w:tcPr>
            <w:tcW w:w="465"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Fedlearner</w:t>
            </w:r>
          </w:p>
        </w:tc>
        <w:tc>
          <w:tcPr>
            <w:tcW w:w="443"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333333"/>
                <w:spacing w:val="0"/>
                <w:sz w:val="21"/>
                <w:u w:val="none"/>
                <w:shd w:val="clear" w:color="auto" w:fill="FFFFFF"/>
              </w:rPr>
              <w:t>字节跳动</w:t>
            </w:r>
          </w:p>
        </w:tc>
        <w:tc>
          <w:tcPr>
            <w:tcW w:w="462"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PaddlePaddle</w:t>
            </w:r>
          </w:p>
        </w:tc>
        <w:tc>
          <w:tcPr>
            <w:tcW w:w="394"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电商领域</w:t>
            </w:r>
          </w:p>
        </w:tc>
        <w:tc>
          <w:tcPr>
            <w:tcW w:w="512"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不足</w:t>
            </w: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07"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不全</w:t>
            </w:r>
          </w:p>
        </w:tc>
        <w:tc>
          <w:tcPr>
            <w:tcW w:w="62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10"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705"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424"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较少</w:t>
            </w:r>
          </w:p>
        </w:tc>
        <w:tc>
          <w:tcPr>
            <w:tcW w:w="489"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437"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编译和运行复杂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91" w:hRule="atLeast"/>
        </w:trPr>
        <w:tc>
          <w:tcPr>
            <w:tcW w:w="28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6</w:t>
            </w:r>
          </w:p>
        </w:tc>
        <w:tc>
          <w:tcPr>
            <w:tcW w:w="465"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SecretFlow-SPU</w:t>
            </w:r>
          </w:p>
        </w:tc>
        <w:tc>
          <w:tcPr>
            <w:tcW w:w="443"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阿里巴巴</w:t>
            </w:r>
          </w:p>
        </w:tc>
        <w:tc>
          <w:tcPr>
            <w:tcW w:w="462"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Pytorch、TensorFlow、JAX</w:t>
            </w:r>
          </w:p>
        </w:tc>
        <w:tc>
          <w:tcPr>
            <w:tcW w:w="394"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通用</w:t>
            </w:r>
          </w:p>
        </w:tc>
        <w:tc>
          <w:tcPr>
            <w:tcW w:w="512"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一般</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PSI</w:t>
            </w:r>
          </w:p>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PIR</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07"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不全</w:t>
            </w:r>
          </w:p>
        </w:tc>
        <w:tc>
          <w:tcPr>
            <w:tcW w:w="62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10"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705"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支持</w:t>
            </w:r>
          </w:p>
        </w:tc>
        <w:tc>
          <w:tcPr>
            <w:tcW w:w="424" w:type="dxa"/>
            <w:tcMar>
              <w:top w:w="120" w:type="dxa"/>
              <w:left w:w="60" w:type="dxa"/>
              <w:bottom w:w="120" w:type="dxa"/>
              <w:right w:w="60" w:type="dxa"/>
            </w:tcMar>
            <w:vAlign w:val="center"/>
          </w:tcPr>
          <w:p>
            <w:pPr>
              <w:snapToGrid/>
              <w:spacing w:before="0" w:after="0" w:line="240" w:lineRule="auto"/>
              <w:ind w:left="0" w:right="0"/>
              <w:jc w:val="both"/>
              <w:rPr>
                <w:rFonts w:ascii="宋体" w:hAnsi="宋体" w:eastAsia="宋体" w:cs="宋体"/>
                <w:sz w:val="21"/>
              </w:rPr>
            </w:pPr>
            <w:r>
              <w:rPr>
                <w:rFonts w:ascii="宋体" w:hAnsi="宋体" w:eastAsia="宋体" w:cs="宋体"/>
                <w:sz w:val="21"/>
              </w:rPr>
              <w:t xml:space="preserve"> √</w:t>
            </w:r>
          </w:p>
        </w:tc>
        <w:tc>
          <w:tcPr>
            <w:tcW w:w="489"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较复杂</w:t>
            </w:r>
          </w:p>
        </w:tc>
        <w:tc>
          <w:tcPr>
            <w:tcW w:w="437"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编译和运行复杂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91" w:hRule="atLeast"/>
        </w:trPr>
        <w:tc>
          <w:tcPr>
            <w:tcW w:w="28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7</w:t>
            </w:r>
          </w:p>
        </w:tc>
        <w:tc>
          <w:tcPr>
            <w:tcW w:w="465"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CrypTen</w:t>
            </w:r>
          </w:p>
        </w:tc>
        <w:tc>
          <w:tcPr>
            <w:tcW w:w="443"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b w:val="0"/>
                <w:i w:val="0"/>
                <w:strike w:val="0"/>
                <w:color w:val="000000"/>
                <w:spacing w:val="0"/>
                <w:sz w:val="21"/>
                <w:u w:val="none"/>
              </w:rPr>
              <w:t>Meta</w:t>
            </w:r>
          </w:p>
        </w:tc>
        <w:tc>
          <w:tcPr>
            <w:tcW w:w="462"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Pytorch</w:t>
            </w:r>
          </w:p>
        </w:tc>
        <w:tc>
          <w:tcPr>
            <w:tcW w:w="394"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科研</w:t>
            </w:r>
          </w:p>
        </w:tc>
        <w:tc>
          <w:tcPr>
            <w:tcW w:w="512"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不足</w:t>
            </w: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607"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不全</w:t>
            </w:r>
          </w:p>
        </w:tc>
        <w:tc>
          <w:tcPr>
            <w:tcW w:w="62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10"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705"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424"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较少</w:t>
            </w:r>
          </w:p>
        </w:tc>
        <w:tc>
          <w:tcPr>
            <w:tcW w:w="489"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较复杂</w:t>
            </w:r>
          </w:p>
        </w:tc>
        <w:tc>
          <w:tcPr>
            <w:tcW w:w="437"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未落地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209" w:hRule="atLeast"/>
        </w:trPr>
        <w:tc>
          <w:tcPr>
            <w:tcW w:w="288"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8</w:t>
            </w:r>
          </w:p>
        </w:tc>
        <w:tc>
          <w:tcPr>
            <w:tcW w:w="465"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Delta</w:t>
            </w:r>
          </w:p>
        </w:tc>
        <w:tc>
          <w:tcPr>
            <w:tcW w:w="443"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462"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Pytorch</w:t>
            </w:r>
          </w:p>
        </w:tc>
        <w:tc>
          <w:tcPr>
            <w:tcW w:w="394"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科研</w:t>
            </w:r>
          </w:p>
        </w:tc>
        <w:tc>
          <w:tcPr>
            <w:tcW w:w="512"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不足</w:t>
            </w: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06"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07"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不全</w:t>
            </w:r>
          </w:p>
        </w:tc>
        <w:tc>
          <w:tcPr>
            <w:tcW w:w="628"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10"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仅横向联邦</w:t>
            </w:r>
          </w:p>
        </w:tc>
        <w:tc>
          <w:tcPr>
            <w:tcW w:w="705"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424"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489"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437"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未落地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91" w:hRule="atLeast"/>
        </w:trPr>
        <w:tc>
          <w:tcPr>
            <w:tcW w:w="288"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9</w:t>
            </w:r>
          </w:p>
        </w:tc>
        <w:tc>
          <w:tcPr>
            <w:tcW w:w="465"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Rosetta</w:t>
            </w:r>
          </w:p>
        </w:tc>
        <w:tc>
          <w:tcPr>
            <w:tcW w:w="443"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i w:val="0"/>
                <w:strike w:val="0"/>
                <w:spacing w:val="0"/>
                <w:u w:val="none"/>
              </w:rPr>
              <w:t>矩阵元</w:t>
            </w:r>
          </w:p>
        </w:tc>
        <w:tc>
          <w:tcPr>
            <w:tcW w:w="462"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Pytorch</w:t>
            </w:r>
          </w:p>
        </w:tc>
        <w:tc>
          <w:tcPr>
            <w:tcW w:w="394"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金融</w:t>
            </w:r>
          </w:p>
        </w:tc>
        <w:tc>
          <w:tcPr>
            <w:tcW w:w="512"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不足</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PSI</w:t>
            </w:r>
          </w:p>
        </w:tc>
        <w:tc>
          <w:tcPr>
            <w:tcW w:w="606"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607"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不全</w:t>
            </w:r>
          </w:p>
        </w:tc>
        <w:tc>
          <w:tcPr>
            <w:tcW w:w="628"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610"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仅横向联邦</w:t>
            </w:r>
          </w:p>
        </w:tc>
        <w:tc>
          <w:tcPr>
            <w:tcW w:w="705"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不支持</w:t>
            </w:r>
          </w:p>
        </w:tc>
        <w:tc>
          <w:tcPr>
            <w:tcW w:w="424" w:type="dxa"/>
            <w:tcMar>
              <w:top w:w="120" w:type="dxa"/>
              <w:left w:w="60" w:type="dxa"/>
              <w:bottom w:w="120" w:type="dxa"/>
              <w:right w:w="60" w:type="dxa"/>
            </w:tcMar>
            <w:vAlign w:val="center"/>
          </w:tcPr>
          <w:p>
            <w:pP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489"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w:t>
            </w:r>
          </w:p>
        </w:tc>
        <w:tc>
          <w:tcPr>
            <w:tcW w:w="437" w:type="dxa"/>
            <w:tcMar>
              <w:top w:w="120" w:type="dxa"/>
              <w:left w:w="60" w:type="dxa"/>
              <w:bottom w:w="120" w:type="dxa"/>
              <w:right w:w="60" w:type="dxa"/>
            </w:tcMar>
            <w:vAlign w:val="center"/>
          </w:tcPr>
          <w:p>
            <w:pPr>
              <w:pBdr>
                <w:bottom w:val="none" w:color="auto" w:sz="0" w:space="0"/>
              </w:pBdr>
              <w:snapToGrid/>
              <w:spacing w:before="0" w:after="0" w:line="240" w:lineRule="auto"/>
              <w:ind w:left="0" w:right="0"/>
              <w:jc w:val="center"/>
              <w:rPr>
                <w:rFonts w:ascii="宋体" w:hAnsi="宋体" w:eastAsia="宋体" w:cs="宋体"/>
                <w:sz w:val="21"/>
              </w:rPr>
            </w:pPr>
            <w:r>
              <w:rPr>
                <w:rFonts w:ascii="宋体" w:hAnsi="宋体" w:eastAsia="宋体" w:cs="宋体"/>
                <w:sz w:val="21"/>
              </w:rPr>
              <w:t>较复杂</w:t>
            </w:r>
          </w:p>
        </w:tc>
      </w:tr>
    </w:tbl>
    <w:p>
      <w:pPr>
        <w:spacing w:line="360" w:lineRule="auto"/>
        <w:ind w:left="0" w:firstLineChars="200"/>
        <w:rPr>
          <w:rFonts w:ascii="宋体" w:hAnsi="宋体" w:eastAsia="宋体" w:cs="宋体"/>
          <w:sz w:val="24"/>
        </w:rPr>
      </w:pPr>
    </w:p>
    <w:p>
      <w:pPr>
        <w:pBdr>
          <w:bottom w:val="none" w:color="auto" w:sz="0" w:space="0"/>
        </w:pBdr>
        <w:spacing w:line="360" w:lineRule="auto"/>
        <w:ind w:left="0" w:firstLineChars="200"/>
        <w:rPr>
          <w:rFonts w:ascii="宋体" w:hAnsi="宋体" w:eastAsia="宋体" w:cs="宋体"/>
          <w:sz w:val="24"/>
        </w:rPr>
      </w:pPr>
      <w:r>
        <w:rPr>
          <w:rFonts w:ascii="宋体" w:hAnsi="宋体" w:eastAsia="宋体" w:cs="宋体"/>
          <w:sz w:val="24"/>
        </w:rPr>
        <w:t>除了这些隐私计算框架，业界越来越多的研究院和公司，如浪潮、山东区块链研究院、长安链、趣链、阿里、微众银行、上交所、贵交所、洞见和华控清交等，正在积极打造与推进基于区块链与隐私计算的</w:t>
      </w:r>
      <w:r>
        <w:rPr>
          <w:rFonts w:ascii="宋体" w:hAnsi="宋体" w:eastAsia="宋体" w:cs="宋体"/>
          <w:b/>
          <w:sz w:val="24"/>
        </w:rPr>
        <w:t>多源数据融合可信流通平台与生态产品</w:t>
      </w:r>
      <w:r>
        <w:rPr>
          <w:rFonts w:ascii="宋体" w:hAnsi="宋体" w:eastAsia="宋体" w:cs="宋体"/>
          <w:sz w:val="24"/>
        </w:rPr>
        <w:t>（如表2所示），将隐私计算技术应用到实际生产中。以区块链技术为主体的山东区块链研究中心、长安链等致力于融合区块链与隐私计算能力，在保护隐私的前提下实现数据使用过程可信任、可追溯、公开透明，已落地转化为医疗健康全生态可信数据互联的“小通医链”（长安链）等实际产出。以构建数智平台为目的的洞见科技公司、华控清交致力于提供可信数据挖掘的平台应用，洞见科技公司的洞见数智联邦平台，华控清交与光大银行合作承建的多方数据安全计算平台，实现了多场景多数据下的联合分析决策。构建可信开源框架的微众银行、谷歌、蚂蚁集团等推出FATE、TensorFlow Federated、SecretFlow等框架，为后续隐私计算产品提供了大量借鉴指导，推动了隐私计算产业落地孵化。各大数交所，也开发相应软件平台并制定产业规则，如e正通app（上交所），数据交易规则体系（贵数所），为数据资产保护、数据交易等切实应用提供了有益经验。这些在多源数据融合计算中的探索与研究都在积极推进高效、安全的数据跨域可信流转，为数字经济主体与数据赋能的实施与发展添砖加瓦。</w:t>
      </w:r>
    </w:p>
    <w:p>
      <w:pPr>
        <w:pBdr>
          <w:bottom w:val="none" w:color="auto" w:sz="0" w:space="0"/>
        </w:pBdr>
        <w:spacing w:line="360" w:lineRule="auto"/>
        <w:ind w:left="0" w:firstLineChars="200"/>
        <w:rPr>
          <w:rFonts w:ascii="宋体" w:hAnsi="宋体" w:eastAsia="宋体" w:cs="宋体"/>
          <w:color w:val="000000"/>
          <w:sz w:val="24"/>
        </w:rPr>
      </w:pPr>
    </w:p>
    <w:p>
      <w:pPr>
        <w:jc w:val="center"/>
      </w:pPr>
      <w:r>
        <w:rPr>
          <w:rFonts w:ascii="宋体" w:hAnsi="宋体" w:eastAsia="宋体" w:cs="宋体"/>
          <w:color w:val="000000"/>
          <w:sz w:val="24"/>
        </w:rPr>
        <w:t>表2. 业界已有的数据融合计算应用实践</w:t>
      </w:r>
    </w:p>
    <w:tbl>
      <w:tblPr>
        <w:tblStyle w:val="10"/>
        <w:tblW w:w="0" w:type="auto"/>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2138"/>
        <w:gridCol w:w="1933"/>
        <w:gridCol w:w="4072"/>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2138" w:type="dxa"/>
            <w:vAlign w:val="center"/>
          </w:tcPr>
          <w:p>
            <w:pPr>
              <w:spacing w:line="360" w:lineRule="auto"/>
              <w:jc w:val="center"/>
              <w:rPr>
                <w:rFonts w:ascii="宋体" w:hAnsi="宋体" w:eastAsia="宋体" w:cs="宋体"/>
                <w:sz w:val="24"/>
              </w:rPr>
            </w:pPr>
            <w:r>
              <w:rPr>
                <w:rFonts w:ascii="宋体" w:hAnsi="宋体" w:eastAsia="宋体" w:cs="宋体"/>
                <w:sz w:val="24"/>
              </w:rPr>
              <w:t>企业单位</w:t>
            </w:r>
          </w:p>
        </w:tc>
        <w:tc>
          <w:tcPr>
            <w:tcW w:w="1933" w:type="dxa"/>
            <w:vAlign w:val="center"/>
          </w:tcPr>
          <w:p>
            <w:pPr>
              <w:spacing w:line="360" w:lineRule="auto"/>
              <w:jc w:val="center"/>
              <w:rPr>
                <w:rFonts w:ascii="宋体" w:hAnsi="宋体" w:eastAsia="宋体" w:cs="宋体"/>
                <w:sz w:val="24"/>
              </w:rPr>
            </w:pPr>
            <w:r>
              <w:rPr>
                <w:rFonts w:ascii="宋体" w:hAnsi="宋体" w:eastAsia="宋体" w:cs="宋体"/>
                <w:sz w:val="24"/>
              </w:rPr>
              <w:t>代表产品</w:t>
            </w:r>
          </w:p>
        </w:tc>
        <w:tc>
          <w:tcPr>
            <w:tcW w:w="4072" w:type="dxa"/>
            <w:vAlign w:val="center"/>
          </w:tcPr>
          <w:p>
            <w:pPr>
              <w:spacing w:line="360" w:lineRule="auto"/>
              <w:jc w:val="center"/>
              <w:rPr>
                <w:rFonts w:ascii="宋体" w:hAnsi="宋体" w:eastAsia="宋体" w:cs="宋体"/>
                <w:sz w:val="24"/>
              </w:rPr>
            </w:pPr>
            <w:r>
              <w:rPr>
                <w:rFonts w:ascii="宋体" w:hAnsi="宋体" w:eastAsia="宋体" w:cs="宋体"/>
                <w:sz w:val="24"/>
              </w:rPr>
              <w:t>技术实践与突出贡献</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2138" w:type="dxa"/>
            <w:vAlign w:val="center"/>
          </w:tcPr>
          <w:p>
            <w:pPr>
              <w:spacing w:line="360" w:lineRule="auto"/>
              <w:jc w:val="center"/>
              <w:rPr>
                <w:rFonts w:ascii="宋体" w:hAnsi="宋体" w:eastAsia="宋体" w:cs="宋体"/>
                <w:sz w:val="24"/>
              </w:rPr>
            </w:pPr>
            <w:r>
              <w:rPr>
                <w:rFonts w:ascii="宋体" w:hAnsi="宋体" w:eastAsia="宋体" w:cs="宋体"/>
                <w:sz w:val="24"/>
              </w:rPr>
              <w:t>山东区块链研究院</w:t>
            </w:r>
          </w:p>
        </w:tc>
        <w:tc>
          <w:tcPr>
            <w:tcW w:w="1933" w:type="dxa"/>
            <w:vAlign w:val="center"/>
          </w:tcPr>
          <w:p>
            <w:pPr>
              <w:spacing w:line="360" w:lineRule="auto"/>
              <w:jc w:val="center"/>
              <w:rPr>
                <w:rFonts w:ascii="宋体" w:hAnsi="宋体" w:eastAsia="宋体" w:cs="宋体"/>
                <w:sz w:val="24"/>
              </w:rPr>
            </w:pPr>
            <w:r>
              <w:rPr>
                <w:rFonts w:ascii="宋体" w:hAnsi="宋体" w:eastAsia="宋体" w:cs="宋体"/>
                <w:sz w:val="24"/>
              </w:rPr>
              <w:t>医疗领域平台</w:t>
            </w:r>
          </w:p>
        </w:tc>
        <w:tc>
          <w:tcPr>
            <w:tcW w:w="4072" w:type="dxa"/>
            <w:vAlign w:val="center"/>
          </w:tcPr>
          <w:p>
            <w:pPr>
              <w:spacing w:line="360" w:lineRule="auto"/>
              <w:jc w:val="center"/>
              <w:rPr>
                <w:rFonts w:ascii="宋体" w:hAnsi="宋体" w:eastAsia="宋体" w:cs="宋体"/>
                <w:sz w:val="24"/>
              </w:rPr>
            </w:pPr>
            <w:r>
              <w:rPr>
                <w:rFonts w:ascii="宋体" w:hAnsi="宋体" w:eastAsia="宋体" w:cs="宋体"/>
                <w:sz w:val="24"/>
              </w:rPr>
              <w:t>利用多方安全计算、区块链技术保障数据安全，实现医疗数据的可信流转</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2138" w:type="dxa"/>
            <w:vAlign w:val="center"/>
          </w:tcPr>
          <w:p>
            <w:pPr>
              <w:spacing w:line="360" w:lineRule="auto"/>
              <w:jc w:val="center"/>
              <w:rPr>
                <w:rFonts w:ascii="宋体" w:hAnsi="宋体" w:eastAsia="宋体" w:cs="宋体"/>
                <w:sz w:val="24"/>
              </w:rPr>
            </w:pPr>
            <w:r>
              <w:rPr>
                <w:rFonts w:ascii="宋体" w:hAnsi="宋体" w:eastAsia="宋体" w:cs="宋体"/>
                <w:sz w:val="24"/>
              </w:rPr>
              <w:t>长安链</w:t>
            </w:r>
          </w:p>
        </w:tc>
        <w:tc>
          <w:tcPr>
            <w:tcW w:w="1933" w:type="dxa"/>
            <w:vAlign w:val="center"/>
          </w:tcPr>
          <w:p>
            <w:pPr>
              <w:spacing w:line="360" w:lineRule="auto"/>
              <w:jc w:val="center"/>
              <w:rPr>
                <w:rFonts w:ascii="宋体" w:hAnsi="宋体" w:eastAsia="宋体" w:cs="宋体"/>
                <w:sz w:val="24"/>
              </w:rPr>
            </w:pPr>
            <w:r>
              <w:rPr>
                <w:rFonts w:ascii="宋体" w:hAnsi="宋体" w:eastAsia="宋体" w:cs="宋体"/>
                <w:sz w:val="24"/>
              </w:rPr>
              <w:t>小通医链</w:t>
            </w:r>
          </w:p>
        </w:tc>
        <w:tc>
          <w:tcPr>
            <w:tcW w:w="4072" w:type="dxa"/>
            <w:vAlign w:val="center"/>
          </w:tcPr>
          <w:p>
            <w:pPr>
              <w:spacing w:line="360" w:lineRule="auto"/>
              <w:jc w:val="center"/>
              <w:rPr>
                <w:rFonts w:ascii="宋体" w:hAnsi="宋体" w:eastAsia="宋体" w:cs="宋体"/>
                <w:sz w:val="24"/>
              </w:rPr>
            </w:pPr>
            <w:r>
              <w:rPr>
                <w:rFonts w:ascii="宋体" w:hAnsi="宋体" w:eastAsia="宋体" w:cs="宋体"/>
                <w:sz w:val="24"/>
              </w:rPr>
              <w:t>利用加密技术，在保障隐私前提下通过AI、区块链技术应用支撑疾病诊断与新药研发，造福于民</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2138" w:type="dxa"/>
            <w:vAlign w:val="center"/>
          </w:tcPr>
          <w:p>
            <w:pPr>
              <w:spacing w:line="360" w:lineRule="auto"/>
              <w:jc w:val="center"/>
              <w:rPr>
                <w:rFonts w:ascii="宋体" w:hAnsi="宋体" w:eastAsia="宋体" w:cs="宋体"/>
                <w:sz w:val="24"/>
              </w:rPr>
            </w:pPr>
            <w:r>
              <w:rPr>
                <w:rFonts w:ascii="宋体" w:hAnsi="宋体" w:eastAsia="宋体" w:cs="宋体"/>
                <w:sz w:val="24"/>
              </w:rPr>
              <w:t>洞见科技公司</w:t>
            </w:r>
          </w:p>
        </w:tc>
        <w:tc>
          <w:tcPr>
            <w:tcW w:w="1933" w:type="dxa"/>
            <w:vAlign w:val="center"/>
          </w:tcPr>
          <w:p>
            <w:pPr>
              <w:spacing w:line="360" w:lineRule="auto"/>
              <w:jc w:val="center"/>
              <w:rPr>
                <w:rFonts w:ascii="宋体" w:hAnsi="宋体" w:eastAsia="宋体" w:cs="宋体"/>
                <w:sz w:val="24"/>
              </w:rPr>
            </w:pPr>
            <w:r>
              <w:rPr>
                <w:rFonts w:ascii="宋体" w:hAnsi="宋体" w:eastAsia="宋体" w:cs="宋体"/>
                <w:sz w:val="24"/>
              </w:rPr>
              <w:t>洞见数智联邦平台</w:t>
            </w:r>
          </w:p>
        </w:tc>
        <w:tc>
          <w:tcPr>
            <w:tcW w:w="4072" w:type="dxa"/>
            <w:vAlign w:val="center"/>
          </w:tcPr>
          <w:p>
            <w:pPr>
              <w:spacing w:line="360" w:lineRule="auto"/>
              <w:jc w:val="center"/>
              <w:rPr>
                <w:rFonts w:ascii="宋体" w:hAnsi="宋体" w:eastAsia="宋体" w:cs="宋体"/>
                <w:sz w:val="24"/>
              </w:rPr>
            </w:pPr>
            <w:r>
              <w:rPr>
                <w:rFonts w:ascii="宋体" w:hAnsi="宋体" w:eastAsia="宋体" w:cs="宋体"/>
                <w:sz w:val="24"/>
              </w:rPr>
              <w:t>首次将隐私计算与区块链技术相融合，实现多场景多数据下计算可信可链接</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2138" w:type="dxa"/>
            <w:vAlign w:val="center"/>
          </w:tcPr>
          <w:p>
            <w:pPr>
              <w:spacing w:line="360" w:lineRule="auto"/>
              <w:jc w:val="center"/>
              <w:rPr>
                <w:rFonts w:ascii="宋体" w:hAnsi="宋体" w:eastAsia="宋体" w:cs="宋体"/>
                <w:sz w:val="24"/>
              </w:rPr>
            </w:pPr>
            <w:r>
              <w:rPr>
                <w:rFonts w:ascii="宋体" w:hAnsi="宋体" w:eastAsia="宋体" w:cs="宋体"/>
                <w:sz w:val="24"/>
              </w:rPr>
              <w:t>浪潮</w:t>
            </w:r>
          </w:p>
        </w:tc>
        <w:tc>
          <w:tcPr>
            <w:tcW w:w="1933" w:type="dxa"/>
            <w:vAlign w:val="center"/>
          </w:tcPr>
          <w:p>
            <w:pPr>
              <w:spacing w:line="360" w:lineRule="auto"/>
              <w:jc w:val="center"/>
              <w:rPr>
                <w:rFonts w:ascii="宋体" w:hAnsi="宋体" w:eastAsia="宋体" w:cs="宋体"/>
                <w:sz w:val="24"/>
              </w:rPr>
            </w:pPr>
            <w:r>
              <w:rPr>
                <w:rFonts w:ascii="宋体" w:hAnsi="宋体" w:eastAsia="宋体" w:cs="宋体"/>
                <w:sz w:val="24"/>
              </w:rPr>
              <w:t>浪潮云</w:t>
            </w:r>
          </w:p>
        </w:tc>
        <w:tc>
          <w:tcPr>
            <w:tcW w:w="4072" w:type="dxa"/>
            <w:vAlign w:val="center"/>
          </w:tcPr>
          <w:p>
            <w:pPr>
              <w:spacing w:line="360" w:lineRule="auto"/>
              <w:jc w:val="center"/>
              <w:rPr>
                <w:rFonts w:ascii="宋体" w:hAnsi="宋体" w:eastAsia="宋体" w:cs="宋体"/>
                <w:sz w:val="24"/>
              </w:rPr>
            </w:pPr>
            <w:r>
              <w:rPr>
                <w:rFonts w:ascii="宋体" w:hAnsi="宋体" w:eastAsia="宋体" w:cs="宋体"/>
                <w:sz w:val="24"/>
              </w:rPr>
              <w:t>已合作超240个政府部门，赋能千行百业助力数字化转型</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2138" w:type="dxa"/>
            <w:vAlign w:val="center"/>
          </w:tcPr>
          <w:p>
            <w:pPr>
              <w:spacing w:line="360" w:lineRule="auto"/>
              <w:jc w:val="center"/>
              <w:rPr>
                <w:rFonts w:ascii="宋体" w:hAnsi="宋体" w:eastAsia="宋体" w:cs="宋体"/>
                <w:sz w:val="24"/>
              </w:rPr>
            </w:pPr>
            <w:r>
              <w:rPr>
                <w:rFonts w:ascii="宋体" w:hAnsi="宋体" w:eastAsia="宋体" w:cs="宋体"/>
                <w:sz w:val="24"/>
              </w:rPr>
              <w:t>华控清交</w:t>
            </w:r>
          </w:p>
        </w:tc>
        <w:tc>
          <w:tcPr>
            <w:tcW w:w="1933" w:type="dxa"/>
            <w:vAlign w:val="center"/>
          </w:tcPr>
          <w:p>
            <w:pPr>
              <w:spacing w:line="360" w:lineRule="auto"/>
              <w:jc w:val="center"/>
              <w:rPr>
                <w:rFonts w:ascii="宋体" w:hAnsi="宋体" w:eastAsia="宋体" w:cs="宋体"/>
                <w:sz w:val="24"/>
              </w:rPr>
            </w:pPr>
            <w:r>
              <w:rPr>
                <w:rFonts w:ascii="宋体" w:hAnsi="宋体" w:eastAsia="宋体" w:cs="宋体"/>
                <w:sz w:val="24"/>
              </w:rPr>
              <w:t>光大银行多方数据安全计算平台</w:t>
            </w:r>
          </w:p>
        </w:tc>
        <w:tc>
          <w:tcPr>
            <w:tcW w:w="4072" w:type="dxa"/>
            <w:vAlign w:val="center"/>
          </w:tcPr>
          <w:p>
            <w:pPr>
              <w:spacing w:line="360" w:lineRule="auto"/>
              <w:jc w:val="center"/>
              <w:rPr>
                <w:rFonts w:ascii="宋体" w:hAnsi="宋体" w:eastAsia="宋体" w:cs="宋体"/>
                <w:sz w:val="24"/>
              </w:rPr>
            </w:pPr>
            <w:r>
              <w:rPr>
                <w:rFonts w:ascii="宋体" w:hAnsi="宋体" w:eastAsia="宋体" w:cs="宋体"/>
                <w:sz w:val="24"/>
              </w:rPr>
              <w:t>已适用于联合营销、联合风控、统一授信和业务合规等诸多场景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2138" w:type="dxa"/>
            <w:vAlign w:val="center"/>
          </w:tcPr>
          <w:p>
            <w:pPr>
              <w:spacing w:line="360" w:lineRule="auto"/>
              <w:jc w:val="center"/>
              <w:rPr>
                <w:rFonts w:ascii="宋体" w:hAnsi="宋体" w:eastAsia="宋体" w:cs="宋体"/>
                <w:sz w:val="24"/>
              </w:rPr>
            </w:pPr>
            <w:r>
              <w:rPr>
                <w:rFonts w:ascii="宋体" w:hAnsi="宋体" w:eastAsia="宋体" w:cs="宋体"/>
                <w:sz w:val="24"/>
              </w:rPr>
              <w:t>微众银行</w:t>
            </w:r>
          </w:p>
        </w:tc>
        <w:tc>
          <w:tcPr>
            <w:tcW w:w="1933" w:type="dxa"/>
            <w:vAlign w:val="center"/>
          </w:tcPr>
          <w:p>
            <w:pPr>
              <w:spacing w:line="360" w:lineRule="auto"/>
              <w:jc w:val="center"/>
              <w:rPr>
                <w:rFonts w:ascii="宋体" w:hAnsi="宋体" w:eastAsia="宋体" w:cs="宋体"/>
                <w:sz w:val="24"/>
              </w:rPr>
            </w:pPr>
            <w:r>
              <w:rPr>
                <w:rFonts w:ascii="宋体" w:hAnsi="宋体" w:eastAsia="宋体" w:cs="宋体"/>
                <w:sz w:val="24"/>
              </w:rPr>
              <w:t>FATE</w:t>
            </w:r>
          </w:p>
        </w:tc>
        <w:tc>
          <w:tcPr>
            <w:tcW w:w="4072" w:type="dxa"/>
            <w:vAlign w:val="center"/>
          </w:tcPr>
          <w:p>
            <w:pPr>
              <w:spacing w:line="360" w:lineRule="auto"/>
              <w:jc w:val="center"/>
              <w:rPr>
                <w:rFonts w:ascii="宋体" w:hAnsi="宋体" w:eastAsia="宋体" w:cs="宋体"/>
                <w:sz w:val="24"/>
              </w:rPr>
            </w:pPr>
            <w:r>
              <w:rPr>
                <w:rFonts w:ascii="宋体" w:hAnsi="宋体" w:eastAsia="宋体" w:cs="宋体"/>
                <w:sz w:val="24"/>
              </w:rPr>
              <w:t>全球首个工业级联邦学习开源框架，功能全面</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2138" w:type="dxa"/>
            <w:vAlign w:val="center"/>
          </w:tcPr>
          <w:p>
            <w:pPr>
              <w:spacing w:line="360" w:lineRule="auto"/>
              <w:jc w:val="center"/>
              <w:rPr>
                <w:rFonts w:ascii="宋体" w:hAnsi="宋体" w:eastAsia="宋体" w:cs="宋体"/>
                <w:sz w:val="24"/>
              </w:rPr>
            </w:pPr>
            <w:r>
              <w:rPr>
                <w:rFonts w:ascii="宋体" w:hAnsi="宋体" w:eastAsia="宋体" w:cs="宋体"/>
                <w:sz w:val="24"/>
              </w:rPr>
              <w:t>蚂蚁集团</w:t>
            </w:r>
          </w:p>
        </w:tc>
        <w:tc>
          <w:tcPr>
            <w:tcW w:w="1933" w:type="dxa"/>
            <w:vAlign w:val="center"/>
          </w:tcPr>
          <w:p>
            <w:pPr>
              <w:spacing w:line="360" w:lineRule="auto"/>
              <w:jc w:val="center"/>
              <w:rPr>
                <w:rFonts w:ascii="宋体" w:hAnsi="宋体" w:eastAsia="宋体" w:cs="宋体"/>
                <w:sz w:val="24"/>
              </w:rPr>
            </w:pPr>
            <w:r>
              <w:rPr>
                <w:rFonts w:ascii="宋体" w:hAnsi="宋体" w:eastAsia="宋体" w:cs="宋体"/>
                <w:sz w:val="24"/>
              </w:rPr>
              <w:t>SecretFlow</w:t>
            </w:r>
          </w:p>
        </w:tc>
        <w:tc>
          <w:tcPr>
            <w:tcW w:w="4072" w:type="dxa"/>
            <w:vAlign w:val="center"/>
          </w:tcPr>
          <w:p>
            <w:pPr>
              <w:spacing w:line="360" w:lineRule="auto"/>
              <w:jc w:val="center"/>
              <w:rPr>
                <w:rFonts w:ascii="宋体" w:hAnsi="宋体" w:eastAsia="宋体" w:cs="宋体"/>
                <w:sz w:val="24"/>
              </w:rPr>
            </w:pPr>
            <w:r>
              <w:rPr>
                <w:rFonts w:ascii="宋体" w:hAnsi="宋体" w:eastAsia="宋体" w:cs="宋体"/>
                <w:sz w:val="24"/>
              </w:rPr>
              <w:t>提供了隐私保护数据分析和机器学习统一框架</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2138" w:type="dxa"/>
            <w:vAlign w:val="center"/>
          </w:tcPr>
          <w:p>
            <w:pPr>
              <w:spacing w:line="360" w:lineRule="auto"/>
              <w:jc w:val="center"/>
              <w:rPr>
                <w:rFonts w:ascii="宋体" w:hAnsi="宋体" w:eastAsia="宋体" w:cs="宋体"/>
                <w:sz w:val="24"/>
              </w:rPr>
            </w:pPr>
            <w:r>
              <w:rPr>
                <w:rFonts w:ascii="宋体" w:hAnsi="宋体" w:eastAsia="宋体" w:cs="宋体"/>
                <w:sz w:val="24"/>
              </w:rPr>
              <w:t>上交所</w:t>
            </w:r>
          </w:p>
        </w:tc>
        <w:tc>
          <w:tcPr>
            <w:tcW w:w="1933" w:type="dxa"/>
            <w:vAlign w:val="center"/>
          </w:tcPr>
          <w:p>
            <w:pPr>
              <w:spacing w:line="360" w:lineRule="auto"/>
              <w:jc w:val="center"/>
              <w:rPr>
                <w:rFonts w:ascii="宋体" w:hAnsi="宋体" w:eastAsia="宋体" w:cs="宋体"/>
                <w:sz w:val="24"/>
              </w:rPr>
            </w:pPr>
            <w:r>
              <w:rPr>
                <w:rFonts w:ascii="宋体" w:hAnsi="宋体" w:eastAsia="宋体" w:cs="宋体"/>
                <w:sz w:val="24"/>
              </w:rPr>
              <w:t>e正通app</w:t>
            </w:r>
          </w:p>
        </w:tc>
        <w:tc>
          <w:tcPr>
            <w:tcW w:w="4072" w:type="dxa"/>
            <w:vAlign w:val="center"/>
          </w:tcPr>
          <w:p>
            <w:pPr>
              <w:spacing w:line="360" w:lineRule="auto"/>
              <w:jc w:val="center"/>
              <w:rPr>
                <w:rFonts w:ascii="宋体" w:hAnsi="宋体" w:eastAsia="宋体" w:cs="宋体"/>
                <w:sz w:val="24"/>
              </w:rPr>
            </w:pPr>
            <w:r>
              <w:rPr>
                <w:rFonts w:ascii="宋体" w:hAnsi="宋体" w:eastAsia="宋体" w:cs="宋体"/>
                <w:sz w:val="24"/>
              </w:rPr>
              <w:t>多项隐私安全技术促进数据交易的安全合理可行</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299" w:hRule="atLeast"/>
          <w:jc w:val="center"/>
        </w:trPr>
        <w:tc>
          <w:tcPr>
            <w:tcW w:w="2138" w:type="dxa"/>
            <w:vAlign w:val="center"/>
          </w:tcPr>
          <w:p>
            <w:pPr>
              <w:spacing w:line="360" w:lineRule="auto"/>
              <w:jc w:val="center"/>
              <w:rPr>
                <w:rFonts w:ascii="宋体" w:hAnsi="宋体" w:eastAsia="宋体" w:cs="宋体"/>
                <w:sz w:val="24"/>
              </w:rPr>
            </w:pPr>
            <w:r>
              <w:rPr>
                <w:rFonts w:ascii="宋体" w:hAnsi="宋体" w:eastAsia="宋体" w:cs="宋体"/>
                <w:sz w:val="24"/>
              </w:rPr>
              <w:t>贵数所</w:t>
            </w:r>
          </w:p>
        </w:tc>
        <w:tc>
          <w:tcPr>
            <w:tcW w:w="1933" w:type="dxa"/>
            <w:vAlign w:val="center"/>
          </w:tcPr>
          <w:p>
            <w:pPr>
              <w:spacing w:line="360" w:lineRule="auto"/>
              <w:jc w:val="center"/>
              <w:rPr>
                <w:rFonts w:ascii="宋体" w:hAnsi="宋体" w:eastAsia="宋体" w:cs="宋体"/>
                <w:sz w:val="24"/>
              </w:rPr>
            </w:pPr>
            <w:r>
              <w:rPr>
                <w:rFonts w:ascii="宋体" w:hAnsi="宋体" w:eastAsia="宋体" w:cs="宋体"/>
                <w:sz w:val="24"/>
              </w:rPr>
              <w:t>数据交易规则体系</w:t>
            </w:r>
          </w:p>
        </w:tc>
        <w:tc>
          <w:tcPr>
            <w:tcW w:w="4072" w:type="dxa"/>
            <w:vAlign w:val="center"/>
          </w:tcPr>
          <w:p>
            <w:pPr>
              <w:spacing w:line="360" w:lineRule="auto"/>
              <w:jc w:val="center"/>
              <w:rPr>
                <w:rFonts w:ascii="宋体" w:hAnsi="宋体" w:eastAsia="宋体" w:cs="宋体"/>
                <w:sz w:val="24"/>
              </w:rPr>
            </w:pPr>
            <w:r>
              <w:rPr>
                <w:rFonts w:ascii="宋体" w:hAnsi="宋体" w:eastAsia="宋体" w:cs="宋体"/>
                <w:sz w:val="24"/>
              </w:rPr>
              <w:t>发布了全国首套数据交易规则体系，为数据交易的合法合规保驾护航</w:t>
            </w:r>
          </w:p>
        </w:tc>
      </w:tr>
    </w:tbl>
    <w:p>
      <w:pPr>
        <w:pBdr>
          <w:bottom w:val="none" w:color="auto" w:sz="0" w:space="0"/>
        </w:pBdr>
        <w:snapToGrid/>
        <w:spacing w:before="0" w:after="0" w:line="360" w:lineRule="auto"/>
        <w:ind w:left="0" w:right="0" w:firstLineChars="0"/>
        <w:jc w:val="both"/>
        <w:rPr>
          <w:rFonts w:ascii="宋体" w:hAnsi="宋体" w:eastAsia="宋体" w:cs="宋体"/>
          <w:i w:val="0"/>
          <w:strike w:val="0"/>
          <w:spacing w:val="0"/>
          <w:sz w:val="24"/>
          <w:u w:val="none"/>
        </w:rPr>
      </w:pPr>
    </w:p>
    <w:p>
      <w:pPr>
        <w:snapToGrid/>
        <w:spacing w:before="0" w:after="0" w:line="360" w:lineRule="auto"/>
        <w:ind w:left="0" w:right="0" w:firstLineChars="200"/>
        <w:jc w:val="both"/>
        <w:rPr>
          <w:rFonts w:ascii="宋体" w:hAnsi="宋体" w:eastAsia="宋体" w:cs="宋体"/>
          <w:i w:val="0"/>
          <w:strike w:val="0"/>
          <w:spacing w:val="0"/>
          <w:sz w:val="24"/>
          <w:u w:val="none"/>
        </w:rPr>
      </w:pPr>
      <w:r>
        <w:rPr>
          <w:rFonts w:ascii="宋体" w:hAnsi="宋体" w:eastAsia="宋体" w:cs="宋体"/>
          <w:i w:val="0"/>
          <w:strike w:val="0"/>
          <w:spacing w:val="0"/>
          <w:sz w:val="24"/>
          <w:u w:val="none"/>
        </w:rPr>
        <w:t>如表1和表2所示，现有隐私计算框架和隐私计算平台主要存在以下不足：</w:t>
      </w:r>
    </w:p>
    <w:p>
      <w:pPr>
        <w:snapToGrid/>
        <w:spacing w:before="0" w:after="0" w:line="360" w:lineRule="auto"/>
        <w:ind w:left="0" w:right="0" w:firstLineChars="200"/>
        <w:jc w:val="both"/>
        <w:rPr>
          <w:rFonts w:ascii="宋体" w:hAnsi="宋体" w:eastAsia="宋体" w:cs="宋体"/>
          <w:i w:val="0"/>
          <w:strike w:val="0"/>
          <w:spacing w:val="0"/>
          <w:sz w:val="24"/>
          <w:u w:val="none"/>
        </w:rPr>
      </w:pPr>
      <w:r>
        <w:rPr>
          <w:rFonts w:ascii="宋体" w:hAnsi="宋体" w:eastAsia="宋体" w:cs="宋体"/>
          <w:i w:val="0"/>
          <w:strike w:val="0"/>
          <w:spacing w:val="0"/>
          <w:sz w:val="24"/>
          <w:u w:val="none"/>
        </w:rPr>
        <w:t>1）</w:t>
      </w:r>
      <w:r>
        <w:rPr>
          <w:rFonts w:ascii="宋体" w:hAnsi="宋体" w:eastAsia="宋体" w:cs="宋体"/>
          <w:b/>
          <w:i w:val="0"/>
          <w:strike w:val="0"/>
          <w:spacing w:val="0"/>
          <w:sz w:val="24"/>
          <w:u w:val="none"/>
        </w:rPr>
        <w:t>无法满足对多样化需求和场景的灵活支持与高效应用</w:t>
      </w:r>
      <w:r>
        <w:rPr>
          <w:rFonts w:ascii="宋体" w:hAnsi="宋体" w:eastAsia="宋体" w:cs="宋体"/>
          <w:i w:val="0"/>
          <w:strike w:val="0"/>
          <w:spacing w:val="0"/>
          <w:sz w:val="24"/>
          <w:u w:val="none"/>
        </w:rPr>
        <w:t>。当前平台大都侧重于以联合建模为主的应用场景，对其他业务场景尤其是联合预测场景支持不足。</w:t>
      </w:r>
    </w:p>
    <w:p>
      <w:pPr>
        <w:snapToGrid/>
        <w:spacing w:before="0" w:after="0" w:line="360" w:lineRule="auto"/>
        <w:ind w:left="0" w:right="0" w:firstLineChars="200"/>
        <w:jc w:val="both"/>
        <w:rPr>
          <w:rFonts w:ascii="宋体" w:hAnsi="宋体" w:eastAsia="宋体" w:cs="宋体"/>
          <w:i w:val="0"/>
          <w:strike w:val="0"/>
          <w:spacing w:val="0"/>
          <w:sz w:val="24"/>
          <w:u w:val="none"/>
        </w:rPr>
      </w:pPr>
      <w:r>
        <w:rPr>
          <w:rFonts w:ascii="宋体" w:hAnsi="宋体" w:eastAsia="宋体" w:cs="宋体"/>
          <w:i w:val="0"/>
          <w:strike w:val="0"/>
          <w:spacing w:val="0"/>
          <w:sz w:val="24"/>
          <w:u w:val="none"/>
        </w:rPr>
        <w:t>2）</w:t>
      </w:r>
      <w:r>
        <w:rPr>
          <w:rFonts w:ascii="宋体" w:hAnsi="宋体" w:eastAsia="宋体" w:cs="宋体"/>
          <w:b/>
          <w:i w:val="0"/>
          <w:strike w:val="0"/>
          <w:spacing w:val="0"/>
          <w:sz w:val="24"/>
          <w:u w:val="none"/>
        </w:rPr>
        <w:t>对模型的隐私安全保护不足</w:t>
      </w:r>
      <w:r>
        <w:rPr>
          <w:rFonts w:ascii="宋体" w:hAnsi="宋体" w:eastAsia="宋体" w:cs="宋体"/>
          <w:i w:val="0"/>
          <w:strike w:val="0"/>
          <w:spacing w:val="0"/>
          <w:sz w:val="24"/>
          <w:u w:val="none"/>
        </w:rPr>
        <w:t>。当前平台以联合建模和联合查询</w:t>
      </w:r>
      <w:r>
        <w:rPr>
          <w:rFonts w:ascii="宋体" w:hAnsi="宋体" w:eastAsia="宋体" w:cs="宋体"/>
          <w:i w:val="0"/>
          <w:strike w:val="0"/>
          <w:spacing w:val="0"/>
          <w:sz w:val="24"/>
          <w:u w:val="none"/>
          <w:shd w:val="clear" w:color="auto" w:fill="FFFFFF"/>
        </w:rPr>
        <w:t>为</w:t>
      </w:r>
      <w:r>
        <w:rPr>
          <w:rFonts w:ascii="宋体" w:hAnsi="宋体" w:eastAsia="宋体" w:cs="宋体"/>
          <w:i w:val="0"/>
          <w:strike w:val="0"/>
          <w:spacing w:val="0"/>
          <w:sz w:val="24"/>
          <w:u w:val="none"/>
        </w:rPr>
        <w:t>主，虽然在推动联邦学习领域（联合建模）的发展方面做出了显著贡献，其主要关注如何在多个数据拥有方之间共享模型的更新，而不直接共享数据本身，以此来保护数据隐私和安全，</w:t>
      </w:r>
      <w:r>
        <w:rPr>
          <w:rFonts w:ascii="宋体" w:hAnsi="宋体" w:eastAsia="宋体" w:cs="宋体"/>
          <w:b/>
          <w:i w:val="0"/>
          <w:strike w:val="0"/>
          <w:spacing w:val="0"/>
          <w:sz w:val="24"/>
          <w:u w:val="none"/>
        </w:rPr>
        <w:t>但忽略了模型的隐私安全保护需求</w:t>
      </w:r>
      <w:r>
        <w:rPr>
          <w:rFonts w:ascii="宋体" w:hAnsi="宋体" w:eastAsia="宋体" w:cs="宋体"/>
          <w:i w:val="0"/>
          <w:strike w:val="0"/>
          <w:spacing w:val="0"/>
          <w:sz w:val="24"/>
          <w:u w:val="none"/>
        </w:rPr>
        <w:t>。因此它们在模型和数据不出域情况（模型和数据均需要进行加密）下的联合计算场景中进行应用时具备较大的局限性。这种场景要求在确保数据和模型双方隐私保护的同时完成计算任务，其不仅需要保护数据所有方的隐私，避免数据在传输或处理过程中被泄露，同时也要确保模型所有方的知识产权得到保护，防止模型在预测过程中被复制或反向工程。</w:t>
      </w:r>
    </w:p>
    <w:p>
      <w:pPr>
        <w:snapToGrid/>
        <w:spacing w:before="0" w:after="0" w:line="360" w:lineRule="auto"/>
        <w:ind w:left="0" w:right="0" w:firstLineChars="200"/>
        <w:jc w:val="both"/>
        <w:rPr>
          <w:rFonts w:ascii="宋体" w:hAnsi="宋体" w:eastAsia="宋体" w:cs="宋体"/>
          <w:b w:val="0"/>
          <w:strike w:val="0"/>
          <w:color w:val="000000"/>
          <w:sz w:val="24"/>
          <w:u w:val="none"/>
        </w:rPr>
      </w:pPr>
      <w:r>
        <w:rPr>
          <w:rFonts w:ascii="宋体" w:hAnsi="宋体" w:eastAsia="宋体" w:cs="宋体"/>
          <w:strike w:val="0"/>
          <w:color w:val="000000"/>
          <w:sz w:val="24"/>
          <w:u w:val="none"/>
        </w:rPr>
        <w:t>3）</w:t>
      </w:r>
      <w:r>
        <w:rPr>
          <w:rFonts w:ascii="宋体" w:hAnsi="宋体" w:eastAsia="宋体" w:cs="宋体"/>
          <w:b/>
          <w:strike w:val="0"/>
          <w:color w:val="000000"/>
          <w:sz w:val="24"/>
          <w:u w:val="none"/>
        </w:rPr>
        <w:t>无法实现模型的自动导入和动态装载。</w:t>
      </w:r>
      <w:r>
        <w:rPr>
          <w:rFonts w:ascii="宋体" w:hAnsi="宋体" w:eastAsia="宋体" w:cs="宋体"/>
          <w:b w:val="0"/>
          <w:strike w:val="0"/>
          <w:color w:val="000000"/>
          <w:sz w:val="24"/>
          <w:u w:val="none"/>
        </w:rPr>
        <w:t>当前平台普遍将模型硬编码到平台中，这样的编码方式一方面无法支持使用者将自己本地训练好的模型自动导入到平台中进行隐私保护，另一方面也无法支持使用者进行模型自定义开发，模型无法实现灵活可配置、动态可插拔。这既阻碍了平台的扩展性，也会导致模型的隐私存在一定程度的泄露风险。</w:t>
      </w:r>
    </w:p>
    <w:p>
      <w:pPr>
        <w:pBdr>
          <w:bottom w:val="none" w:color="auto" w:sz="0" w:space="0"/>
        </w:pBdr>
        <w:snapToGrid/>
        <w:spacing w:before="0" w:after="0" w:line="360" w:lineRule="auto"/>
        <w:ind w:left="0" w:right="0" w:firstLineChars="200"/>
        <w:jc w:val="both"/>
        <w:rPr>
          <w:rFonts w:ascii="宋体" w:hAnsi="宋体" w:eastAsia="宋体" w:cs="宋体"/>
          <w:strike w:val="0"/>
          <w:color w:val="000000"/>
          <w:sz w:val="24"/>
          <w:u w:val="none"/>
        </w:rPr>
      </w:pPr>
      <w:r>
        <w:rPr>
          <w:rFonts w:ascii="宋体" w:hAnsi="宋体" w:eastAsia="宋体" w:cs="宋体"/>
          <w:strike w:val="0"/>
          <w:color w:val="000000"/>
          <w:sz w:val="24"/>
          <w:u w:val="none"/>
        </w:rPr>
        <w:t>4）</w:t>
      </w:r>
      <w:r>
        <w:rPr>
          <w:rFonts w:ascii="宋体" w:hAnsi="宋体" w:eastAsia="宋体" w:cs="宋体"/>
          <w:b/>
          <w:strike w:val="0"/>
          <w:color w:val="000000"/>
          <w:sz w:val="24"/>
          <w:u w:val="none"/>
        </w:rPr>
        <w:t>普遍缺少隐私计算脚本的个性化编写功能。</w:t>
      </w:r>
      <w:r>
        <w:rPr>
          <w:rFonts w:ascii="宋体" w:hAnsi="宋体" w:eastAsia="宋体" w:cs="宋体"/>
          <w:b w:val="0"/>
          <w:strike w:val="0"/>
          <w:color w:val="000000"/>
          <w:sz w:val="24"/>
          <w:u w:val="none"/>
        </w:rPr>
        <w:t>当前平台无法帮助</w:t>
      </w:r>
      <w:r>
        <w:rPr>
          <w:rFonts w:ascii="宋体" w:hAnsi="宋体" w:eastAsia="宋体" w:cs="宋体"/>
          <w:strike w:val="0"/>
          <w:color w:val="000000"/>
          <w:sz w:val="24"/>
          <w:u w:val="none"/>
        </w:rPr>
        <w:t>使用者通过简单易用的描述语言编写完整的、适应个性化业务场景的任务需求，因此降低了平台的易用性。此外，大部分平台在实现业务需求时，会将业务模型分发到所有节点进行执行，导致业务逻辑存在泄露的风险。</w:t>
      </w:r>
    </w:p>
    <w:p>
      <w:pPr>
        <w:pBdr>
          <w:bottom w:val="none" w:color="auto" w:sz="0" w:space="0"/>
        </w:pBdr>
        <w:snapToGrid/>
        <w:spacing w:before="0" w:after="0" w:line="360" w:lineRule="auto"/>
        <w:ind w:left="0" w:right="0" w:firstLineChars="200"/>
        <w:jc w:val="both"/>
        <w:rPr>
          <w:rFonts w:ascii="宋体" w:hAnsi="宋体" w:eastAsia="宋体" w:cs="宋体"/>
          <w:strike w:val="0"/>
          <w:color w:val="000000"/>
          <w:sz w:val="24"/>
          <w:u w:val="none"/>
        </w:rPr>
      </w:pPr>
      <w:r>
        <w:rPr>
          <w:rFonts w:ascii="宋体" w:hAnsi="宋体" w:eastAsia="宋体" w:cs="宋体"/>
          <w:strike w:val="0"/>
          <w:color w:val="000000"/>
          <w:sz w:val="24"/>
          <w:u w:val="none"/>
        </w:rPr>
        <w:t>5）</w:t>
      </w:r>
      <w:r>
        <w:rPr>
          <w:rFonts w:ascii="宋体" w:hAnsi="宋体" w:eastAsia="宋体" w:cs="宋体"/>
          <w:b/>
          <w:strike w:val="0"/>
          <w:color w:val="000000"/>
          <w:sz w:val="24"/>
          <w:u w:val="none"/>
        </w:rPr>
        <w:t>缺乏异构数据的接入方式。</w:t>
      </w:r>
      <w:r>
        <w:rPr>
          <w:rFonts w:ascii="宋体" w:hAnsi="宋体" w:eastAsia="宋体" w:cs="宋体"/>
          <w:b w:val="0"/>
          <w:strike w:val="0"/>
          <w:color w:val="000000"/>
          <w:sz w:val="24"/>
          <w:u w:val="none"/>
        </w:rPr>
        <w:t>当前平台</w:t>
      </w:r>
      <w:r>
        <w:rPr>
          <w:rFonts w:ascii="宋体" w:hAnsi="宋体" w:eastAsia="宋体" w:cs="宋体"/>
          <w:strike w:val="0"/>
          <w:color w:val="000000"/>
          <w:sz w:val="24"/>
          <w:u w:val="none"/>
        </w:rPr>
        <w:t>不能有效地实现不同类型的多源异构数据的接入，难以适应项目的实际需求。</w:t>
      </w:r>
    </w:p>
    <w:p>
      <w:pPr>
        <w:snapToGrid/>
        <w:spacing w:before="0" w:after="0" w:line="360" w:lineRule="auto"/>
        <w:ind w:left="0" w:right="0" w:firstLine="420"/>
        <w:jc w:val="both"/>
        <w:rPr>
          <w:rFonts w:ascii="宋体" w:hAnsi="宋体" w:eastAsia="宋体" w:cs="宋体"/>
          <w:strike w:val="0"/>
          <w:spacing w:val="0"/>
          <w:sz w:val="24"/>
          <w:u w:val="none"/>
        </w:rPr>
      </w:pPr>
      <w:r>
        <w:rPr>
          <w:rFonts w:ascii="宋体" w:hAnsi="宋体" w:eastAsia="宋体" w:cs="宋体"/>
          <w:strike w:val="0"/>
          <w:color w:val="000000"/>
          <w:sz w:val="24"/>
          <w:u w:val="none"/>
        </w:rPr>
        <w:t>为了解决上述痛点，项目拟研发</w:t>
      </w:r>
      <w:r>
        <w:rPr>
          <w:rFonts w:ascii="宋体" w:hAnsi="宋体" w:eastAsia="宋体" w:cs="宋体"/>
          <w:i w:val="0"/>
          <w:strike w:val="0"/>
          <w:color w:val="000000"/>
          <w:sz w:val="24"/>
          <w:u w:val="none"/>
        </w:rPr>
        <w:t>一套支持多种数据和模型隐私保护策略以及多样化场景下的数据分析与挖掘的数据可信融合</w:t>
      </w:r>
      <w:r>
        <w:rPr>
          <w:rFonts w:ascii="宋体" w:hAnsi="宋体" w:eastAsia="宋体" w:cs="宋体"/>
          <w:b/>
          <w:i w:val="0"/>
          <w:strike w:val="0"/>
          <w:color w:val="000000"/>
          <w:sz w:val="24"/>
          <w:u w:val="none"/>
        </w:rPr>
        <w:t>计算核心引擎</w:t>
      </w:r>
      <w:r>
        <w:rPr>
          <w:rFonts w:ascii="宋体" w:hAnsi="宋体" w:eastAsia="宋体" w:cs="宋体"/>
          <w:i w:val="0"/>
          <w:strike w:val="0"/>
          <w:color w:val="000000"/>
          <w:sz w:val="24"/>
          <w:u w:val="none"/>
        </w:rPr>
        <w:t>，一套多源数据接入、部署运维和系统状态监测的</w:t>
      </w:r>
      <w:r>
        <w:rPr>
          <w:rFonts w:ascii="宋体" w:hAnsi="宋体" w:eastAsia="宋体" w:cs="宋体"/>
          <w:b/>
          <w:i w:val="0"/>
          <w:strike w:val="0"/>
          <w:color w:val="000000"/>
          <w:sz w:val="24"/>
          <w:u w:val="none"/>
        </w:rPr>
        <w:t>管理工具</w:t>
      </w:r>
      <w:r>
        <w:rPr>
          <w:rFonts w:ascii="宋体" w:hAnsi="宋体" w:eastAsia="宋体" w:cs="宋体"/>
          <w:i w:val="0"/>
          <w:strike w:val="0"/>
          <w:color w:val="000000"/>
          <w:sz w:val="24"/>
          <w:u w:val="none"/>
        </w:rPr>
        <w:t>，一套支持多机构进行联合预测、联合统计、联合查询和联合建模的</w:t>
      </w:r>
      <w:r>
        <w:rPr>
          <w:rFonts w:ascii="宋体" w:hAnsi="宋体" w:eastAsia="宋体" w:cs="宋体"/>
          <w:b/>
          <w:i w:val="0"/>
          <w:strike w:val="0"/>
          <w:color w:val="000000"/>
          <w:sz w:val="24"/>
          <w:u w:val="none"/>
        </w:rPr>
        <w:t>平台应用组件库</w:t>
      </w:r>
      <w:r>
        <w:rPr>
          <w:rFonts w:ascii="宋体" w:hAnsi="宋体" w:eastAsia="宋体" w:cs="宋体"/>
          <w:b w:val="0"/>
          <w:i w:val="0"/>
          <w:strike w:val="0"/>
          <w:color w:val="000000"/>
          <w:sz w:val="24"/>
          <w:u w:val="none"/>
        </w:rPr>
        <w:t>，</w:t>
      </w:r>
      <w:r>
        <w:rPr>
          <w:rFonts w:ascii="宋体" w:hAnsi="宋体" w:eastAsia="宋体" w:cs="宋体"/>
          <w:b w:val="0"/>
          <w:strike w:val="0"/>
          <w:color w:val="000000"/>
          <w:sz w:val="24"/>
          <w:u w:val="none"/>
        </w:rPr>
        <w:t>从而实现</w:t>
      </w:r>
      <w:r>
        <w:rPr>
          <w:rFonts w:ascii="宋体" w:hAnsi="宋体" w:eastAsia="宋体" w:cs="宋体"/>
          <w:i w:val="0"/>
          <w:strike w:val="0"/>
          <w:spacing w:val="0"/>
          <w:sz w:val="24"/>
          <w:u w:val="none"/>
        </w:rPr>
        <w:t>多源数据可信融合计算</w:t>
      </w:r>
      <w:r>
        <w:rPr>
          <w:rFonts w:ascii="宋体" w:hAnsi="宋体" w:eastAsia="宋体" w:cs="宋体"/>
          <w:strike w:val="0"/>
          <w:spacing w:val="0"/>
          <w:sz w:val="24"/>
          <w:u w:val="none"/>
        </w:rPr>
        <w:t>具体功能。</w:t>
      </w:r>
    </w:p>
    <w:p>
      <w:pPr>
        <w:pBdr>
          <w:bottom w:val="none" w:color="auto" w:sz="0" w:space="0"/>
        </w:pBdr>
        <w:snapToGrid/>
        <w:spacing w:before="0" w:after="0" w:line="360" w:lineRule="auto"/>
        <w:ind w:left="0" w:right="0" w:firstLine="420"/>
        <w:jc w:val="both"/>
        <w:rPr>
          <w:rFonts w:ascii="宋体" w:hAnsi="宋体" w:eastAsia="宋体" w:cs="宋体"/>
          <w:i w:val="0"/>
          <w:strike w:val="0"/>
          <w:color w:val="000000"/>
          <w:sz w:val="24"/>
          <w:u w:val="none"/>
        </w:rPr>
      </w:pPr>
    </w:p>
    <w:p>
      <w:pPr>
        <w:spacing w:line="360" w:lineRule="auto"/>
        <w:ind w:left="0" w:firstLineChars="0"/>
        <w:rPr>
          <w:rFonts w:ascii="宋体" w:hAnsi="宋体" w:eastAsia="宋体" w:cs="宋体"/>
          <w:b/>
          <w:color w:val="000000"/>
          <w:sz w:val="24"/>
        </w:rPr>
      </w:pPr>
      <w:r>
        <w:rPr>
          <w:rFonts w:ascii="宋体" w:hAnsi="宋体" w:eastAsia="宋体" w:cs="宋体"/>
          <w:b/>
          <w:color w:val="000000"/>
          <w:sz w:val="24"/>
        </w:rPr>
        <w:t>1.3 需求分析</w:t>
      </w:r>
    </w:p>
    <w:p>
      <w:pPr>
        <w:pBdr>
          <w:bottom w:val="none" w:color="auto" w:sz="0" w:space="0"/>
        </w:pBdr>
        <w:snapToGrid/>
        <w:spacing w:before="0" w:after="0" w:line="360" w:lineRule="auto"/>
        <w:ind w:left="0" w:right="0" w:firstLineChars="200"/>
        <w:jc w:val="both"/>
        <w:rPr>
          <w:rFonts w:ascii="宋体" w:hAnsi="宋体" w:eastAsia="宋体" w:cs="宋体"/>
          <w:i w:val="0"/>
          <w:strike w:val="0"/>
          <w:color w:val="000000"/>
          <w:sz w:val="24"/>
          <w:u w:val="none"/>
        </w:rPr>
      </w:pPr>
      <w:r>
        <w:rPr>
          <w:rFonts w:ascii="宋体" w:hAnsi="宋体" w:eastAsia="宋体" w:cs="宋体"/>
          <w:color w:val="000000"/>
          <w:sz w:val="24"/>
        </w:rPr>
        <w:t>目前，山大地纬股份有限公司在数据要素领域主要聚焦于单一数据源的开放(即单条明细数据精准授权)，缺少对于多源数据可信融合场景的支持，从而无法满足</w:t>
      </w:r>
      <w:r>
        <w:rPr>
          <w:rFonts w:ascii="宋体" w:hAnsi="宋体" w:eastAsia="宋体" w:cs="宋体"/>
          <w:i w:val="0"/>
          <w:strike w:val="0"/>
          <w:color w:val="000000"/>
          <w:sz w:val="24"/>
          <w:u w:val="none"/>
        </w:rPr>
        <w:t>多源数据融合计算场景中</w:t>
      </w:r>
      <w:r>
        <w:rPr>
          <w:rFonts w:ascii="宋体" w:hAnsi="宋体" w:eastAsia="宋体" w:cs="宋体"/>
          <w:strike w:val="0"/>
          <w:color w:val="000000"/>
          <w:sz w:val="24"/>
          <w:u w:val="none"/>
        </w:rPr>
        <w:t>经常</w:t>
      </w:r>
      <w:r>
        <w:rPr>
          <w:rFonts w:ascii="宋体" w:hAnsi="宋体" w:eastAsia="宋体" w:cs="宋体"/>
          <w:i w:val="0"/>
          <w:strike w:val="0"/>
          <w:color w:val="000000"/>
          <w:sz w:val="24"/>
          <w:u w:val="none"/>
        </w:rPr>
        <w:t>涉及到的联合预测、联合统计、联合查询和联合建模的计算需求(</w:t>
      </w:r>
      <w:r>
        <w:rPr>
          <w:rFonts w:ascii="宋体" w:hAnsi="宋体" w:eastAsia="宋体" w:cs="宋体"/>
          <w:strike w:val="0"/>
          <w:color w:val="000000"/>
          <w:sz w:val="24"/>
          <w:u w:val="none"/>
        </w:rPr>
        <w:t>如表3)</w:t>
      </w:r>
      <w:r>
        <w:rPr>
          <w:rFonts w:ascii="宋体" w:hAnsi="宋体" w:eastAsia="宋体" w:cs="宋体"/>
          <w:i w:val="0"/>
          <w:strike w:val="0"/>
          <w:color w:val="000000"/>
          <w:sz w:val="24"/>
          <w:u w:val="none"/>
        </w:rPr>
        <w:t>。</w:t>
      </w:r>
    </w:p>
    <w:p>
      <w:pPr>
        <w:snapToGrid/>
        <w:spacing w:before="0" w:after="0" w:line="240" w:lineRule="auto"/>
        <w:ind w:left="0" w:right="0"/>
        <w:jc w:val="center"/>
      </w:pPr>
      <w:r>
        <w:rPr>
          <w:rFonts w:ascii="宋体" w:hAnsi="宋体" w:eastAsia="宋体" w:cs="宋体"/>
          <w:i w:val="0"/>
          <w:strike w:val="0"/>
          <w:color w:val="000000"/>
          <w:sz w:val="24"/>
          <w:u w:val="none"/>
        </w:rPr>
        <w:t>表3. 多</w:t>
      </w:r>
      <w:r>
        <w:rPr>
          <w:rFonts w:ascii="宋体" w:hAnsi="宋体" w:eastAsia="宋体" w:cs="宋体"/>
          <w:i w:val="0"/>
          <w:strike w:val="0"/>
          <w:color w:val="000000"/>
          <w:sz w:val="24"/>
          <w:u w:val="none"/>
          <w:shd w:val="clear" w:color="auto" w:fill="FFFFFF"/>
        </w:rPr>
        <w:t>源数据可信融合</w:t>
      </w:r>
      <w:r>
        <w:rPr>
          <w:rFonts w:ascii="宋体" w:hAnsi="宋体" w:eastAsia="宋体" w:cs="宋体"/>
          <w:i w:val="0"/>
          <w:strike w:val="0"/>
          <w:color w:val="000000"/>
          <w:sz w:val="24"/>
          <w:u w:val="none"/>
        </w:rPr>
        <w:t>的常用计算需求</w:t>
      </w:r>
    </w:p>
    <w:tbl>
      <w:tblPr>
        <w:tblStyle w:val="10"/>
        <w:tblW w:w="0" w:type="auto"/>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200"/>
        <w:gridCol w:w="1695"/>
        <w:gridCol w:w="2220"/>
        <w:gridCol w:w="315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200"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 </w:t>
            </w:r>
          </w:p>
        </w:tc>
        <w:tc>
          <w:tcPr>
            <w:tcW w:w="1695"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简介</w:t>
            </w:r>
          </w:p>
        </w:tc>
        <w:tc>
          <w:tcPr>
            <w:tcW w:w="2220"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支撑能力</w:t>
            </w:r>
          </w:p>
        </w:tc>
        <w:tc>
          <w:tcPr>
            <w:tcW w:w="3150"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应用场景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200"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联合预测</w:t>
            </w:r>
          </w:p>
        </w:tc>
        <w:tc>
          <w:tcPr>
            <w:tcW w:w="1695"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只占有模型部分的多个参与方联合进行预测；数据拥有方和模型拥有方联合进行预测</w:t>
            </w:r>
          </w:p>
        </w:tc>
        <w:tc>
          <w:tcPr>
            <w:tcW w:w="2220"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能够在保证多方数据和模型安全的基础上完成分析预测任务</w:t>
            </w:r>
          </w:p>
        </w:tc>
        <w:tc>
          <w:tcPr>
            <w:tcW w:w="3150" w:type="dxa"/>
            <w:tcMar>
              <w:top w:w="0" w:type="dxa"/>
              <w:left w:w="108" w:type="dxa"/>
              <w:bottom w:w="0" w:type="dxa"/>
              <w:right w:w="108" w:type="dxa"/>
            </w:tcMar>
            <w:vAlign w:val="center"/>
          </w:tcPr>
          <w:p>
            <w:pPr>
              <w:pBdr>
                <w:bottom w:val="none" w:color="auto" w:sz="0" w:space="0"/>
              </w:pBdr>
              <w:snapToGrid/>
              <w:spacing w:before="0" w:after="0" w:line="240" w:lineRule="auto"/>
              <w:ind w:left="0" w:right="0"/>
              <w:jc w:val="center"/>
            </w:pPr>
            <w:r>
              <w:rPr>
                <w:rFonts w:ascii="宋体" w:hAnsi="宋体" w:eastAsia="宋体" w:cs="宋体"/>
                <w:i w:val="0"/>
                <w:strike w:val="0"/>
                <w:color w:val="000000"/>
                <w:spacing w:val="0"/>
                <w:sz w:val="24"/>
                <w:u w:val="none"/>
              </w:rPr>
              <w:t>多个金融机构可以联合进行欺诈检测预测；</w:t>
            </w:r>
            <w:r>
              <w:rPr>
                <w:rFonts w:ascii="宋体" w:hAnsi="宋体" w:eastAsia="宋体" w:cs="宋体"/>
                <w:i w:val="0"/>
                <w:strike w:val="0"/>
                <w:color w:val="000000"/>
                <w:spacing w:val="0"/>
                <w:w w:val="100"/>
                <w:sz w:val="24"/>
                <w:u w:val="none"/>
                <w:vertAlign w:val="baseline"/>
              </w:rPr>
              <w:t>银行和客户进行风控系数预估；药店和用户进行电子处方询价</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2334" w:hRule="atLeast"/>
        </w:trPr>
        <w:tc>
          <w:tcPr>
            <w:tcW w:w="1200"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联合统计</w:t>
            </w:r>
          </w:p>
        </w:tc>
        <w:tc>
          <w:tcPr>
            <w:tcW w:w="1695" w:type="dxa"/>
            <w:tcMar>
              <w:top w:w="0" w:type="dxa"/>
              <w:left w:w="108" w:type="dxa"/>
              <w:bottom w:w="0" w:type="dxa"/>
              <w:right w:w="108" w:type="dxa"/>
            </w:tcMar>
            <w:vAlign w:val="center"/>
          </w:tcPr>
          <w:p>
            <w:pPr>
              <w:snapToGrid/>
              <w:spacing w:before="0" w:after="0" w:line="240" w:lineRule="auto"/>
              <w:ind w:left="0" w:right="0"/>
              <w:jc w:val="center"/>
              <w:rPr>
                <w:color w:val="000000"/>
              </w:rPr>
            </w:pPr>
            <w:r>
              <w:rPr>
                <w:rFonts w:ascii="宋体" w:hAnsi="宋体" w:eastAsia="宋体" w:cs="宋体"/>
                <w:i w:val="0"/>
                <w:strike w:val="0"/>
                <w:color w:val="000000"/>
                <w:spacing w:val="0"/>
                <w:sz w:val="24"/>
                <w:u w:val="none"/>
              </w:rPr>
              <w:t>对不同数据集共同统计，以解决单个机构因样本不足、分布不均而难以可信融合计算问题</w:t>
            </w:r>
          </w:p>
        </w:tc>
        <w:tc>
          <w:tcPr>
            <w:tcW w:w="2220" w:type="dxa"/>
            <w:tcMar>
              <w:top w:w="0" w:type="dxa"/>
              <w:left w:w="108" w:type="dxa"/>
              <w:bottom w:w="0" w:type="dxa"/>
              <w:right w:w="108" w:type="dxa"/>
            </w:tcMar>
            <w:vAlign w:val="center"/>
          </w:tcPr>
          <w:p>
            <w:pPr>
              <w:snapToGrid/>
              <w:spacing w:before="0" w:after="0" w:line="240" w:lineRule="auto"/>
              <w:ind w:left="0" w:right="0"/>
              <w:jc w:val="center"/>
              <w:rPr>
                <w:color w:val="000000"/>
              </w:rPr>
            </w:pPr>
            <w:r>
              <w:rPr>
                <w:rFonts w:ascii="宋体" w:hAnsi="宋体" w:eastAsia="宋体" w:cs="宋体"/>
                <w:i w:val="0"/>
                <w:strike w:val="0"/>
                <w:color w:val="000000"/>
                <w:spacing w:val="0"/>
                <w:sz w:val="24"/>
                <w:u w:val="none"/>
              </w:rPr>
              <w:t>能够在可信融合计算中承担前期的样本统计分析与特征统计分析任务</w:t>
            </w:r>
          </w:p>
        </w:tc>
        <w:tc>
          <w:tcPr>
            <w:tcW w:w="3150"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联合多家保险机构的客户数据，统计分析客户需求、行为和喜好，实现个性化保险产品的制定；广告平台和广告商联合统计分析广告活动的点击率、转化率和受众行为，改进广告投放策略</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200"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联合查询</w:t>
            </w:r>
          </w:p>
        </w:tc>
        <w:tc>
          <w:tcPr>
            <w:tcW w:w="1695"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多方数据隐私求交和融合，支持广泛的数据集内容和数据集规模</w:t>
            </w:r>
          </w:p>
        </w:tc>
        <w:tc>
          <w:tcPr>
            <w:tcW w:w="2220"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能够支持用户在保证检索条件和返回结果的隐私性基础上完成隐私数据的检索功能</w:t>
            </w:r>
          </w:p>
        </w:tc>
        <w:tc>
          <w:tcPr>
            <w:tcW w:w="3150"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 xml:space="preserve"> 银行、投资公司和金融监管机构可以通过联合查询数据以检测金融犯罪，例如欺诈、洗钱和市场操纵，同时确保客户的隐私不受侵犯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0" w:hRule="atLeast"/>
        </w:trPr>
        <w:tc>
          <w:tcPr>
            <w:tcW w:w="1200"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联合建模</w:t>
            </w:r>
          </w:p>
        </w:tc>
        <w:tc>
          <w:tcPr>
            <w:tcW w:w="1695"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联合多源数据机构扩展样本数量及丰富特征程度以训练更好的模型</w:t>
            </w:r>
          </w:p>
        </w:tc>
        <w:tc>
          <w:tcPr>
            <w:tcW w:w="2220"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能够在不泄露原始数据等敏感信息的情况下完成数据和模型的计算与更新</w:t>
            </w:r>
          </w:p>
        </w:tc>
        <w:tc>
          <w:tcPr>
            <w:tcW w:w="3150" w:type="dxa"/>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i w:val="0"/>
                <w:strike w:val="0"/>
                <w:color w:val="000000"/>
                <w:spacing w:val="0"/>
                <w:sz w:val="24"/>
                <w:u w:val="none"/>
              </w:rPr>
              <w:t>联合多家医院的就医数据进行DRGs模型训练，实现医保精准控费；联合多家银行的交易数据进行欺诈交易识别模型训练，有效规避欺诈风险</w:t>
            </w:r>
          </w:p>
        </w:tc>
      </w:tr>
    </w:tbl>
    <w:p>
      <w:pPr>
        <w:spacing w:line="360" w:lineRule="auto"/>
        <w:ind w:left="0" w:firstLineChars="0"/>
        <w:rPr>
          <w:rFonts w:ascii="宋体" w:hAnsi="宋体" w:eastAsia="宋体" w:cs="宋体"/>
          <w:color w:val="000000"/>
          <w:sz w:val="24"/>
        </w:rPr>
      </w:pPr>
    </w:p>
    <w:p>
      <w:pPr>
        <w:spacing w:line="360" w:lineRule="auto"/>
        <w:ind w:firstLine="480" w:firstLineChars="200"/>
        <w:rPr>
          <w:rFonts w:ascii="宋体" w:hAnsi="宋体" w:eastAsia="宋体" w:cs="宋体"/>
          <w:color w:val="000000"/>
          <w:sz w:val="24"/>
        </w:rPr>
      </w:pPr>
      <w:r>
        <w:rPr>
          <w:rFonts w:ascii="宋体" w:hAnsi="宋体" w:eastAsia="宋体" w:cs="宋体"/>
          <w:color w:val="000000"/>
          <w:sz w:val="24"/>
        </w:rPr>
        <w:t>更进一步而言，北方大健康、建设银行等客户对于多源数据融合分析与挖掘的需求越来越强烈，包括多种场景下的多源数据可信融合计算需求</w:t>
      </w:r>
      <w:r>
        <w:rPr>
          <w:rFonts w:hint="eastAsia" w:ascii="宋体" w:hAnsi="宋体" w:eastAsia="宋体" w:cs="宋体"/>
          <w:color w:val="000000"/>
          <w:sz w:val="24"/>
        </w:rPr>
        <w:t>，</w:t>
      </w:r>
      <w:r>
        <w:rPr>
          <w:rFonts w:ascii="宋体" w:hAnsi="宋体" w:eastAsia="宋体" w:cs="宋体"/>
          <w:color w:val="000000"/>
          <w:sz w:val="24"/>
        </w:rPr>
        <w:t>例如</w:t>
      </w:r>
      <w:r>
        <w:rPr>
          <w:rFonts w:ascii="宋体" w:hAnsi="宋体" w:eastAsia="宋体" w:cs="宋体"/>
          <w:b/>
          <w:color w:val="000000"/>
          <w:sz w:val="24"/>
        </w:rPr>
        <w:t>基于区块链和普惠金融的银行贷款风控场景</w:t>
      </w:r>
      <w:r>
        <w:rPr>
          <w:rFonts w:ascii="宋体" w:hAnsi="宋体" w:eastAsia="宋体" w:cs="宋体"/>
          <w:color w:val="000000"/>
          <w:sz w:val="24"/>
        </w:rPr>
        <w:t>，</w:t>
      </w:r>
      <w:r>
        <w:rPr>
          <w:rFonts w:ascii="宋体" w:hAnsi="宋体" w:eastAsia="宋体" w:cs="宋体"/>
          <w:b/>
          <w:sz w:val="24"/>
        </w:rPr>
        <w:t>基于DRGs的医保精准控费场景，药品经济学分析场景，保险产品制定场景和电子处方询价场景</w:t>
      </w:r>
      <w:r>
        <w:rPr>
          <w:rFonts w:ascii="宋体" w:hAnsi="宋体" w:eastAsia="宋体" w:cs="宋体"/>
          <w:color w:val="000000"/>
          <w:sz w:val="24"/>
        </w:rPr>
        <w:t>。</w:t>
      </w:r>
    </w:p>
    <w:p>
      <w:pPr>
        <w:pBdr>
          <w:bottom w:val="none" w:color="auto" w:sz="0" w:space="0"/>
        </w:pBdr>
        <w:spacing w:line="360" w:lineRule="auto"/>
        <w:ind w:firstLine="480" w:firstLineChars="200"/>
        <w:rPr>
          <w:rFonts w:ascii="宋体" w:hAnsi="宋体" w:eastAsia="宋体" w:cs="宋体"/>
          <w:b w:val="0"/>
          <w:color w:val="000000"/>
          <w:sz w:val="24"/>
        </w:rPr>
      </w:pPr>
      <w:r>
        <w:rPr>
          <w:rFonts w:ascii="宋体" w:hAnsi="宋体" w:eastAsia="宋体" w:cs="宋体"/>
          <w:b w:val="0"/>
          <w:color w:val="000000"/>
          <w:sz w:val="24"/>
        </w:rPr>
        <w:t>在基于区块链和普惠金融的银行贷款风控场景中，平台需求包括用户隐私</w:t>
      </w:r>
      <w:r>
        <w:rPr>
          <w:rFonts w:ascii="宋体" w:hAnsi="宋体" w:eastAsia="宋体" w:cs="宋体"/>
          <w:b/>
          <w:color w:val="000000"/>
          <w:sz w:val="24"/>
        </w:rPr>
        <w:t>数据</w:t>
      </w:r>
      <w:r>
        <w:rPr>
          <w:rFonts w:ascii="宋体" w:hAnsi="宋体" w:eastAsia="宋体" w:cs="宋体"/>
          <w:b w:val="0"/>
          <w:color w:val="000000"/>
          <w:sz w:val="24"/>
        </w:rPr>
        <w:t>和银行风控</w:t>
      </w:r>
      <w:r>
        <w:rPr>
          <w:rFonts w:ascii="宋体" w:hAnsi="宋体" w:eastAsia="宋体" w:cs="宋体"/>
          <w:b/>
          <w:color w:val="000000"/>
          <w:sz w:val="24"/>
        </w:rPr>
        <w:t>模型不可见</w:t>
      </w:r>
      <w:r>
        <w:rPr>
          <w:rFonts w:ascii="宋体" w:hAnsi="宋体" w:eastAsia="宋体" w:cs="宋体"/>
          <w:b w:val="0"/>
          <w:color w:val="000000"/>
          <w:sz w:val="24"/>
        </w:rPr>
        <w:t>下的风控系数和贷款金额预测，即在</w:t>
      </w:r>
      <w:r>
        <w:rPr>
          <w:rFonts w:ascii="宋体" w:hAnsi="宋体" w:eastAsia="宋体" w:cs="宋体"/>
          <w:b/>
          <w:i w:val="0"/>
          <w:strike w:val="0"/>
          <w:spacing w:val="0"/>
          <w:sz w:val="24"/>
          <w:u w:val="none"/>
        </w:rPr>
        <w:t>同时保护数据和模型隐私</w:t>
      </w:r>
      <w:r>
        <w:rPr>
          <w:rFonts w:ascii="宋体" w:hAnsi="宋体" w:eastAsia="宋体" w:cs="宋体"/>
          <w:i w:val="0"/>
          <w:strike w:val="0"/>
          <w:spacing w:val="0"/>
          <w:sz w:val="24"/>
          <w:u w:val="none"/>
        </w:rPr>
        <w:t>的条件下完成</w:t>
      </w:r>
      <w:r>
        <w:rPr>
          <w:rFonts w:ascii="宋体" w:hAnsi="宋体" w:eastAsia="宋体" w:cs="宋体"/>
          <w:b/>
          <w:i w:val="0"/>
          <w:strike w:val="0"/>
          <w:spacing w:val="0"/>
          <w:sz w:val="24"/>
          <w:u w:val="none"/>
        </w:rPr>
        <w:t>联合预测</w:t>
      </w:r>
      <w:r>
        <w:rPr>
          <w:rFonts w:ascii="宋体" w:hAnsi="宋体" w:eastAsia="宋体" w:cs="宋体"/>
          <w:i w:val="0"/>
          <w:strike w:val="0"/>
          <w:spacing w:val="0"/>
          <w:sz w:val="24"/>
          <w:u w:val="none"/>
        </w:rPr>
        <w:t>任务，并通过</w:t>
      </w:r>
      <w:r>
        <w:rPr>
          <w:rFonts w:ascii="宋体" w:hAnsi="宋体" w:eastAsia="宋体" w:cs="宋体"/>
          <w:b/>
          <w:i w:val="0"/>
          <w:strike w:val="0"/>
          <w:spacing w:val="0"/>
          <w:sz w:val="24"/>
          <w:u w:val="none"/>
        </w:rPr>
        <w:t>区块链</w:t>
      </w:r>
      <w:r>
        <w:rPr>
          <w:rFonts w:ascii="宋体" w:hAnsi="宋体" w:eastAsia="宋体" w:cs="宋体"/>
          <w:i w:val="0"/>
          <w:strike w:val="0"/>
          <w:spacing w:val="0"/>
          <w:sz w:val="24"/>
          <w:u w:val="none"/>
        </w:rPr>
        <w:t>保证数据结果正确性。因此，平台需要支持针对资产数据和风控模型的数据加密解密及密态计算算法，并提供接入区块链解决方案，以支撑该场景的计算和隐私保护需求</w:t>
      </w:r>
      <w:r>
        <w:rPr>
          <w:rFonts w:ascii="宋体" w:hAnsi="宋体" w:eastAsia="宋体" w:cs="宋体"/>
          <w:b w:val="0"/>
          <w:color w:val="000000"/>
          <w:sz w:val="24"/>
        </w:rPr>
        <w:t>。</w:t>
      </w:r>
    </w:p>
    <w:p>
      <w:pPr>
        <w:pBdr>
          <w:bottom w:val="none" w:color="auto" w:sz="0" w:space="0"/>
        </w:pBdr>
        <w:snapToGrid/>
        <w:spacing w:before="0" w:after="0" w:line="360" w:lineRule="auto"/>
        <w:ind w:left="0" w:right="0" w:firstLine="480" w:firstLineChars="200"/>
        <w:jc w:val="both"/>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在药品经济学分析场景中，平台需求包括在保障多源异质的医疗机构病患数据隐私前提下，帮助医药企业获得药品市场需求，以指导新药的研发。因此平台需要适配多重异构场景，提供</w:t>
      </w:r>
      <w:r>
        <w:rPr>
          <w:rFonts w:ascii="宋体" w:hAnsi="宋体" w:eastAsia="宋体" w:cs="宋体"/>
          <w:b/>
          <w:i w:val="0"/>
          <w:strike w:val="0"/>
          <w:color w:val="000000"/>
          <w:sz w:val="24"/>
          <w:u w:val="none"/>
        </w:rPr>
        <w:t>多源数据接入功能</w:t>
      </w:r>
      <w:r>
        <w:rPr>
          <w:rFonts w:ascii="宋体" w:hAnsi="宋体" w:eastAsia="宋体" w:cs="宋体"/>
          <w:i w:val="0"/>
          <w:strike w:val="0"/>
          <w:color w:val="000000"/>
          <w:sz w:val="24"/>
          <w:u w:val="none"/>
        </w:rPr>
        <w:t>，并基于隐私计算技术，实现多样化的</w:t>
      </w:r>
      <w:r>
        <w:rPr>
          <w:rFonts w:ascii="宋体" w:hAnsi="宋体" w:eastAsia="宋体" w:cs="宋体"/>
          <w:b/>
          <w:i w:val="0"/>
          <w:strike w:val="0"/>
          <w:color w:val="000000"/>
          <w:sz w:val="24"/>
          <w:u w:val="none"/>
        </w:rPr>
        <w:t>联合查询</w:t>
      </w:r>
      <w:r>
        <w:rPr>
          <w:rFonts w:ascii="宋体" w:hAnsi="宋体" w:eastAsia="宋体" w:cs="宋体"/>
          <w:i w:val="0"/>
          <w:strike w:val="0"/>
          <w:color w:val="000000"/>
          <w:sz w:val="24"/>
          <w:u w:val="none"/>
        </w:rPr>
        <w:t>功能，以确保病患的敏感信息得到充分保护。</w:t>
      </w:r>
    </w:p>
    <w:p>
      <w:pPr>
        <w:pBdr>
          <w:bottom w:val="none" w:color="auto" w:sz="0" w:space="0"/>
        </w:pBdr>
        <w:snapToGrid/>
        <w:spacing w:before="0" w:after="0" w:line="360" w:lineRule="auto"/>
        <w:ind w:left="0" w:right="0" w:firstLine="480" w:firstLineChars="200"/>
        <w:jc w:val="both"/>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在保险产品制定场景中，平台需求包括协助保险机构联合政府的人社医保的数据统计信息来指导保险产品的制定，同时确保保险机构用户数据信息的隐私安全。因此，平台将提供差分隐私的</w:t>
      </w:r>
      <w:r>
        <w:rPr>
          <w:rFonts w:ascii="宋体" w:hAnsi="宋体" w:eastAsia="宋体" w:cs="宋体"/>
          <w:b/>
          <w:i w:val="0"/>
          <w:strike w:val="0"/>
          <w:color w:val="000000"/>
          <w:sz w:val="24"/>
          <w:u w:val="none"/>
        </w:rPr>
        <w:t>联合统计算法</w:t>
      </w:r>
      <w:r>
        <w:rPr>
          <w:rFonts w:ascii="宋体" w:hAnsi="宋体" w:eastAsia="宋体" w:cs="宋体"/>
          <w:i w:val="0"/>
          <w:strike w:val="0"/>
          <w:color w:val="000000"/>
          <w:sz w:val="24"/>
          <w:u w:val="none"/>
        </w:rPr>
        <w:t>和</w:t>
      </w:r>
      <w:r>
        <w:rPr>
          <w:rFonts w:ascii="宋体" w:hAnsi="宋体" w:eastAsia="宋体" w:cs="宋体"/>
          <w:b/>
          <w:i w:val="0"/>
          <w:strike w:val="0"/>
          <w:color w:val="000000"/>
          <w:sz w:val="24"/>
          <w:u w:val="none"/>
        </w:rPr>
        <w:t>数据匿名化处理技术</w:t>
      </w:r>
      <w:r>
        <w:rPr>
          <w:rFonts w:ascii="宋体" w:hAnsi="宋体" w:eastAsia="宋体" w:cs="宋体"/>
          <w:i w:val="0"/>
          <w:strike w:val="0"/>
          <w:color w:val="000000"/>
          <w:sz w:val="24"/>
          <w:u w:val="none"/>
        </w:rPr>
        <w:t>，确保政府的人社医保数据和保险机构的客户敏感信息得到高度隐私保护。</w:t>
      </w:r>
    </w:p>
    <w:p>
      <w:pPr>
        <w:snapToGrid/>
        <w:spacing w:before="0" w:after="0" w:line="360" w:lineRule="auto"/>
        <w:ind w:left="0" w:right="0" w:firstLine="480" w:firstLineChars="200"/>
        <w:jc w:val="both"/>
        <w:rPr>
          <w:rFonts w:hint="eastAsia" w:ascii="宋体" w:hAnsi="宋体" w:eastAsia="宋体" w:cs="宋体"/>
          <w:color w:val="000000"/>
          <w:sz w:val="24"/>
        </w:rPr>
      </w:pPr>
      <w:r>
        <w:rPr>
          <w:rFonts w:ascii="宋体" w:hAnsi="宋体" w:eastAsia="宋体" w:cs="宋体"/>
          <w:i w:val="0"/>
          <w:strike w:val="0"/>
          <w:color w:val="000000"/>
          <w:sz w:val="24"/>
          <w:u w:val="none"/>
        </w:rPr>
        <w:t>在电子处方询价场景中，平台需求包括在保护用户和药店数据安全和处方询价模型不可见情况下，即在</w:t>
      </w:r>
      <w:r>
        <w:rPr>
          <w:rFonts w:ascii="宋体" w:hAnsi="宋体" w:eastAsia="宋体" w:cs="宋体"/>
          <w:b/>
          <w:i w:val="0"/>
          <w:strike w:val="0"/>
          <w:color w:val="000000"/>
          <w:sz w:val="24"/>
          <w:u w:val="none"/>
        </w:rPr>
        <w:t>保证数据和模型信息安全</w:t>
      </w:r>
      <w:r>
        <w:rPr>
          <w:rFonts w:ascii="宋体" w:hAnsi="宋体" w:eastAsia="宋体" w:cs="宋体"/>
          <w:i w:val="0"/>
          <w:strike w:val="0"/>
          <w:color w:val="000000"/>
          <w:sz w:val="24"/>
          <w:u w:val="none"/>
        </w:rPr>
        <w:t>的情况下完成</w:t>
      </w:r>
      <w:r>
        <w:rPr>
          <w:rFonts w:ascii="宋体" w:hAnsi="宋体" w:eastAsia="宋体" w:cs="宋体"/>
          <w:b/>
          <w:i w:val="0"/>
          <w:strike w:val="0"/>
          <w:color w:val="000000"/>
          <w:sz w:val="24"/>
          <w:u w:val="none"/>
        </w:rPr>
        <w:t>联合计算</w:t>
      </w:r>
      <w:r>
        <w:rPr>
          <w:rFonts w:ascii="宋体" w:hAnsi="宋体" w:eastAsia="宋体" w:cs="宋体"/>
          <w:i w:val="0"/>
          <w:strike w:val="0"/>
          <w:color w:val="000000"/>
          <w:sz w:val="24"/>
          <w:u w:val="none"/>
        </w:rPr>
        <w:t>任务，并提供</w:t>
      </w:r>
      <w:r>
        <w:rPr>
          <w:rFonts w:ascii="宋体" w:hAnsi="宋体" w:eastAsia="宋体" w:cs="宋体"/>
          <w:b/>
          <w:i w:val="0"/>
          <w:strike w:val="0"/>
          <w:color w:val="000000"/>
          <w:sz w:val="24"/>
          <w:u w:val="none"/>
        </w:rPr>
        <w:t>较高并发的服务能力</w:t>
      </w:r>
      <w:r>
        <w:rPr>
          <w:rFonts w:ascii="宋体" w:hAnsi="宋体" w:eastAsia="宋体" w:cs="宋体"/>
          <w:i w:val="0"/>
          <w:strike w:val="0"/>
          <w:color w:val="000000"/>
          <w:sz w:val="24"/>
          <w:u w:val="none"/>
        </w:rPr>
        <w:t>。因此，平台</w:t>
      </w:r>
      <w:r>
        <w:rPr>
          <w:rFonts w:hint="eastAsia" w:ascii="宋体" w:hAnsi="宋体" w:eastAsia="宋体" w:cs="宋体"/>
          <w:color w:val="000000"/>
          <w:sz w:val="24"/>
        </w:rPr>
        <w:t>提供对模型和数据的加密解密及密态计算算法，并将密态处方询价模型部署在多个分布式节点，使得平台在提供较高并发联合预测服务的同时保证了信息和模型的安全。</w:t>
      </w:r>
    </w:p>
    <w:p>
      <w:pPr>
        <w:pBdr>
          <w:bottom w:val="none" w:color="auto" w:sz="0" w:space="0"/>
        </w:pBdr>
        <w:snapToGrid/>
        <w:spacing w:before="0" w:after="0" w:line="360" w:lineRule="auto"/>
        <w:ind w:left="0" w:right="0" w:firstLine="480" w:firstLineChars="200"/>
        <w:jc w:val="both"/>
      </w:pPr>
      <w:r>
        <w:rPr>
          <w:rFonts w:ascii="宋体" w:hAnsi="宋体" w:eastAsia="宋体" w:cs="宋体"/>
          <w:i w:val="0"/>
          <w:strike w:val="0"/>
          <w:color w:val="000000"/>
          <w:sz w:val="24"/>
          <w:u w:val="none"/>
        </w:rPr>
        <w:t>在基于DRGs的医保精准控费场景中，医院需要面对多样化的需求场景，因此需要便捷的需求转化方法，即</w:t>
      </w:r>
      <w:r>
        <w:rPr>
          <w:rFonts w:ascii="宋体" w:hAnsi="宋体" w:eastAsia="宋体" w:cs="宋体"/>
          <w:b/>
          <w:i w:val="0"/>
          <w:strike w:val="0"/>
          <w:color w:val="000000"/>
          <w:sz w:val="24"/>
          <w:u w:val="none"/>
        </w:rPr>
        <w:t>易用的隐私计算脚本</w:t>
      </w:r>
      <w:r>
        <w:rPr>
          <w:rFonts w:ascii="宋体" w:hAnsi="宋体" w:eastAsia="宋体" w:cs="宋体"/>
          <w:i w:val="0"/>
          <w:strike w:val="0"/>
          <w:color w:val="000000"/>
          <w:sz w:val="24"/>
          <w:u w:val="none"/>
        </w:rPr>
        <w:t>，以</w:t>
      </w:r>
      <w:r>
        <w:rPr>
          <w:rFonts w:ascii="宋体" w:hAnsi="宋体" w:eastAsia="宋体" w:cs="宋体"/>
          <w:strike w:val="0"/>
          <w:color w:val="000000"/>
          <w:sz w:val="24"/>
          <w:u w:val="none"/>
        </w:rPr>
        <w:t>简化</w:t>
      </w:r>
      <w:r>
        <w:rPr>
          <w:rFonts w:ascii="宋体" w:hAnsi="宋体" w:eastAsia="宋体" w:cs="宋体"/>
          <w:i w:val="0"/>
          <w:strike w:val="0"/>
          <w:color w:val="000000"/>
          <w:sz w:val="24"/>
          <w:u w:val="none"/>
        </w:rPr>
        <w:t>业务人员的使用和开发流程；与此同时，平台接入来自不同医院的多种数据来源，并调度数据完成可信融合计算任务，需要对于不同数据类型</w:t>
      </w:r>
      <w:r>
        <w:rPr>
          <w:rFonts w:ascii="宋体" w:hAnsi="宋体" w:eastAsia="宋体" w:cs="宋体"/>
          <w:b/>
          <w:i w:val="0"/>
          <w:strike w:val="0"/>
          <w:color w:val="000000"/>
          <w:sz w:val="24"/>
          <w:u w:val="none"/>
        </w:rPr>
        <w:t>的多源数据接入能力</w:t>
      </w:r>
      <w:r>
        <w:rPr>
          <w:rFonts w:ascii="宋体" w:hAnsi="宋体" w:eastAsia="宋体" w:cs="宋体"/>
          <w:i w:val="0"/>
          <w:strike w:val="0"/>
          <w:color w:val="000000"/>
          <w:sz w:val="24"/>
          <w:u w:val="none"/>
        </w:rPr>
        <w:t>和</w:t>
      </w:r>
      <w:r>
        <w:rPr>
          <w:rFonts w:ascii="宋体" w:hAnsi="宋体" w:eastAsia="宋体" w:cs="宋体"/>
          <w:b/>
          <w:i w:val="0"/>
          <w:strike w:val="0"/>
          <w:color w:val="000000"/>
          <w:sz w:val="24"/>
          <w:u w:val="none"/>
        </w:rPr>
        <w:t>任务调度能力</w:t>
      </w:r>
      <w:r>
        <w:rPr>
          <w:rFonts w:ascii="宋体" w:hAnsi="宋体" w:eastAsia="宋体" w:cs="宋体"/>
          <w:i w:val="0"/>
          <w:strike w:val="0"/>
          <w:color w:val="000000"/>
          <w:sz w:val="24"/>
          <w:u w:val="none"/>
        </w:rPr>
        <w:t>支撑。在具体的业务流程中，平台通过</w:t>
      </w:r>
      <w:r>
        <w:rPr>
          <w:rFonts w:ascii="宋体" w:hAnsi="宋体" w:eastAsia="宋体" w:cs="宋体"/>
          <w:b/>
          <w:i w:val="0"/>
          <w:strike w:val="0"/>
          <w:color w:val="000000"/>
          <w:sz w:val="24"/>
          <w:u w:val="none"/>
        </w:rPr>
        <w:t>数据可信融合计算引擎</w:t>
      </w:r>
      <w:r>
        <w:rPr>
          <w:rFonts w:ascii="宋体" w:hAnsi="宋体" w:eastAsia="宋体" w:cs="宋体"/>
          <w:i w:val="0"/>
          <w:strike w:val="0"/>
          <w:color w:val="000000"/>
          <w:sz w:val="24"/>
          <w:u w:val="none"/>
        </w:rPr>
        <w:t>的支持，达到包括数据隐私保护，不同医院业务差异的处理，以及模型精准度的平衡的业务需求。确保患者的隐私得到有效保护，同时在不同医院的业务差异中实现</w:t>
      </w:r>
      <w:r>
        <w:rPr>
          <w:rFonts w:ascii="宋体" w:hAnsi="宋体" w:eastAsia="宋体" w:cs="宋体"/>
          <w:b/>
          <w:i w:val="0"/>
          <w:strike w:val="0"/>
          <w:color w:val="000000"/>
          <w:sz w:val="24"/>
          <w:u w:val="none"/>
        </w:rPr>
        <w:t>联合</w:t>
      </w:r>
      <w:r>
        <w:rPr>
          <w:rFonts w:ascii="宋体" w:hAnsi="宋体" w:eastAsia="宋体" w:cs="宋体"/>
          <w:b/>
          <w:strike w:val="0"/>
          <w:color w:val="000000"/>
          <w:sz w:val="24"/>
          <w:u w:val="none"/>
        </w:rPr>
        <w:t>建模</w:t>
      </w:r>
      <w:r>
        <w:rPr>
          <w:rFonts w:ascii="宋体" w:hAnsi="宋体" w:eastAsia="宋体" w:cs="宋体"/>
          <w:i w:val="0"/>
          <w:strike w:val="0"/>
          <w:color w:val="000000"/>
          <w:sz w:val="24"/>
          <w:u w:val="none"/>
        </w:rPr>
        <w:t>模型的灵活性，平衡精准度以保证医疗水平和医保经费的有效管理。</w:t>
      </w:r>
    </w:p>
    <w:p>
      <w:pPr>
        <w:snapToGrid/>
        <w:spacing w:before="0" w:after="0" w:line="360" w:lineRule="auto"/>
        <w:ind w:left="0" w:right="0" w:firstLine="480" w:firstLineChars="200"/>
        <w:jc w:val="both"/>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为</w:t>
      </w:r>
      <w:r>
        <w:rPr>
          <w:rFonts w:ascii="宋体" w:hAnsi="宋体" w:eastAsia="宋体" w:cs="宋体"/>
          <w:strike w:val="0"/>
          <w:color w:val="000000"/>
          <w:sz w:val="24"/>
          <w:u w:val="none"/>
        </w:rPr>
        <w:t>满足上述多样化场景的需求，本项目旨在建</w:t>
      </w:r>
      <w:r>
        <w:rPr>
          <w:rFonts w:ascii="宋体" w:hAnsi="宋体" w:eastAsia="宋体" w:cs="宋体"/>
          <w:i w:val="0"/>
          <w:strike w:val="0"/>
          <w:color w:val="000000"/>
          <w:sz w:val="24"/>
          <w:u w:val="none"/>
        </w:rPr>
        <w:t>设一个多源数据可信融合计算平台，</w:t>
      </w:r>
      <w:r>
        <w:rPr>
          <w:rFonts w:ascii="宋体" w:hAnsi="宋体" w:eastAsia="宋体" w:cs="宋体"/>
          <w:strike w:val="0"/>
          <w:color w:val="000000"/>
          <w:sz w:val="24"/>
          <w:u w:val="none"/>
        </w:rPr>
        <w:t>其</w:t>
      </w:r>
      <w:r>
        <w:rPr>
          <w:rFonts w:ascii="宋体" w:hAnsi="宋体" w:eastAsia="宋体" w:cs="宋体"/>
          <w:i w:val="0"/>
          <w:strike w:val="0"/>
          <w:color w:val="000000"/>
          <w:sz w:val="24"/>
          <w:u w:val="none"/>
        </w:rPr>
        <w:t>建设内容主要包含:一套支持易用</w:t>
      </w:r>
      <w:r>
        <w:rPr>
          <w:rFonts w:ascii="宋体" w:hAnsi="宋体" w:eastAsia="宋体" w:cs="宋体"/>
          <w:strike w:val="0"/>
          <w:color w:val="000000"/>
          <w:sz w:val="24"/>
          <w:u w:val="none"/>
        </w:rPr>
        <w:t>隐私计算脚本、任务调度和数据密态计算的</w:t>
      </w:r>
      <w:r>
        <w:rPr>
          <w:rFonts w:ascii="宋体" w:hAnsi="宋体" w:eastAsia="宋体" w:cs="宋体"/>
          <w:i w:val="0"/>
          <w:strike w:val="0"/>
          <w:color w:val="000000"/>
          <w:sz w:val="24"/>
          <w:u w:val="none"/>
        </w:rPr>
        <w:t>多源数据可信融合</w:t>
      </w:r>
      <w:r>
        <w:rPr>
          <w:rFonts w:ascii="宋体" w:hAnsi="宋体" w:eastAsia="宋体" w:cs="宋体"/>
          <w:b/>
          <w:i w:val="0"/>
          <w:strike w:val="0"/>
          <w:color w:val="000000"/>
          <w:sz w:val="24"/>
          <w:u w:val="none"/>
        </w:rPr>
        <w:t>计算核心引擎</w:t>
      </w:r>
      <w:r>
        <w:rPr>
          <w:rFonts w:ascii="宋体" w:hAnsi="宋体" w:eastAsia="宋体" w:cs="宋体"/>
          <w:i w:val="0"/>
          <w:strike w:val="0"/>
          <w:color w:val="000000"/>
          <w:sz w:val="24"/>
          <w:u w:val="none"/>
        </w:rPr>
        <w:t>，一套支持多源数据接入、部署运维和系统状态监测的</w:t>
      </w:r>
      <w:r>
        <w:rPr>
          <w:rFonts w:ascii="宋体" w:hAnsi="宋体" w:eastAsia="宋体" w:cs="宋体"/>
          <w:b/>
          <w:i w:val="0"/>
          <w:strike w:val="0"/>
          <w:color w:val="000000"/>
          <w:sz w:val="24"/>
          <w:u w:val="none"/>
        </w:rPr>
        <w:t>管理工具</w:t>
      </w:r>
      <w:r>
        <w:rPr>
          <w:rFonts w:ascii="宋体" w:hAnsi="宋体" w:eastAsia="宋体" w:cs="宋体"/>
          <w:b w:val="0"/>
          <w:i w:val="0"/>
          <w:strike w:val="0"/>
          <w:color w:val="000000"/>
          <w:sz w:val="24"/>
          <w:u w:val="none"/>
        </w:rPr>
        <w:t>和</w:t>
      </w:r>
      <w:r>
        <w:rPr>
          <w:rFonts w:ascii="宋体" w:hAnsi="宋体" w:eastAsia="宋体" w:cs="宋体"/>
          <w:i w:val="0"/>
          <w:strike w:val="0"/>
          <w:color w:val="000000"/>
          <w:sz w:val="24"/>
          <w:u w:val="none"/>
        </w:rPr>
        <w:t>一套支持多机构进行</w:t>
      </w:r>
      <w:r>
        <w:rPr>
          <w:rFonts w:ascii="宋体" w:hAnsi="宋体" w:eastAsia="宋体" w:cs="宋体"/>
          <w:color w:val="000000"/>
          <w:sz w:val="24"/>
        </w:rPr>
        <w:t>联合预测、联合统计、联合查询和联合建模</w:t>
      </w:r>
      <w:r>
        <w:rPr>
          <w:rFonts w:ascii="宋体" w:hAnsi="宋体" w:eastAsia="宋体" w:cs="宋体"/>
          <w:i w:val="0"/>
          <w:strike w:val="0"/>
          <w:color w:val="000000"/>
          <w:sz w:val="24"/>
          <w:u w:val="none"/>
        </w:rPr>
        <w:t>的</w:t>
      </w:r>
      <w:r>
        <w:rPr>
          <w:rFonts w:ascii="宋体" w:hAnsi="宋体" w:eastAsia="宋体" w:cs="宋体"/>
          <w:b/>
          <w:i w:val="0"/>
          <w:strike w:val="0"/>
          <w:color w:val="000000"/>
          <w:sz w:val="24"/>
          <w:u w:val="none"/>
        </w:rPr>
        <w:t>平台应用组件库</w:t>
      </w:r>
      <w:r>
        <w:rPr>
          <w:rFonts w:ascii="宋体" w:hAnsi="宋体" w:eastAsia="宋体" w:cs="宋体"/>
          <w:i w:val="0"/>
          <w:strike w:val="0"/>
          <w:color w:val="000000"/>
          <w:sz w:val="24"/>
          <w:u w:val="none"/>
        </w:rPr>
        <w:t>。平台</w:t>
      </w:r>
      <w:r>
        <w:rPr>
          <w:rFonts w:ascii="宋体" w:hAnsi="宋体" w:eastAsia="宋体" w:cs="宋体"/>
          <w:i w:val="0"/>
          <w:strike w:val="0"/>
          <w:spacing w:val="0"/>
          <w:sz w:val="24"/>
          <w:u w:val="none"/>
          <w:shd w:val="clear" w:color="auto" w:fill="FFFFFF"/>
        </w:rPr>
        <w:t>根据信通院的功能、安全、性能等标准进行开发，具备能够通过检测的能力。</w:t>
      </w:r>
    </w:p>
    <w:p>
      <w:pPr>
        <w:pBdr>
          <w:bottom w:val="none" w:color="auto" w:sz="0" w:space="0"/>
        </w:pBdr>
        <w:snapToGrid/>
        <w:spacing w:before="0" w:after="0" w:line="360" w:lineRule="auto"/>
        <w:ind w:left="0" w:right="0" w:firstLine="480" w:firstLineChars="200"/>
        <w:jc w:val="both"/>
        <w:rPr>
          <w:rFonts w:ascii="宋体" w:hAnsi="宋体" w:eastAsia="宋体" w:cs="宋体"/>
          <w:i w:val="0"/>
          <w:strike w:val="0"/>
          <w:color w:val="000000"/>
          <w:sz w:val="24"/>
          <w:u w:val="none"/>
        </w:rPr>
      </w:pPr>
    </w:p>
    <w:p>
      <w:pPr>
        <w:spacing w:line="360" w:lineRule="auto"/>
        <w:ind w:left="0" w:firstLineChars="0"/>
        <w:rPr>
          <w:rFonts w:ascii="宋体" w:hAnsi="宋体" w:eastAsia="宋体" w:cs="宋体"/>
          <w:b/>
          <w:color w:val="000000"/>
          <w:sz w:val="24"/>
        </w:rPr>
      </w:pPr>
      <w:r>
        <w:rPr>
          <w:rFonts w:ascii="宋体" w:hAnsi="宋体" w:eastAsia="宋体" w:cs="宋体"/>
          <w:b/>
          <w:color w:val="000000"/>
          <w:sz w:val="24"/>
        </w:rPr>
        <w:t>1.4研究价值</w:t>
      </w:r>
    </w:p>
    <w:p>
      <w:pPr>
        <w:pBdr>
          <w:bottom w:val="none" w:color="auto" w:sz="0" w:space="0"/>
        </w:pBdr>
        <w:snapToGrid/>
        <w:spacing w:before="0" w:after="0" w:line="360" w:lineRule="auto"/>
        <w:ind w:left="0" w:right="0" w:firstLine="480" w:firstLineChars="200"/>
        <w:jc w:val="both"/>
        <w:rPr>
          <w:rFonts w:ascii="宋体" w:hAnsi="宋体" w:eastAsia="宋体" w:cs="宋体"/>
          <w:sz w:val="24"/>
        </w:rPr>
      </w:pPr>
      <w:r>
        <w:rPr>
          <w:rFonts w:ascii="宋体" w:hAnsi="宋体" w:eastAsia="宋体" w:cs="宋体"/>
          <w:color w:val="000000"/>
          <w:sz w:val="24"/>
        </w:rPr>
        <w:t>目前，业界已开始可信数据空间相关的研发与推广，多源数据可信融合计算是建设可信数据空间的重要一环，并且公司建设与推广的数据要素交易与交付平台需要强化与补充批量数据计算与多源数据融合计算能力。因此，本项目拟申请立项“多源数据可信融合计算平台”，支持融合社保、医保、公积金、医院、药店等数据源，并提供联合预测、联合统计、联合查询和联合建模等能力，支撑模型和数据不出域场景下的联合计算，依次推动更多的企业、机构等数据提供方，数据使用方和模型拥有方入场。</w:t>
      </w:r>
      <w:r>
        <w:rPr>
          <w:rFonts w:ascii="宋体" w:hAnsi="宋体" w:eastAsia="宋体" w:cs="宋体"/>
          <w:i w:val="0"/>
          <w:strike w:val="0"/>
          <w:color w:val="000000"/>
          <w:sz w:val="24"/>
          <w:u w:val="none"/>
        </w:rPr>
        <w:t>建设的平台内置多种隐私计算与隐私保护算法组件与策略，支持开发更多融合增值数据产品，释放多元数据的融合倍增价值，并在银行风控、住房服务、医疗健康、金融科技、商业保险等场景进行应用验证与推广，提升山大地纬在公共数据授权运营和数据要素市场领域的核心竞争力。 </w:t>
      </w:r>
      <w:r>
        <w:rPr>
          <w:rFonts w:ascii="宋体" w:hAnsi="宋体" w:eastAsia="宋体" w:cs="宋体"/>
          <w:b/>
          <w:bCs/>
          <w:color w:val="000000"/>
          <w:sz w:val="28"/>
          <w:szCs w:val="28"/>
        </w:rPr>
        <w:br w:type="page"/>
      </w:r>
      <w:r>
        <w:rPr>
          <w:rFonts w:ascii="宋体" w:hAnsi="宋体" w:eastAsia="宋体" w:cs="宋体"/>
          <w:b/>
          <w:bCs/>
          <w:color w:val="000000"/>
          <w:sz w:val="28"/>
          <w:szCs w:val="28"/>
        </w:rPr>
        <w:t>2</w:t>
      </w:r>
      <w:r>
        <w:rPr>
          <w:rFonts w:ascii="宋体" w:hAnsi="宋体" w:eastAsia="宋体" w:cs="宋体"/>
          <w:b/>
          <w:i w:val="0"/>
          <w:strike w:val="0"/>
          <w:spacing w:val="0"/>
          <w:sz w:val="28"/>
          <w:u w:val="none"/>
        </w:rPr>
        <w:t>.研究内容</w:t>
      </w:r>
      <w:r>
        <w:br w:type="textWrapping"/>
      </w:r>
      <w:r>
        <w:tab/>
      </w:r>
      <w:r>
        <w:rPr>
          <w:rFonts w:ascii="宋体" w:hAnsi="宋体" w:eastAsia="宋体" w:cs="宋体"/>
          <w:sz w:val="24"/>
        </w:rPr>
        <w:t>本项目期望构建一个综合性的多源数据可信融合计算平台，重点针对医保精准控费场景，药品经济学分析场景和保险产品制定场景等隐私计算场景，建设一套包括隐私计算脚本、任务调度和数据密态计算功能在内的</w:t>
      </w:r>
      <w:r>
        <w:rPr>
          <w:rFonts w:ascii="宋体" w:hAnsi="宋体" w:eastAsia="宋体" w:cs="宋体"/>
          <w:b/>
          <w:sz w:val="24"/>
        </w:rPr>
        <w:t>隐私计算核心引擎</w:t>
      </w:r>
      <w:r>
        <w:rPr>
          <w:rFonts w:ascii="宋体" w:hAnsi="宋体" w:eastAsia="宋体" w:cs="宋体"/>
          <w:sz w:val="24"/>
        </w:rPr>
        <w:t>与一套包括部署管理、多源数据接入和平台运维在内的</w:t>
      </w:r>
      <w:r>
        <w:rPr>
          <w:rFonts w:ascii="宋体" w:hAnsi="宋体" w:eastAsia="宋体" w:cs="宋体"/>
          <w:b/>
          <w:sz w:val="24"/>
        </w:rPr>
        <w:t>平台管理工具</w:t>
      </w:r>
      <w:r>
        <w:rPr>
          <w:rFonts w:ascii="宋体" w:hAnsi="宋体" w:eastAsia="宋体" w:cs="宋体"/>
          <w:sz w:val="24"/>
        </w:rPr>
        <w:t>以支撑包括</w:t>
      </w:r>
      <w:r>
        <w:rPr>
          <w:rFonts w:ascii="宋体" w:hAnsi="宋体" w:eastAsia="宋体" w:cs="宋体"/>
          <w:i w:val="0"/>
          <w:strike w:val="0"/>
          <w:color w:val="000000"/>
          <w:sz w:val="24"/>
          <w:u w:val="none"/>
        </w:rPr>
        <w:t>联合预测、联合统计、联合查询和联合建模</w:t>
      </w:r>
      <w:r>
        <w:rPr>
          <w:rFonts w:ascii="宋体" w:hAnsi="宋体" w:eastAsia="宋体" w:cs="宋体"/>
          <w:sz w:val="24"/>
        </w:rPr>
        <w:t>等多源数据分析和挖掘需求的</w:t>
      </w:r>
      <w:r>
        <w:rPr>
          <w:rFonts w:ascii="宋体" w:hAnsi="宋体" w:eastAsia="宋体" w:cs="宋体"/>
          <w:b/>
          <w:sz w:val="24"/>
        </w:rPr>
        <w:t>平台应用组件库</w:t>
      </w:r>
      <w:r>
        <w:rPr>
          <w:rFonts w:ascii="宋体" w:hAnsi="宋体" w:eastAsia="宋体" w:cs="宋体"/>
          <w:sz w:val="24"/>
        </w:rPr>
        <w:t>。该平台能够支撑包括政府、医疗、金融和保险等多类机构进行不同场景下的数据可信融合和可信计算（如图1）。</w:t>
      </w:r>
    </w:p>
    <w:p>
      <w:pPr>
        <w:spacing w:line="360" w:lineRule="auto"/>
        <w:jc w:val="center"/>
        <w:rPr>
          <w:rFonts w:ascii="宋体" w:hAnsi="宋体" w:eastAsia="宋体" w:cs="宋体"/>
          <w:sz w:val="24"/>
        </w:rPr>
      </w:pPr>
    </w:p>
    <w:p>
      <w:pPr>
        <w:pBdr>
          <w:bottom w:val="none" w:color="auto" w:sz="0" w:space="0"/>
        </w:pBdr>
        <w:spacing w:line="360" w:lineRule="auto"/>
        <w:jc w:val="center"/>
        <w:rPr>
          <w:rFonts w:ascii="宋体" w:hAnsi="宋体" w:eastAsia="宋体" w:cs="宋体"/>
          <w:sz w:val="24"/>
        </w:rPr>
      </w:pPr>
      <w:r>
        <w:rPr>
          <w:rFonts w:ascii="宋体" w:hAnsi="宋体" w:eastAsia="宋体" w:cs="宋体"/>
          <w:sz w:val="24"/>
        </w:rPr>
        <w:drawing>
          <wp:inline distT="0" distB="0" distL="0" distR="0">
            <wp:extent cx="5274310" cy="470852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4"/>
                    <a:stretch>
                      <a:fillRect/>
                    </a:stretch>
                  </pic:blipFill>
                  <pic:spPr>
                    <a:xfrm>
                      <a:off x="0" y="0"/>
                      <a:ext cx="5274310" cy="4708687"/>
                    </a:xfrm>
                    <a:prstGeom prst="rect">
                      <a:avLst/>
                    </a:prstGeom>
                  </pic:spPr>
                </pic:pic>
              </a:graphicData>
            </a:graphic>
          </wp:inline>
        </w:drawing>
      </w:r>
    </w:p>
    <w:p>
      <w:pPr>
        <w:pBdr>
          <w:bottom w:val="none" w:color="auto" w:sz="0" w:space="0"/>
        </w:pBdr>
        <w:spacing w:line="360" w:lineRule="auto"/>
        <w:ind w:firstLine="480" w:firstLineChars="200"/>
        <w:jc w:val="center"/>
        <w:rPr>
          <w:rFonts w:ascii="宋体" w:hAnsi="宋体" w:eastAsia="宋体" w:cs="宋体"/>
          <w:sz w:val="24"/>
        </w:rPr>
      </w:pPr>
      <w:r>
        <w:rPr>
          <w:rFonts w:ascii="宋体" w:hAnsi="宋体" w:eastAsia="宋体" w:cs="宋体"/>
          <w:sz w:val="24"/>
        </w:rPr>
        <w:t>图1. 多源数据可信融合计算平台</w:t>
      </w:r>
    </w:p>
    <w:p>
      <w:pPr>
        <w:snapToGrid/>
        <w:spacing w:line="240" w:lineRule="auto"/>
        <w:rPr>
          <w:rFonts w:ascii="宋体" w:hAnsi="宋体" w:eastAsia="宋体" w:cs="宋体"/>
          <w:i w:val="0"/>
          <w:strike w:val="0"/>
          <w:spacing w:val="0"/>
          <w:sz w:val="24"/>
          <w:u w:val="none"/>
        </w:rPr>
      </w:pPr>
    </w:p>
    <w:p>
      <w:pPr>
        <w:snapToGrid/>
        <w:spacing w:line="240" w:lineRule="auto"/>
        <w:rPr>
          <w:rFonts w:ascii="宋体" w:hAnsi="宋体" w:eastAsia="宋体" w:cs="宋体"/>
          <w:b/>
          <w:i w:val="0"/>
          <w:strike w:val="0"/>
          <w:spacing w:val="0"/>
          <w:sz w:val="24"/>
          <w:u w:val="none"/>
        </w:rPr>
      </w:pPr>
      <w:r>
        <w:rPr>
          <w:rFonts w:ascii="宋体" w:hAnsi="宋体" w:eastAsia="宋体" w:cs="宋体"/>
          <w:b/>
          <w:i w:val="0"/>
          <w:strike w:val="0"/>
          <w:spacing w:val="0"/>
          <w:sz w:val="24"/>
          <w:u w:val="none"/>
        </w:rPr>
        <w:t>2.1 隐私计</w:t>
      </w:r>
      <w:r>
        <w:rPr>
          <w:rFonts w:ascii="宋体" w:hAnsi="宋体" w:eastAsia="宋体" w:cs="宋体"/>
          <w:b/>
          <w:strike w:val="0"/>
          <w:spacing w:val="0"/>
          <w:sz w:val="24"/>
          <w:u w:val="none"/>
        </w:rPr>
        <w:t>算</w:t>
      </w:r>
      <w:r>
        <w:rPr>
          <w:rFonts w:ascii="宋体" w:hAnsi="宋体" w:eastAsia="宋体" w:cs="宋体"/>
          <w:b/>
          <w:i w:val="0"/>
          <w:strike w:val="0"/>
          <w:spacing w:val="0"/>
          <w:sz w:val="24"/>
          <w:u w:val="none"/>
        </w:rPr>
        <w:t>核心引擎</w:t>
      </w:r>
    </w:p>
    <w:p>
      <w:pPr>
        <w:pBdr>
          <w:bottom w:val="none" w:color="auto" w:sz="0" w:space="0"/>
        </w:pBdr>
        <w:snapToGrid/>
        <w:spacing w:line="360" w:lineRule="auto"/>
        <w:ind w:left="0" w:firstLineChars="200"/>
        <w:rPr>
          <w:rFonts w:ascii="宋体" w:hAnsi="宋体" w:eastAsia="宋体" w:cs="宋体"/>
          <w:sz w:val="24"/>
        </w:rPr>
      </w:pPr>
      <w:r>
        <w:rPr>
          <w:rFonts w:ascii="宋体" w:hAnsi="宋体" w:eastAsia="宋体" w:cs="宋体"/>
          <w:sz w:val="24"/>
        </w:rPr>
        <w:t xml:space="preserve">多源数据可信融合计算平台的隐私计算核心引擎由隐私计算脚本、任务调度和密态计算三个模块共同组成，包括计算代码的编译、执行，计算任务的调度、通信，计算能力的算子、算法和模型设计，这三个模块的共同协作支撑了平台的计算需求。下面我们将详细介绍这三个模块。                                                                                                                                                                                                    </w:t>
      </w:r>
    </w:p>
    <w:p>
      <w:pPr>
        <w:snapToGrid/>
        <w:spacing w:line="360" w:lineRule="auto"/>
        <w:rPr>
          <w:rFonts w:ascii="宋体" w:hAnsi="宋体" w:eastAsia="宋体" w:cs="宋体"/>
          <w:b w:val="0"/>
          <w:i w:val="0"/>
          <w:strike w:val="0"/>
          <w:spacing w:val="0"/>
          <w:sz w:val="24"/>
          <w:u w:val="none"/>
        </w:rPr>
      </w:pPr>
      <w:r>
        <w:rPr>
          <w:rFonts w:ascii="宋体" w:hAnsi="宋体" w:eastAsia="宋体" w:cs="宋体"/>
          <w:b w:val="0"/>
          <w:i w:val="0"/>
          <w:strike w:val="0"/>
          <w:spacing w:val="0"/>
          <w:sz w:val="24"/>
          <w:u w:val="none"/>
        </w:rPr>
        <w:t>2.1.1 隐私计算脚本</w:t>
      </w:r>
    </w:p>
    <w:p>
      <w:pPr>
        <w:snapToGrid/>
        <w:spacing w:line="360" w:lineRule="auto"/>
        <w:rPr>
          <w:rFonts w:ascii="宋体" w:hAnsi="宋体" w:eastAsia="宋体" w:cs="宋体"/>
          <w:b w:val="0"/>
          <w:i w:val="0"/>
          <w:strike w:val="0"/>
          <w:spacing w:val="0"/>
          <w:sz w:val="24"/>
          <w:u w:val="none"/>
        </w:rPr>
      </w:pPr>
      <w:r>
        <w:rPr>
          <w:rFonts w:ascii="宋体" w:hAnsi="宋体" w:eastAsia="宋体" w:cs="宋体"/>
          <w:b w:val="0"/>
          <w:i w:val="0"/>
          <w:strike w:val="0"/>
          <w:spacing w:val="0"/>
          <w:sz w:val="24"/>
          <w:u w:val="none"/>
        </w:rPr>
        <w:tab/>
      </w:r>
      <w:r>
        <w:rPr>
          <w:rFonts w:ascii="宋体" w:hAnsi="宋体" w:eastAsia="宋体" w:cs="宋体"/>
          <w:b w:val="0"/>
          <w:i w:val="0"/>
          <w:strike w:val="0"/>
          <w:spacing w:val="0"/>
          <w:sz w:val="24"/>
          <w:u w:val="none"/>
        </w:rPr>
        <w:t>隐私计算脚本用于将任务发布者的需求转换为平台可以理解和执行的指令，然后通过全局调度器，调度各节点的密态计算模块协同完成隐私保护的联合计算任务，提升平台易用性。</w:t>
      </w:r>
    </w:p>
    <w:p>
      <w:pPr>
        <w:snapToGrid/>
        <w:spacing w:line="360" w:lineRule="auto"/>
        <w:ind w:left="0" w:firstLineChars="200"/>
        <w:rPr>
          <w:rFonts w:ascii="宋体" w:hAnsi="宋体" w:eastAsia="宋体" w:cs="宋体"/>
          <w:b w:val="0"/>
          <w:i w:val="0"/>
          <w:strike w:val="0"/>
          <w:spacing w:val="0"/>
          <w:sz w:val="24"/>
          <w:u w:val="none"/>
        </w:rPr>
      </w:pPr>
      <w:r>
        <w:rPr>
          <w:rFonts w:ascii="宋体" w:hAnsi="宋体" w:eastAsia="宋体" w:cs="宋体"/>
          <w:b w:val="0"/>
          <w:i w:val="0"/>
          <w:strike w:val="0"/>
          <w:spacing w:val="0"/>
          <w:sz w:val="24"/>
          <w:u w:val="none"/>
        </w:rPr>
        <w:t>如图2所示，隐私计算脚本将具备如下能力：</w:t>
      </w:r>
    </w:p>
    <w:p>
      <w:pPr>
        <w:snapToGrid/>
        <w:spacing w:line="360" w:lineRule="auto"/>
        <w:ind w:left="0" w:firstLineChars="200"/>
        <w:rPr>
          <w:rFonts w:ascii="宋体" w:hAnsi="宋体" w:eastAsia="宋体" w:cs="宋体"/>
          <w:b w:val="0"/>
          <w:i w:val="0"/>
          <w:strike w:val="0"/>
          <w:spacing w:val="0"/>
          <w:sz w:val="24"/>
          <w:u w:val="none"/>
        </w:rPr>
      </w:pPr>
      <w:r>
        <w:rPr>
          <w:rFonts w:ascii="宋体" w:hAnsi="宋体" w:eastAsia="宋体" w:cs="宋体"/>
          <w:b w:val="0"/>
          <w:i w:val="0"/>
          <w:strike w:val="0"/>
          <w:spacing w:val="0"/>
          <w:sz w:val="24"/>
          <w:u w:val="none"/>
        </w:rPr>
        <w:t>首先，支持用户通过类SQL语言和类高级编程语言（兼容Python和JAVA）混合编写隐私计算脚本，用户可以通过混合使用类SQL语言和类高级编程语言编写多行脚本代码，以实现完整的、复杂的任务需求描述。例如，用户可以通过类SQL语言实现多参与方进行联合查询的需求描述，然后通过类高级编程语言编写自定义计算逻辑实现使用联合查询结果进行后续任务的需求描述。</w:t>
      </w:r>
    </w:p>
    <w:p>
      <w:pPr>
        <w:snapToGrid/>
        <w:spacing w:line="360" w:lineRule="auto"/>
        <w:ind w:left="0" w:firstLineChars="200"/>
        <w:rPr>
          <w:rFonts w:ascii="宋体" w:hAnsi="宋体" w:eastAsia="宋体" w:cs="宋体"/>
          <w:b w:val="0"/>
          <w:i w:val="0"/>
          <w:strike w:val="0"/>
          <w:spacing w:val="0"/>
          <w:sz w:val="24"/>
          <w:u w:val="none"/>
        </w:rPr>
      </w:pPr>
      <w:r>
        <w:rPr>
          <w:rFonts w:ascii="宋体" w:hAnsi="宋体" w:eastAsia="宋体" w:cs="宋体"/>
          <w:b w:val="0"/>
          <w:i w:val="0"/>
          <w:strike w:val="0"/>
          <w:spacing w:val="0"/>
          <w:sz w:val="24"/>
          <w:u w:val="none"/>
        </w:rPr>
        <w:t>然后，隐私计算脚本可以被平台解析、编译成平台可以理解、执行的工作流，工作流由多个任务组成，代表一个完整的任务需求集合。工作流包含每个任务的执行节点、执行顺序以及执行优先级，可由全局调度器进行调度执行。</w:t>
      </w:r>
    </w:p>
    <w:p>
      <w:pPr>
        <w:pBdr>
          <w:bottom w:val="none" w:color="auto" w:sz="0" w:space="0"/>
        </w:pBdr>
        <w:snapToGrid/>
        <w:spacing w:line="360" w:lineRule="auto"/>
        <w:ind w:left="0" w:firstLineChars="200"/>
        <w:rPr>
          <w:rFonts w:ascii="宋体" w:hAnsi="宋体" w:eastAsia="宋体" w:cs="宋体"/>
          <w:b w:val="0"/>
          <w:i w:val="0"/>
          <w:strike w:val="0"/>
          <w:spacing w:val="0"/>
          <w:sz w:val="24"/>
          <w:u w:val="none"/>
        </w:rPr>
      </w:pPr>
      <w:r>
        <w:rPr>
          <w:rFonts w:ascii="宋体" w:hAnsi="宋体" w:eastAsia="宋体" w:cs="宋体"/>
          <w:b w:val="0"/>
          <w:i w:val="0"/>
          <w:strike w:val="0"/>
          <w:spacing w:val="0"/>
          <w:sz w:val="24"/>
          <w:u w:val="none"/>
        </w:rPr>
        <w:t>为实现隐私计算脚本的定义、解析、编译功能，我们将预定义一系列映射规则，映射规则描述了类SQL和类高级编程语言与平台可理解代码的对应关系，然后通过设计解析器将平台可理解代码编译成可被调度的工作流，最后，由全局调度器根据工作流的执行信息将具体任务分发到相应执行节点进行任务调度执行。此外，平台还将为代码或者模型提供一定的缓存能力，在频繁的任务调度中，优化代码分发和执行速度，以充分发挥系统性能。</w:t>
      </w:r>
    </w:p>
    <w:p>
      <w:pPr>
        <w:snapToGrid/>
        <w:spacing w:line="360" w:lineRule="auto"/>
        <w:jc w:val="center"/>
        <w:rPr>
          <w:rFonts w:ascii="宋体" w:hAnsi="宋体" w:eastAsia="宋体" w:cs="宋体"/>
          <w:b w:val="0"/>
          <w:i w:val="0"/>
          <w:strike w:val="0"/>
          <w:spacing w:val="0"/>
          <w:sz w:val="24"/>
          <w:u w:val="none"/>
        </w:rPr>
      </w:pPr>
      <w:r>
        <w:rPr>
          <w:rFonts w:ascii="宋体" w:hAnsi="宋体" w:eastAsia="宋体" w:cs="宋体"/>
          <w:b w:val="0"/>
          <w:i w:val="0"/>
          <w:strike w:val="0"/>
          <w:spacing w:val="0"/>
          <w:sz w:val="24"/>
          <w:u w:val="none"/>
        </w:rPr>
        <w:drawing>
          <wp:inline distT="0" distB="0" distL="0" distR="0">
            <wp:extent cx="5274310" cy="408178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5"/>
                    <a:stretch>
                      <a:fillRect/>
                    </a:stretch>
                  </pic:blipFill>
                  <pic:spPr>
                    <a:xfrm>
                      <a:off x="0" y="0"/>
                      <a:ext cx="5274310" cy="4081823"/>
                    </a:xfrm>
                    <a:prstGeom prst="rect">
                      <a:avLst/>
                    </a:prstGeom>
                  </pic:spPr>
                </pic:pic>
              </a:graphicData>
            </a:graphic>
          </wp:inline>
        </w:drawing>
      </w:r>
    </w:p>
    <w:p>
      <w:pPr>
        <w:snapToGrid/>
        <w:spacing w:line="360" w:lineRule="auto"/>
        <w:jc w:val="center"/>
        <w:rPr>
          <w:rFonts w:ascii="宋体" w:hAnsi="宋体" w:eastAsia="宋体" w:cs="宋体"/>
          <w:b w:val="0"/>
          <w:i w:val="0"/>
          <w:strike w:val="0"/>
          <w:spacing w:val="0"/>
          <w:sz w:val="24"/>
          <w:u w:val="none"/>
        </w:rPr>
      </w:pPr>
      <w:r>
        <w:rPr>
          <w:rFonts w:ascii="宋体" w:hAnsi="宋体" w:eastAsia="宋体" w:cs="宋体"/>
          <w:b w:val="0"/>
          <w:i w:val="0"/>
          <w:strike w:val="0"/>
          <w:spacing w:val="0"/>
          <w:sz w:val="24"/>
          <w:u w:val="none"/>
        </w:rPr>
        <w:t>图2. 隐私计算脚本功能示意图</w:t>
      </w:r>
    </w:p>
    <w:p>
      <w:pPr>
        <w:snapToGrid/>
        <w:spacing w:line="360" w:lineRule="auto"/>
        <w:rPr>
          <w:rFonts w:ascii="宋体" w:hAnsi="宋体" w:eastAsia="宋体" w:cs="宋体"/>
          <w:b w:val="0"/>
          <w:i w:val="0"/>
          <w:strike w:val="0"/>
          <w:spacing w:val="0"/>
          <w:sz w:val="24"/>
          <w:u w:val="none"/>
        </w:rPr>
      </w:pPr>
    </w:p>
    <w:p>
      <w:pPr>
        <w:snapToGrid/>
        <w:spacing w:line="240" w:lineRule="auto"/>
        <w:rPr>
          <w:rFonts w:ascii="宋体" w:hAnsi="宋体" w:eastAsia="宋体" w:cs="宋体"/>
          <w:b w:val="0"/>
          <w:i w:val="0"/>
          <w:strike w:val="0"/>
          <w:spacing w:val="0"/>
          <w:sz w:val="24"/>
          <w:u w:val="none"/>
        </w:rPr>
      </w:pPr>
      <w:r>
        <w:rPr>
          <w:rFonts w:ascii="宋体" w:hAnsi="宋体" w:eastAsia="宋体" w:cs="宋体"/>
          <w:b w:val="0"/>
          <w:i w:val="0"/>
          <w:strike w:val="0"/>
          <w:spacing w:val="0"/>
          <w:sz w:val="24"/>
          <w:u w:val="none"/>
        </w:rPr>
        <w:t>2.1.2 任务调度</w:t>
      </w:r>
    </w:p>
    <w:p>
      <w:pPr>
        <w:spacing w:line="360" w:lineRule="auto"/>
        <w:ind w:firstLine="480" w:firstLineChars="200"/>
        <w:rPr>
          <w:rFonts w:ascii="宋体" w:hAnsi="宋体" w:eastAsia="宋体" w:cs="宋体"/>
          <w:i w:val="0"/>
          <w:strike w:val="0"/>
          <w:spacing w:val="0"/>
          <w:sz w:val="24"/>
          <w:u w:val="none"/>
        </w:rPr>
      </w:pPr>
      <w:r>
        <w:rPr>
          <w:rFonts w:ascii="宋体" w:hAnsi="宋体" w:eastAsia="宋体" w:cs="宋体"/>
          <w:i w:val="0"/>
          <w:strike w:val="0"/>
          <w:spacing w:val="0"/>
          <w:sz w:val="24"/>
          <w:u w:val="none"/>
        </w:rPr>
        <w:tab/>
      </w:r>
      <w:r>
        <w:rPr>
          <w:rFonts w:ascii="宋体" w:hAnsi="宋体" w:eastAsia="宋体" w:cs="宋体"/>
          <w:i w:val="0"/>
          <w:strike w:val="0"/>
          <w:spacing w:val="0"/>
          <w:sz w:val="24"/>
          <w:u w:val="none"/>
        </w:rPr>
        <w:t>如图3所示，任务调度是指平台能够根据隐私计算脚本编译后形成的工作流，调度多方参与者联合完成隐私计算任务，由调度器实现，包括全局和本地调度两种功能，从而提高平台执行效率和执行作业吞吐量。</w:t>
      </w:r>
    </w:p>
    <w:p>
      <w:pPr>
        <w:spacing w:line="360" w:lineRule="auto"/>
        <w:jc w:val="center"/>
        <w:rPr>
          <w:rFonts w:ascii="宋体" w:hAnsi="宋体" w:eastAsia="宋体" w:cs="宋体"/>
          <w:sz w:val="24"/>
        </w:rPr>
      </w:pPr>
      <w:r>
        <w:drawing>
          <wp:inline distT="0" distB="0" distL="0" distR="0">
            <wp:extent cx="5114925" cy="266954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6"/>
                    <a:srcRect/>
                    <a:stretch>
                      <a:fillRect/>
                    </a:stretch>
                  </pic:blipFill>
                  <pic:spPr>
                    <a:xfrm>
                      <a:off x="0" y="0"/>
                      <a:ext cx="5114925" cy="2669540"/>
                    </a:xfrm>
                    <a:prstGeom prst="rect">
                      <a:avLst/>
                    </a:prstGeom>
                    <a:solidFill>
                      <a:srgbClr val="FFFFFF"/>
                    </a:solidFill>
                  </pic:spPr>
                </pic:pic>
              </a:graphicData>
            </a:graphic>
          </wp:inline>
        </w:drawing>
      </w:r>
    </w:p>
    <w:p>
      <w:pPr>
        <w:spacing w:line="360" w:lineRule="auto"/>
        <w:ind w:firstLine="480" w:firstLineChars="200"/>
        <w:jc w:val="center"/>
        <w:rPr>
          <w:rFonts w:ascii="宋体" w:hAnsi="宋体" w:eastAsia="宋体" w:cs="宋体"/>
          <w:sz w:val="24"/>
        </w:rPr>
      </w:pPr>
      <w:r>
        <w:rPr>
          <w:rFonts w:ascii="宋体" w:hAnsi="宋体" w:eastAsia="宋体" w:cs="宋体"/>
          <w:sz w:val="24"/>
        </w:rPr>
        <w:t>图3. 任务调度功能示意图</w:t>
      </w:r>
    </w:p>
    <w:p>
      <w:pPr>
        <w:pBdr>
          <w:bottom w:val="none" w:color="auto" w:sz="0" w:space="0"/>
        </w:pBdr>
        <w:spacing w:line="360" w:lineRule="auto"/>
        <w:ind w:firstLine="480" w:firstLineChars="200"/>
        <w:jc w:val="center"/>
        <w:rPr>
          <w:rFonts w:ascii="宋体" w:hAnsi="宋体" w:eastAsia="宋体" w:cs="宋体"/>
          <w:sz w:val="24"/>
        </w:rPr>
      </w:pPr>
    </w:p>
    <w:p>
      <w:pPr>
        <w:spacing w:line="360" w:lineRule="auto"/>
        <w:ind w:firstLine="482" w:firstLineChars="200"/>
        <w:rPr>
          <w:rFonts w:ascii="宋体" w:hAnsi="宋体" w:eastAsia="宋体" w:cs="宋体"/>
          <w:b w:val="0"/>
          <w:strike w:val="0"/>
          <w:spacing w:val="0"/>
          <w:sz w:val="24"/>
          <w:u w:val="none"/>
        </w:rPr>
      </w:pPr>
      <w:r>
        <w:rPr>
          <w:rFonts w:ascii="宋体" w:hAnsi="宋体" w:eastAsia="宋体" w:cs="宋体"/>
          <w:b/>
          <w:sz w:val="24"/>
          <w:shd w:val="clear" w:color="auto" w:fill="auto"/>
        </w:rPr>
        <w:t>全局调度：</w:t>
      </w:r>
      <w:r>
        <w:rPr>
          <w:rFonts w:ascii="宋体" w:hAnsi="宋体" w:eastAsia="宋体" w:cs="宋体"/>
          <w:i w:val="0"/>
          <w:strike w:val="0"/>
          <w:spacing w:val="0"/>
          <w:sz w:val="24"/>
          <w:u w:val="none"/>
        </w:rPr>
        <w:t>全局调度能够将工作流分解成多项子任务并对应到具体参与方，协调各参与方有序地完成隐私计算任务的协作执行。</w:t>
      </w:r>
      <w:r>
        <w:rPr>
          <w:rFonts w:ascii="宋体" w:hAnsi="宋体" w:eastAsia="宋体" w:cs="宋体"/>
          <w:b w:val="0"/>
          <w:sz w:val="24"/>
          <w:shd w:val="clear" w:color="auto" w:fill="auto"/>
        </w:rPr>
        <w:t>在平台中，一次完整的隐私计算活动</w:t>
      </w:r>
      <w:r>
        <w:rPr>
          <w:rFonts w:ascii="宋体" w:hAnsi="宋体" w:eastAsia="宋体" w:cs="宋体"/>
          <w:strike w:val="0"/>
          <w:spacing w:val="0"/>
          <w:sz w:val="24"/>
          <w:u w:val="none"/>
        </w:rPr>
        <w:t>可以被解析为一个工作流（Job），可以由有向无环图（DAG）表示，其中节点代表工作流中不可分割的最小计算单元（称为</w:t>
      </w:r>
      <w:r>
        <w:rPr>
          <w:rFonts w:ascii="宋体" w:hAnsi="宋体" w:eastAsia="宋体" w:cs="宋体"/>
          <w:b/>
          <w:strike w:val="0"/>
          <w:spacing w:val="0"/>
          <w:sz w:val="24"/>
          <w:u w:val="none"/>
        </w:rPr>
        <w:t>任务</w:t>
      </w:r>
      <w:r>
        <w:rPr>
          <w:rFonts w:ascii="宋体" w:hAnsi="宋体" w:eastAsia="宋体" w:cs="宋体"/>
          <w:strike w:val="0"/>
          <w:spacing w:val="0"/>
          <w:sz w:val="24"/>
          <w:u w:val="none"/>
        </w:rPr>
        <w:t>，即Task），有向边代表调度的拓扑先后顺序。如图4所示，Job包含了一次隐私计算活动的所有基本信息和链接索引，详细包含</w:t>
      </w:r>
      <w:r>
        <w:rPr>
          <w:rFonts w:ascii="宋体" w:hAnsi="宋体" w:eastAsia="宋体" w:cs="宋体"/>
          <w:b/>
          <w:strike w:val="0"/>
          <w:spacing w:val="0"/>
          <w:sz w:val="24"/>
          <w:u w:val="none"/>
        </w:rPr>
        <w:t>参与数据节点配置</w:t>
      </w:r>
      <w:r>
        <w:rPr>
          <w:rFonts w:ascii="宋体" w:hAnsi="宋体" w:eastAsia="宋体" w:cs="宋体"/>
          <w:strike w:val="0"/>
          <w:spacing w:val="0"/>
          <w:sz w:val="24"/>
          <w:u w:val="none"/>
        </w:rPr>
        <w:t>、</w:t>
      </w:r>
      <w:r>
        <w:rPr>
          <w:rFonts w:ascii="宋体" w:hAnsi="宋体" w:eastAsia="宋体" w:cs="宋体"/>
          <w:b/>
          <w:strike w:val="0"/>
          <w:spacing w:val="0"/>
          <w:sz w:val="24"/>
          <w:u w:val="none"/>
        </w:rPr>
        <w:t>任务执行顺序</w:t>
      </w:r>
      <w:r>
        <w:rPr>
          <w:rFonts w:ascii="宋体" w:hAnsi="宋体" w:eastAsia="宋体" w:cs="宋体"/>
          <w:strike w:val="0"/>
          <w:spacing w:val="0"/>
          <w:sz w:val="24"/>
          <w:u w:val="none"/>
        </w:rPr>
        <w:t>、</w:t>
      </w:r>
      <w:r>
        <w:rPr>
          <w:rFonts w:ascii="宋体" w:hAnsi="宋体" w:eastAsia="宋体" w:cs="宋体"/>
          <w:b/>
          <w:strike w:val="0"/>
          <w:spacing w:val="0"/>
          <w:sz w:val="24"/>
          <w:u w:val="none"/>
        </w:rPr>
        <w:t>采取的数据加密协议</w:t>
      </w:r>
      <w:r>
        <w:rPr>
          <w:rFonts w:ascii="宋体" w:hAnsi="宋体" w:eastAsia="宋体" w:cs="宋体"/>
          <w:strike w:val="0"/>
          <w:spacing w:val="0"/>
          <w:sz w:val="24"/>
          <w:u w:val="none"/>
        </w:rPr>
        <w:t>、</w:t>
      </w:r>
      <w:r>
        <w:rPr>
          <w:rFonts w:ascii="宋体" w:hAnsi="宋体" w:eastAsia="宋体" w:cs="宋体"/>
          <w:b/>
          <w:strike w:val="0"/>
          <w:spacing w:val="0"/>
          <w:sz w:val="24"/>
          <w:u w:val="none"/>
        </w:rPr>
        <w:t>通信的协议规范</w:t>
      </w:r>
      <w:r>
        <w:rPr>
          <w:rFonts w:ascii="宋体" w:hAnsi="宋体" w:eastAsia="宋体" w:cs="宋体"/>
          <w:strike w:val="0"/>
          <w:spacing w:val="0"/>
          <w:sz w:val="24"/>
          <w:u w:val="none"/>
        </w:rPr>
        <w:t>、</w:t>
      </w:r>
      <w:r>
        <w:rPr>
          <w:rFonts w:ascii="宋体" w:hAnsi="宋体" w:eastAsia="宋体" w:cs="宋体"/>
          <w:b/>
          <w:strike w:val="0"/>
          <w:spacing w:val="0"/>
          <w:sz w:val="24"/>
          <w:u w:val="none"/>
        </w:rPr>
        <w:t>项目优先级</w:t>
      </w:r>
      <w:r>
        <w:rPr>
          <w:rFonts w:ascii="宋体" w:hAnsi="宋体" w:eastAsia="宋体" w:cs="宋体"/>
          <w:strike w:val="0"/>
          <w:spacing w:val="0"/>
          <w:sz w:val="24"/>
          <w:u w:val="none"/>
        </w:rPr>
        <w:t>等具体内容；Task包含了每一计算的具体逻辑和参数，可以表示</w:t>
      </w:r>
      <w:r>
        <w:rPr>
          <w:rFonts w:ascii="宋体" w:hAnsi="宋体" w:eastAsia="宋体" w:cs="宋体"/>
          <w:i w:val="0"/>
          <w:strike w:val="0"/>
          <w:color w:val="000000"/>
          <w:sz w:val="24"/>
          <w:u w:val="none"/>
        </w:rPr>
        <w:t>联合预测、联合统计、联合查询和联合建模</w:t>
      </w:r>
      <w:r>
        <w:rPr>
          <w:rFonts w:ascii="宋体" w:hAnsi="宋体" w:eastAsia="宋体" w:cs="宋体"/>
          <w:strike w:val="0"/>
          <w:spacing w:val="0"/>
          <w:sz w:val="24"/>
          <w:u w:val="none"/>
        </w:rPr>
        <w:t>等多项细分功能。我们将基于标准的通信框架进行全局调度逻辑的设计实现，并支持</w:t>
      </w:r>
      <w:r>
        <w:rPr>
          <w:rFonts w:ascii="宋体" w:hAnsi="宋体" w:eastAsia="宋体" w:cs="宋体"/>
          <w:sz w:val="24"/>
        </w:rPr>
        <w:t>任务的启停和状态同步。</w:t>
      </w:r>
      <w:r>
        <w:rPr>
          <w:rFonts w:ascii="宋体" w:hAnsi="宋体" w:eastAsia="宋体" w:cs="宋体"/>
          <w:b w:val="0"/>
          <w:sz w:val="24"/>
          <w:shd w:val="clear" w:color="auto" w:fill="auto"/>
        </w:rPr>
        <w:t>在中心化部署模式中，全局调度器位于中心服务器（如山大地纬公司），在去中心化部署模式中，每个任务参与方的调度器都具有全局调度功能。</w:t>
      </w:r>
    </w:p>
    <w:p>
      <w:pPr>
        <w:spacing w:line="360" w:lineRule="auto"/>
        <w:ind w:firstLine="480" w:firstLineChars="200"/>
        <w:jc w:val="center"/>
        <w:rPr>
          <w:rFonts w:ascii="宋体" w:hAnsi="宋体" w:eastAsia="宋体" w:cs="宋体"/>
          <w:strike w:val="0"/>
          <w:spacing w:val="0"/>
          <w:sz w:val="24"/>
          <w:u w:val="none"/>
        </w:rPr>
      </w:pPr>
      <w:r>
        <w:rPr>
          <w:rFonts w:ascii="宋体" w:hAnsi="宋体" w:eastAsia="宋体" w:cs="宋体"/>
          <w:strike w:val="0"/>
          <w:spacing w:val="0"/>
          <w:sz w:val="24"/>
          <w:u w:val="none"/>
        </w:rPr>
        <w:drawing>
          <wp:inline distT="0" distB="0" distL="0" distR="0">
            <wp:extent cx="4229100" cy="280098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7"/>
                    <a:srcRect/>
                    <a:stretch>
                      <a:fillRect/>
                    </a:stretch>
                  </pic:blipFill>
                  <pic:spPr>
                    <a:xfrm>
                      <a:off x="0" y="0"/>
                      <a:ext cx="4229100" cy="2801596"/>
                    </a:xfrm>
                    <a:prstGeom prst="rect">
                      <a:avLst/>
                    </a:prstGeom>
                  </pic:spPr>
                </pic:pic>
              </a:graphicData>
            </a:graphic>
          </wp:inline>
        </w:drawing>
      </w:r>
    </w:p>
    <w:p>
      <w:pPr>
        <w:spacing w:line="360" w:lineRule="auto"/>
        <w:ind w:firstLine="480" w:firstLineChars="200"/>
        <w:jc w:val="center"/>
        <w:rPr>
          <w:rFonts w:ascii="宋体" w:hAnsi="宋体" w:eastAsia="宋体" w:cs="宋体"/>
          <w:sz w:val="24"/>
        </w:rPr>
      </w:pPr>
      <w:r>
        <w:rPr>
          <w:rFonts w:ascii="宋体" w:hAnsi="宋体" w:eastAsia="宋体" w:cs="宋体"/>
          <w:sz w:val="24"/>
        </w:rPr>
        <w:t>图4. 一次隐私计算活动的工作流和子任务示意图</w:t>
      </w:r>
    </w:p>
    <w:p>
      <w:pPr>
        <w:spacing w:line="360" w:lineRule="auto"/>
        <w:ind w:firstLine="480" w:firstLineChars="200"/>
        <w:jc w:val="center"/>
        <w:rPr>
          <w:rFonts w:ascii="宋体" w:hAnsi="宋体" w:eastAsia="宋体" w:cs="宋体"/>
          <w:sz w:val="24"/>
        </w:rPr>
      </w:pPr>
    </w:p>
    <w:p>
      <w:pPr>
        <w:pBdr>
          <w:bottom w:val="none" w:color="auto" w:sz="0" w:space="0"/>
        </w:pBdr>
        <w:spacing w:line="360" w:lineRule="auto"/>
        <w:ind w:left="0" w:firstLineChars="0"/>
        <w:jc w:val="both"/>
        <w:rPr>
          <w:rFonts w:ascii="宋体" w:hAnsi="宋体" w:eastAsia="宋体" w:cs="宋体"/>
          <w:i w:val="0"/>
          <w:strike w:val="0"/>
          <w:spacing w:val="0"/>
          <w:sz w:val="24"/>
          <w:u w:val="none"/>
        </w:rPr>
      </w:pPr>
      <w:r>
        <w:rPr>
          <w:rFonts w:ascii="宋体" w:hAnsi="宋体" w:eastAsia="宋体" w:cs="宋体"/>
          <w:sz w:val="24"/>
        </w:rPr>
        <w:tab/>
      </w:r>
      <w:r>
        <w:rPr>
          <w:rFonts w:ascii="宋体" w:hAnsi="宋体" w:eastAsia="宋体" w:cs="宋体"/>
          <w:b/>
          <w:sz w:val="24"/>
        </w:rPr>
        <w:t>本地调度：</w:t>
      </w:r>
      <w:r>
        <w:rPr>
          <w:rFonts w:ascii="宋体" w:hAnsi="宋体" w:eastAsia="宋体" w:cs="宋体"/>
          <w:i w:val="0"/>
          <w:strike w:val="0"/>
          <w:spacing w:val="0"/>
          <w:sz w:val="24"/>
          <w:u w:val="none"/>
        </w:rPr>
        <w:t>本地调度功能能够调度参与方本地的计算资源，并支持多实例集群化部署，以提高平台性能、可用性和可扩展性。具体来说，我们将通过Kubernetes实现对资源和实例的调度，基于Kubernetes，本地调度能够按需为计算任务分配CPU和内存等计算资源，并实现多实例集群化部署，从而支持高并发请求。此外，本地调度还能够通过通信接口接收全局调度器发来的任务执行信息，并及时向全局调度器同步本地的任务执行状态。</w:t>
      </w:r>
    </w:p>
    <w:p>
      <w:pPr>
        <w:pBdr>
          <w:bottom w:val="none" w:color="auto" w:sz="0" w:space="0"/>
        </w:pBdr>
        <w:spacing w:line="360" w:lineRule="auto"/>
        <w:ind w:firstLine="482" w:firstLineChars="200"/>
        <w:rPr>
          <w:rFonts w:ascii="宋体" w:hAnsi="宋体" w:eastAsia="宋体" w:cs="宋体"/>
          <w:sz w:val="24"/>
        </w:rPr>
      </w:pPr>
      <w:r>
        <w:rPr>
          <w:rFonts w:ascii="宋体" w:hAnsi="宋体" w:eastAsia="宋体" w:cs="宋体"/>
          <w:b/>
          <w:sz w:val="24"/>
        </w:rPr>
        <w:t>全局和本地调度功能将遵循标准规范进行实现，并预留好统一的标准接口，方便后续的开发与升级。</w:t>
      </w:r>
    </w:p>
    <w:p>
      <w:pPr>
        <w:snapToGrid/>
        <w:spacing w:line="240" w:lineRule="auto"/>
        <w:rPr>
          <w:rFonts w:ascii="宋体" w:hAnsi="宋体" w:eastAsia="宋体" w:cs="宋体"/>
          <w:i w:val="0"/>
          <w:strike w:val="0"/>
          <w:spacing w:val="0"/>
          <w:sz w:val="24"/>
          <w:u w:val="none"/>
        </w:rPr>
      </w:pPr>
    </w:p>
    <w:p>
      <w:pPr>
        <w:snapToGrid/>
        <w:spacing w:line="240" w:lineRule="auto"/>
        <w:rPr>
          <w:rFonts w:ascii="宋体" w:hAnsi="宋体" w:eastAsia="宋体" w:cs="宋体"/>
          <w:b w:val="0"/>
          <w:sz w:val="24"/>
        </w:rPr>
      </w:pPr>
      <w:r>
        <w:rPr>
          <w:rFonts w:ascii="宋体" w:hAnsi="宋体" w:eastAsia="宋体" w:cs="宋体"/>
          <w:b w:val="0"/>
          <w:i w:val="0"/>
          <w:strike w:val="0"/>
          <w:spacing w:val="0"/>
          <w:sz w:val="24"/>
          <w:u w:val="none"/>
        </w:rPr>
        <w:t>2.1.3 密态计算</w:t>
      </w:r>
    </w:p>
    <w:p>
      <w:pPr>
        <w:pBdr>
          <w:bottom w:val="none" w:color="auto" w:sz="0" w:space="0"/>
        </w:pBdr>
        <w:spacing w:line="360" w:lineRule="auto"/>
        <w:ind w:firstLine="480" w:firstLineChars="200"/>
        <w:rPr>
          <w:rFonts w:ascii="宋体" w:hAnsi="宋体" w:eastAsia="宋体" w:cs="宋体"/>
          <w:sz w:val="24"/>
        </w:rPr>
      </w:pPr>
      <w:r>
        <w:rPr>
          <w:rFonts w:ascii="宋体" w:hAnsi="宋体" w:eastAsia="宋体" w:cs="宋体"/>
          <w:sz w:val="24"/>
        </w:rPr>
        <w:t>数据密态计算的目的是支撑可信融合计算功能需求，包括</w:t>
      </w:r>
      <w:r>
        <w:rPr>
          <w:rFonts w:ascii="宋体" w:hAnsi="宋体" w:eastAsia="宋体" w:cs="宋体"/>
          <w:i w:val="0"/>
          <w:strike w:val="0"/>
          <w:color w:val="000000"/>
          <w:sz w:val="24"/>
          <w:u w:val="none"/>
        </w:rPr>
        <w:t>联合预测、联合统计、联合查询和联合建模</w:t>
      </w:r>
      <w:r>
        <w:rPr>
          <w:rFonts w:ascii="宋体" w:hAnsi="宋体" w:eastAsia="宋体" w:cs="宋体"/>
          <w:sz w:val="24"/>
        </w:rPr>
        <w:t>等具体功能。现有开源隐私计算框架如FATE和SecretFlow等能够支持多方安全计算、同态加密、差分隐私等多项隐私计算技术，并且能够支持跨源数据节点之间的隐私通信，但在自定义算法设计、模型自动导入、动态装载和模型隐私保护方面仍有所欠缺，且在联合预测等应用场景存在局限性。因此，我们借鉴了开源框架的设计理念，复用开源框架的隐私计算协议（如MPC和同态加密等协议），将上层模型代码编译为可执行的隐私计算代码逻辑，进而构建安全可信的数据隐私计算引擎。如图5所示，该引擎包含基础算法层、算子层、算法层和模型层，以构建数据隐私计算应用服务：</w:t>
      </w:r>
    </w:p>
    <w:p>
      <w:pPr>
        <w:pBdr>
          <w:bottom w:val="none" w:color="auto" w:sz="0" w:space="0"/>
        </w:pBdr>
        <w:spacing w:line="360" w:lineRule="auto"/>
        <w:ind w:left="0" w:firstLineChars="0"/>
        <w:rPr>
          <w:rFonts w:ascii="宋体" w:hAnsi="宋体" w:eastAsia="宋体" w:cs="宋体"/>
          <w:sz w:val="24"/>
        </w:rPr>
      </w:pPr>
      <w:r>
        <w:rPr>
          <w:rFonts w:ascii="宋体" w:hAnsi="宋体" w:eastAsia="宋体" w:cs="宋体"/>
          <w:sz w:val="24"/>
        </w:rPr>
        <w:drawing>
          <wp:inline distT="0" distB="0" distL="0" distR="0">
            <wp:extent cx="5274310" cy="331406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8"/>
                    <a:stretch>
                      <a:fillRect/>
                    </a:stretch>
                  </pic:blipFill>
                  <pic:spPr>
                    <a:xfrm>
                      <a:off x="0" y="0"/>
                      <a:ext cx="5274310" cy="3314483"/>
                    </a:xfrm>
                    <a:prstGeom prst="rect">
                      <a:avLst/>
                    </a:prstGeom>
                  </pic:spPr>
                </pic:pic>
              </a:graphicData>
            </a:graphic>
          </wp:inline>
        </w:drawing>
      </w:r>
      <w:r>
        <w:rPr>
          <w:rFonts w:ascii="宋体" w:hAnsi="宋体" w:eastAsia="宋体" w:cs="宋体"/>
          <w:sz w:val="24"/>
        </w:rPr>
        <w:t xml:space="preserve"> </w:t>
      </w:r>
    </w:p>
    <w:p>
      <w:pPr>
        <w:spacing w:line="360" w:lineRule="auto"/>
        <w:ind w:left="0" w:firstLineChars="0"/>
        <w:jc w:val="center"/>
        <w:rPr>
          <w:rFonts w:ascii="宋体" w:hAnsi="宋体" w:eastAsia="宋体" w:cs="宋体"/>
          <w:sz w:val="24"/>
        </w:rPr>
      </w:pPr>
      <w:r>
        <w:rPr>
          <w:rFonts w:ascii="宋体" w:hAnsi="宋体" w:eastAsia="宋体" w:cs="宋体"/>
          <w:sz w:val="24"/>
        </w:rPr>
        <w:t>图5. 密态计算引擎示意图</w:t>
      </w:r>
    </w:p>
    <w:p>
      <w:pPr>
        <w:spacing w:line="360" w:lineRule="auto"/>
        <w:ind w:left="0" w:firstLineChars="0"/>
        <w:jc w:val="center"/>
        <w:rPr>
          <w:rFonts w:ascii="宋体" w:hAnsi="宋体" w:eastAsia="宋体" w:cs="宋体"/>
          <w:sz w:val="24"/>
        </w:rPr>
      </w:pPr>
    </w:p>
    <w:p>
      <w:pPr>
        <w:pBdr>
          <w:bottom w:val="none" w:color="auto" w:sz="0" w:space="0"/>
        </w:pBdr>
        <w:spacing w:line="360" w:lineRule="auto"/>
        <w:ind w:left="0" w:firstLineChars="0"/>
        <w:rPr>
          <w:rFonts w:ascii="宋体" w:hAnsi="宋体" w:eastAsia="宋体" w:cs="宋体"/>
          <w:sz w:val="24"/>
        </w:rPr>
      </w:pPr>
      <w:r>
        <w:rPr>
          <w:rFonts w:ascii="宋体" w:hAnsi="宋体" w:eastAsia="宋体" w:cs="宋体"/>
          <w:sz w:val="24"/>
        </w:rPr>
        <w:t xml:space="preserve">    </w:t>
      </w:r>
      <w:r>
        <w:rPr>
          <w:rFonts w:ascii="宋体" w:hAnsi="宋体" w:eastAsia="宋体" w:cs="宋体"/>
          <w:b/>
          <w:sz w:val="24"/>
        </w:rPr>
        <w:t>基础算法层（复用）</w:t>
      </w:r>
      <w:r>
        <w:rPr>
          <w:rFonts w:ascii="宋体" w:hAnsi="宋体" w:eastAsia="宋体" w:cs="宋体"/>
          <w:sz w:val="24"/>
        </w:rPr>
        <w:t>：隐私计算的基础是密码学的众多算法，根据算法类别又分为同态加密、秘密分享、不经意传输、差分隐私、数据混淆与数据脱敏等诸多类别。这些基础算法基于国标实现。此外，基础算法层设计了统一的接口和调用模式，可与地纬公司已有的基础算法进行融合，并方便未来密码学算法的更新、替换与使用。</w:t>
      </w:r>
    </w:p>
    <w:p>
      <w:pPr>
        <w:spacing w:line="360" w:lineRule="auto"/>
        <w:ind w:left="0" w:firstLineChars="0"/>
        <w:rPr>
          <w:rFonts w:ascii="宋体" w:hAnsi="宋体" w:eastAsia="宋体" w:cs="宋体"/>
          <w:i w:val="0"/>
          <w:strike w:val="0"/>
          <w:spacing w:val="0"/>
          <w:sz w:val="24"/>
          <w:u w:val="none"/>
        </w:rPr>
      </w:pPr>
      <w:r>
        <w:rPr>
          <w:rFonts w:ascii="宋体" w:hAnsi="宋体" w:eastAsia="宋体" w:cs="宋体"/>
          <w:sz w:val="24"/>
        </w:rPr>
        <w:t xml:space="preserve">    </w:t>
      </w:r>
      <w:r>
        <w:rPr>
          <w:rFonts w:ascii="宋体" w:hAnsi="宋体" w:eastAsia="宋体" w:cs="宋体"/>
          <w:b/>
          <w:sz w:val="24"/>
        </w:rPr>
        <w:t>基础算子层（复用）</w:t>
      </w:r>
      <w:r>
        <w:rPr>
          <w:rFonts w:ascii="宋体" w:hAnsi="宋体" w:eastAsia="宋体" w:cs="宋体"/>
          <w:sz w:val="24"/>
        </w:rPr>
        <w:t>：</w:t>
      </w:r>
      <w:r>
        <w:rPr>
          <w:rFonts w:ascii="宋体" w:hAnsi="宋体" w:eastAsia="宋体" w:cs="宋体"/>
          <w:i w:val="0"/>
          <w:strike w:val="0"/>
          <w:spacing w:val="0"/>
          <w:sz w:val="24"/>
          <w:u w:val="none"/>
        </w:rPr>
        <w:t>基础算子层由基础算法层构建而来，实现隐私计算的基本运算功能，这些基础算子可分为数字型算子与关系型算子。数字型算子包括加、减、乘、除、开方、指数、幂等运算，而关系型算子包括大小比较、从属关系判断、池化等关系运算。为实现基础算子层，我们将参考主流的开源框架，复用开源框架提供的MPC协议（如基于三方的ABY3、Semi2k，基于两方的Cheetah）、同态加密协议（如Okamoto-Uchiyama，Paillier，Elgamal）、差分隐私协议（Local DP）等主流隐私计算协议来实现基础算子，在复用这些协议的时候，我们将确保这些协议以模块化的方式封装在底层，为上层的算法模型提供隐私计算支持，在需要更新升级时，可以方便地被</w:t>
      </w:r>
      <w:r>
        <w:rPr>
          <w:rFonts w:ascii="宋体" w:hAnsi="宋体" w:eastAsia="宋体" w:cs="宋体"/>
          <w:b/>
          <w:i w:val="0"/>
          <w:strike w:val="0"/>
          <w:spacing w:val="0"/>
          <w:sz w:val="24"/>
          <w:u w:val="none"/>
        </w:rPr>
        <w:t>拆解</w:t>
      </w:r>
      <w:r>
        <w:rPr>
          <w:rFonts w:ascii="宋体" w:hAnsi="宋体" w:eastAsia="宋体" w:cs="宋体"/>
          <w:i w:val="0"/>
          <w:strike w:val="0"/>
          <w:spacing w:val="0"/>
          <w:sz w:val="24"/>
          <w:u w:val="none"/>
        </w:rPr>
        <w:t>和</w:t>
      </w:r>
      <w:r>
        <w:rPr>
          <w:rFonts w:ascii="宋体" w:hAnsi="宋体" w:eastAsia="宋体" w:cs="宋体"/>
          <w:b/>
          <w:i w:val="0"/>
          <w:strike w:val="0"/>
          <w:spacing w:val="0"/>
          <w:sz w:val="24"/>
          <w:u w:val="none"/>
        </w:rPr>
        <w:t>替换</w:t>
      </w:r>
      <w:r>
        <w:rPr>
          <w:rFonts w:ascii="宋体" w:hAnsi="宋体" w:eastAsia="宋体" w:cs="宋体"/>
          <w:i w:val="0"/>
          <w:strike w:val="0"/>
          <w:spacing w:val="0"/>
          <w:sz w:val="24"/>
          <w:u w:val="none"/>
        </w:rPr>
        <w:t>。</w:t>
      </w:r>
    </w:p>
    <w:p>
      <w:pPr>
        <w:pBdr>
          <w:bottom w:val="none" w:color="auto" w:sz="0" w:space="0"/>
        </w:pBdr>
        <w:spacing w:line="360" w:lineRule="auto"/>
        <w:ind w:left="0" w:firstLineChars="0"/>
        <w:rPr>
          <w:rFonts w:ascii="宋体" w:hAnsi="宋体" w:eastAsia="宋体" w:cs="宋体"/>
          <w:sz w:val="24"/>
        </w:rPr>
      </w:pPr>
      <w:r>
        <w:rPr>
          <w:rFonts w:ascii="宋体" w:hAnsi="宋体" w:eastAsia="宋体" w:cs="宋体"/>
          <w:b/>
          <w:sz w:val="24"/>
        </w:rPr>
        <w:t xml:space="preserve">    算法层（开发）:</w:t>
      </w:r>
      <w:r>
        <w:rPr>
          <w:rFonts w:ascii="宋体" w:hAnsi="宋体" w:eastAsia="宋体" w:cs="宋体"/>
          <w:sz w:val="24"/>
        </w:rPr>
        <w:t>为了实现隐私计算的应用需求，平台提供了包括</w:t>
      </w:r>
      <w:r>
        <w:rPr>
          <w:rFonts w:ascii="宋体" w:hAnsi="宋体" w:eastAsia="宋体" w:cs="宋体"/>
          <w:b/>
          <w:sz w:val="24"/>
        </w:rPr>
        <w:t>隐私机器学习</w:t>
      </w:r>
      <w:r>
        <w:rPr>
          <w:rFonts w:ascii="宋体" w:hAnsi="宋体" w:eastAsia="宋体" w:cs="宋体"/>
          <w:sz w:val="24"/>
        </w:rPr>
        <w:t>和</w:t>
      </w:r>
      <w:r>
        <w:rPr>
          <w:rFonts w:ascii="宋体" w:hAnsi="宋体" w:eastAsia="宋体" w:cs="宋体"/>
          <w:b/>
          <w:sz w:val="24"/>
        </w:rPr>
        <w:t>密态统计分析</w:t>
      </w:r>
      <w:r>
        <w:rPr>
          <w:rFonts w:ascii="宋体" w:hAnsi="宋体" w:eastAsia="宋体" w:cs="宋体"/>
          <w:sz w:val="24"/>
        </w:rPr>
        <w:t>在内的通用算法，如表4所示。具体而言，我们将基于基础算子层提供的多种隐私计算协议，实现通用的隐私机器学习和密态统计分析算法，为此，我们设计了统一规范的数据和参数格式便于算法的</w:t>
      </w:r>
      <w:r>
        <w:rPr>
          <w:rFonts w:ascii="宋体" w:hAnsi="宋体" w:eastAsia="宋体" w:cs="宋体"/>
          <w:b/>
          <w:sz w:val="24"/>
        </w:rPr>
        <w:t>级联</w:t>
      </w:r>
      <w:r>
        <w:rPr>
          <w:rFonts w:ascii="宋体" w:hAnsi="宋体" w:eastAsia="宋体" w:cs="宋体"/>
          <w:b w:val="0"/>
          <w:sz w:val="24"/>
        </w:rPr>
        <w:t>和</w:t>
      </w:r>
      <w:r>
        <w:rPr>
          <w:rFonts w:ascii="宋体" w:hAnsi="宋体" w:eastAsia="宋体" w:cs="宋体"/>
          <w:b/>
          <w:sz w:val="24"/>
        </w:rPr>
        <w:t>复用。</w:t>
      </w:r>
      <w:r>
        <w:rPr>
          <w:rFonts w:ascii="宋体" w:hAnsi="宋体" w:eastAsia="宋体" w:cs="宋体"/>
          <w:sz w:val="24"/>
        </w:rPr>
        <w:t>这些算法将部署在所有参与节点上，以支持不同业务模型的实现，从而满足各种应用场景下的数据分析和挖掘需求。</w:t>
      </w:r>
    </w:p>
    <w:p>
      <w:pPr>
        <w:pStyle w:val="16"/>
        <w:pBdr>
          <w:bottom w:val="none" w:color="auto" w:sz="0" w:space="0"/>
        </w:pBdr>
        <w:spacing w:before="0" w:beforeAutospacing="0" w:after="0" w:afterAutospacing="0" w:line="360" w:lineRule="auto"/>
        <w:ind w:firstLine="420"/>
        <w:rPr>
          <w:rFonts w:ascii="宋体" w:hAnsi="宋体" w:eastAsia="宋体" w:cs="宋体"/>
          <w:color w:val="000000"/>
          <w:sz w:val="24"/>
        </w:rPr>
      </w:pPr>
      <w:r>
        <w:rPr>
          <w:rFonts w:ascii="宋体" w:hAnsi="宋体" w:eastAsia="宋体" w:cs="宋体"/>
          <w:sz w:val="24"/>
        </w:rPr>
        <w:t xml:space="preserve"> 除此之外，我们还提供</w:t>
      </w:r>
      <w:r>
        <w:rPr>
          <w:rFonts w:ascii="宋体" w:hAnsi="宋体" w:eastAsia="宋体" w:cs="宋体"/>
          <w:color w:val="000000"/>
          <w:sz w:val="24"/>
        </w:rPr>
        <w:t>了</w:t>
      </w:r>
      <w:r>
        <w:rPr>
          <w:rFonts w:ascii="宋体" w:hAnsi="宋体" w:eastAsia="宋体" w:cs="宋体"/>
          <w:b/>
          <w:color w:val="000000"/>
          <w:sz w:val="24"/>
        </w:rPr>
        <w:t>可扩展定义模块</w:t>
      </w:r>
      <w:r>
        <w:rPr>
          <w:rFonts w:ascii="宋体" w:hAnsi="宋体" w:eastAsia="宋体" w:cs="宋体"/>
          <w:color w:val="000000"/>
          <w:sz w:val="24"/>
        </w:rPr>
        <w:t>，通过设计实现算法的基础API，为算法开发者提供插件化的开发方式。任务发布方可以基于这些API开发满足特定需求的个性化隐私计算算法。通过算法层算法的组合搭配，隐私计算引擎能够支持不同业务模型的构建，满足如银行贷款风控、药品经济学分析、保险产品制定、电子处方询价和医保精准控费等诸多现实场景的应用需求。</w:t>
      </w:r>
    </w:p>
    <w:p>
      <w:pPr>
        <w:pBdr>
          <w:bottom w:val="none" w:color="auto" w:sz="0" w:space="0"/>
        </w:pBdr>
        <w:jc w:val="center"/>
        <w:rPr>
          <w:rFonts w:ascii="宋体" w:hAnsi="宋体" w:eastAsia="宋体" w:cs="宋体"/>
          <w:color w:val="000000"/>
          <w:sz w:val="24"/>
        </w:rPr>
      </w:pPr>
      <w:r>
        <w:rPr>
          <w:rFonts w:ascii="宋体" w:hAnsi="宋体" w:eastAsia="宋体" w:cs="宋体"/>
          <w:color w:val="000000"/>
          <w:sz w:val="24"/>
        </w:rPr>
        <w:t>表4. 平台集成的通用基础算法</w:t>
      </w:r>
    </w:p>
    <w:tbl>
      <w:tblPr>
        <w:tblStyle w:val="10"/>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3839"/>
        <w:gridCol w:w="4258"/>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85" w:hRule="atLeast"/>
        </w:trPr>
        <w:tc>
          <w:tcPr>
            <w:tcW w:w="3839" w:type="dxa"/>
            <w:vAlign w:val="center"/>
          </w:tcPr>
          <w:p>
            <w:pPr>
              <w:spacing w:line="360" w:lineRule="auto"/>
              <w:jc w:val="center"/>
              <w:rPr>
                <w:rFonts w:ascii="宋体" w:hAnsi="宋体" w:eastAsia="宋体" w:cs="宋体"/>
                <w:b/>
                <w:bCs/>
                <w:color w:val="000000"/>
                <w:sz w:val="24"/>
                <w:szCs w:val="28"/>
              </w:rPr>
            </w:pPr>
            <w:r>
              <w:rPr>
                <w:rFonts w:hint="eastAsia" w:ascii="宋体" w:hAnsi="宋体" w:eastAsia="宋体" w:cs="宋体"/>
                <w:b/>
                <w:bCs/>
                <w:color w:val="000000"/>
                <w:sz w:val="24"/>
                <w:szCs w:val="28"/>
              </w:rPr>
              <w:t>隐私机器学习</w:t>
            </w:r>
          </w:p>
        </w:tc>
        <w:tc>
          <w:tcPr>
            <w:tcW w:w="4258" w:type="dxa"/>
            <w:vAlign w:val="center"/>
          </w:tcPr>
          <w:p>
            <w:pPr>
              <w:spacing w:line="360" w:lineRule="auto"/>
              <w:jc w:val="center"/>
              <w:rPr>
                <w:rFonts w:ascii="宋体" w:hAnsi="宋体" w:eastAsia="宋体" w:cs="宋体"/>
                <w:b/>
                <w:bCs/>
                <w:color w:val="000000"/>
                <w:sz w:val="24"/>
                <w:szCs w:val="28"/>
              </w:rPr>
            </w:pPr>
            <w:r>
              <w:rPr>
                <w:rFonts w:hint="eastAsia" w:ascii="宋体" w:hAnsi="宋体" w:eastAsia="宋体" w:cs="宋体"/>
                <w:b/>
                <w:bCs/>
                <w:color w:val="000000"/>
                <w:sz w:val="24"/>
                <w:szCs w:val="28"/>
              </w:rPr>
              <w:t>密态统计分析</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98" w:hRule="atLeast"/>
        </w:trPr>
        <w:tc>
          <w:tcPr>
            <w:tcW w:w="3839" w:type="dxa"/>
            <w:vAlign w:val="center"/>
          </w:tcPr>
          <w:p>
            <w:pPr>
              <w:spacing w:line="360" w:lineRule="auto"/>
              <w:jc w:val="center"/>
              <w:rPr>
                <w:rFonts w:ascii="宋体" w:hAnsi="宋体" w:eastAsia="宋体" w:cs="宋体"/>
                <w:bCs/>
                <w:color w:val="000000"/>
                <w:sz w:val="24"/>
                <w:szCs w:val="28"/>
              </w:rPr>
            </w:pPr>
            <w:r>
              <w:rPr>
                <w:rFonts w:ascii="宋体" w:hAnsi="宋体" w:eastAsia="宋体" w:cs="宋体"/>
                <w:bCs/>
                <w:color w:val="000000"/>
                <w:sz w:val="24"/>
                <w:szCs w:val="28"/>
              </w:rPr>
              <w:t>决策树</w:t>
            </w:r>
          </w:p>
        </w:tc>
        <w:tc>
          <w:tcPr>
            <w:tcW w:w="4258" w:type="dxa"/>
            <w:vAlign w:val="center"/>
          </w:tcPr>
          <w:p>
            <w:pPr>
              <w:pBdr>
                <w:bottom w:val="none" w:color="auto" w:sz="0" w:space="0"/>
              </w:pBdr>
              <w:spacing w:line="360" w:lineRule="auto"/>
              <w:jc w:val="center"/>
              <w:rPr>
                <w:rFonts w:ascii="宋体" w:hAnsi="宋体" w:eastAsia="宋体" w:cs="宋体"/>
                <w:bCs/>
                <w:color w:val="000000"/>
                <w:sz w:val="24"/>
                <w:szCs w:val="28"/>
              </w:rPr>
            </w:pPr>
            <w:r>
              <w:rPr>
                <w:rFonts w:ascii="宋体" w:hAnsi="宋体" w:eastAsia="宋体" w:cs="宋体"/>
                <w:bCs/>
                <w:color w:val="000000"/>
                <w:sz w:val="24"/>
                <w:szCs w:val="28"/>
              </w:rPr>
              <w:t>分箱统计</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70" w:hRule="atLeast"/>
        </w:trPr>
        <w:tc>
          <w:tcPr>
            <w:tcW w:w="3839" w:type="dxa"/>
            <w:vAlign w:val="center"/>
          </w:tcPr>
          <w:p>
            <w:pPr>
              <w:spacing w:line="360" w:lineRule="auto"/>
              <w:jc w:val="center"/>
              <w:rPr>
                <w:rFonts w:ascii="宋体" w:hAnsi="宋体" w:eastAsia="宋体" w:cs="宋体"/>
                <w:bCs/>
                <w:color w:val="000000"/>
                <w:sz w:val="24"/>
                <w:szCs w:val="28"/>
              </w:rPr>
            </w:pPr>
            <w:r>
              <w:rPr>
                <w:rFonts w:ascii="宋体" w:hAnsi="宋体" w:eastAsia="宋体" w:cs="宋体"/>
                <w:bCs/>
                <w:color w:val="000000"/>
                <w:sz w:val="24"/>
                <w:szCs w:val="28"/>
              </w:rPr>
              <w:t>逻辑回归</w:t>
            </w:r>
          </w:p>
        </w:tc>
        <w:tc>
          <w:tcPr>
            <w:tcW w:w="4258" w:type="dxa"/>
            <w:vAlign w:val="center"/>
          </w:tcPr>
          <w:p>
            <w:pPr>
              <w:pBdr>
                <w:bottom w:val="none" w:color="auto" w:sz="0" w:space="0"/>
              </w:pBdr>
              <w:spacing w:line="360" w:lineRule="auto"/>
              <w:jc w:val="center"/>
              <w:rPr>
                <w:rFonts w:ascii="宋体" w:hAnsi="宋体" w:eastAsia="宋体" w:cs="宋体"/>
                <w:bCs/>
                <w:color w:val="000000"/>
                <w:sz w:val="24"/>
                <w:szCs w:val="28"/>
              </w:rPr>
            </w:pPr>
            <w:r>
              <w:rPr>
                <w:rFonts w:hint="eastAsia" w:ascii="宋体" w:hAnsi="宋体" w:eastAsia="宋体" w:cs="宋体"/>
                <w:bCs/>
                <w:color w:val="000000"/>
                <w:sz w:val="24"/>
                <w:szCs w:val="28"/>
              </w:rPr>
              <w:t>时序分析</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85" w:hRule="atLeast"/>
        </w:trPr>
        <w:tc>
          <w:tcPr>
            <w:tcW w:w="3839" w:type="dxa"/>
            <w:vAlign w:val="center"/>
          </w:tcPr>
          <w:p>
            <w:pPr>
              <w:spacing w:line="360" w:lineRule="auto"/>
              <w:jc w:val="center"/>
              <w:rPr>
                <w:rFonts w:ascii="宋体" w:hAnsi="宋体" w:eastAsia="宋体" w:cs="宋体"/>
                <w:bCs/>
                <w:color w:val="000000"/>
                <w:sz w:val="24"/>
                <w:szCs w:val="28"/>
              </w:rPr>
            </w:pPr>
            <w:r>
              <w:rPr>
                <w:rFonts w:ascii="宋体" w:hAnsi="宋体" w:eastAsia="宋体" w:cs="宋体"/>
                <w:bCs/>
                <w:color w:val="000000"/>
                <w:sz w:val="24"/>
                <w:szCs w:val="28"/>
              </w:rPr>
              <w:t>主成分分析</w:t>
            </w:r>
          </w:p>
        </w:tc>
        <w:tc>
          <w:tcPr>
            <w:tcW w:w="4258" w:type="dxa"/>
            <w:vAlign w:val="center"/>
          </w:tcPr>
          <w:p>
            <w:pPr>
              <w:pBdr>
                <w:bottom w:val="none" w:color="auto" w:sz="0" w:space="0"/>
              </w:pBdr>
              <w:spacing w:line="360" w:lineRule="auto"/>
              <w:jc w:val="center"/>
              <w:rPr>
                <w:rFonts w:ascii="宋体" w:hAnsi="宋体" w:eastAsia="宋体" w:cs="宋体"/>
                <w:bCs/>
                <w:color w:val="000000"/>
                <w:sz w:val="24"/>
                <w:szCs w:val="28"/>
              </w:rPr>
            </w:pPr>
            <w:r>
              <w:rPr>
                <w:rFonts w:ascii="宋体" w:hAnsi="宋体" w:eastAsia="宋体" w:cs="宋体"/>
                <w:bCs/>
                <w:color w:val="000000"/>
                <w:sz w:val="24"/>
                <w:szCs w:val="28"/>
              </w:rPr>
              <w:t>全表统计</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98" w:hRule="atLeast"/>
        </w:trPr>
        <w:tc>
          <w:tcPr>
            <w:tcW w:w="3839" w:type="dxa"/>
            <w:vAlign w:val="center"/>
          </w:tcPr>
          <w:p>
            <w:pPr>
              <w:spacing w:line="360" w:lineRule="auto"/>
              <w:jc w:val="center"/>
              <w:rPr>
                <w:rFonts w:ascii="宋体" w:hAnsi="宋体" w:eastAsia="宋体" w:cs="宋体"/>
                <w:bCs/>
                <w:color w:val="000000"/>
                <w:sz w:val="24"/>
                <w:szCs w:val="28"/>
              </w:rPr>
            </w:pPr>
            <w:r>
              <w:rPr>
                <w:rFonts w:ascii="宋体" w:hAnsi="宋体" w:eastAsia="宋体" w:cs="宋体"/>
                <w:bCs/>
                <w:color w:val="000000"/>
                <w:sz w:val="24"/>
                <w:szCs w:val="28"/>
              </w:rPr>
              <w:t>聚类</w:t>
            </w:r>
          </w:p>
        </w:tc>
        <w:tc>
          <w:tcPr>
            <w:tcW w:w="4258" w:type="dxa"/>
            <w:vAlign w:val="center"/>
          </w:tcPr>
          <w:p>
            <w:pPr>
              <w:spacing w:line="360" w:lineRule="auto"/>
              <w:jc w:val="center"/>
              <w:rPr>
                <w:rFonts w:ascii="宋体" w:hAnsi="宋体" w:eastAsia="宋体" w:cs="宋体"/>
                <w:bCs/>
                <w:color w:val="000000"/>
                <w:sz w:val="24"/>
                <w:szCs w:val="28"/>
              </w:rPr>
            </w:pPr>
            <w:r>
              <w:rPr>
                <w:rFonts w:ascii="宋体" w:hAnsi="宋体" w:eastAsia="宋体" w:cs="宋体"/>
                <w:bCs/>
                <w:color w:val="000000"/>
                <w:sz w:val="24"/>
                <w:szCs w:val="28"/>
              </w:rPr>
              <w:t>数据降维</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85" w:hRule="atLeast"/>
        </w:trPr>
        <w:tc>
          <w:tcPr>
            <w:tcW w:w="3839" w:type="dxa"/>
            <w:vAlign w:val="center"/>
          </w:tcPr>
          <w:p>
            <w:pPr>
              <w:spacing w:line="360" w:lineRule="auto"/>
              <w:jc w:val="center"/>
              <w:rPr>
                <w:rFonts w:ascii="宋体" w:hAnsi="宋体" w:eastAsia="宋体" w:cs="宋体"/>
                <w:bCs/>
                <w:color w:val="000000"/>
                <w:sz w:val="24"/>
                <w:szCs w:val="28"/>
              </w:rPr>
            </w:pPr>
            <w:r>
              <w:rPr>
                <w:rFonts w:ascii="宋体" w:hAnsi="宋体" w:eastAsia="宋体" w:cs="宋体"/>
                <w:bCs/>
                <w:color w:val="000000"/>
                <w:sz w:val="24"/>
                <w:szCs w:val="28"/>
              </w:rPr>
              <w:t>神经网络</w:t>
            </w:r>
          </w:p>
        </w:tc>
        <w:tc>
          <w:tcPr>
            <w:tcW w:w="4258" w:type="dxa"/>
            <w:vAlign w:val="center"/>
          </w:tcPr>
          <w:p>
            <w:pPr>
              <w:pBdr>
                <w:bottom w:val="none" w:color="auto" w:sz="0" w:space="0"/>
              </w:pBdr>
              <w:spacing w:line="360" w:lineRule="auto"/>
              <w:jc w:val="center"/>
              <w:rPr>
                <w:rFonts w:ascii="宋体" w:hAnsi="宋体" w:eastAsia="宋体" w:cs="宋体"/>
                <w:bCs/>
                <w:color w:val="000000"/>
                <w:sz w:val="24"/>
                <w:szCs w:val="28"/>
              </w:rPr>
            </w:pPr>
            <w:r>
              <w:rPr>
                <w:rFonts w:ascii="宋体" w:hAnsi="宋体" w:eastAsia="宋体" w:cs="宋体"/>
                <w:bCs/>
                <w:color w:val="000000"/>
                <w:sz w:val="24"/>
                <w:szCs w:val="28"/>
              </w:rPr>
              <w:t>回归分析、方差分析</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85" w:hRule="atLeast"/>
        </w:trPr>
        <w:tc>
          <w:tcPr>
            <w:tcW w:w="3839" w:type="dxa"/>
            <w:vAlign w:val="center"/>
          </w:tcPr>
          <w:p>
            <w:pPr>
              <w:spacing w:line="360" w:lineRule="auto"/>
              <w:jc w:val="center"/>
              <w:rPr>
                <w:rFonts w:ascii="宋体" w:hAnsi="宋体" w:eastAsia="宋体" w:cs="宋体"/>
                <w:bCs/>
                <w:color w:val="000000"/>
                <w:sz w:val="24"/>
                <w:szCs w:val="28"/>
              </w:rPr>
            </w:pPr>
            <w:r>
              <w:rPr>
                <w:rFonts w:ascii="宋体" w:hAnsi="宋体" w:eastAsia="宋体" w:cs="宋体"/>
                <w:bCs/>
                <w:color w:val="000000"/>
                <w:sz w:val="24"/>
                <w:szCs w:val="28"/>
              </w:rPr>
              <w:t>支撑向量机</w:t>
            </w:r>
          </w:p>
        </w:tc>
        <w:tc>
          <w:tcPr>
            <w:tcW w:w="4258" w:type="dxa"/>
            <w:vAlign w:val="center"/>
          </w:tcPr>
          <w:p>
            <w:pPr>
              <w:pBdr>
                <w:bottom w:val="none" w:color="auto" w:sz="0" w:space="0"/>
              </w:pBdr>
              <w:spacing w:line="360" w:lineRule="auto"/>
              <w:jc w:val="center"/>
              <w:rPr>
                <w:rFonts w:ascii="宋体" w:hAnsi="宋体" w:eastAsia="宋体" w:cs="宋体"/>
                <w:bCs/>
                <w:color w:val="000000"/>
                <w:sz w:val="24"/>
                <w:szCs w:val="28"/>
              </w:rPr>
            </w:pPr>
            <w:r>
              <w:rPr>
                <w:rFonts w:ascii="宋体" w:hAnsi="宋体" w:eastAsia="宋体" w:cs="宋体"/>
                <w:bCs/>
                <w:color w:val="000000"/>
                <w:sz w:val="24"/>
                <w:szCs w:val="28"/>
              </w:rPr>
              <w:t>隐私求交、匿名信息检索</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85" w:hRule="atLeast"/>
        </w:trPr>
        <w:tc>
          <w:tcPr>
            <w:tcW w:w="3839" w:type="dxa"/>
            <w:vAlign w:val="center"/>
          </w:tcPr>
          <w:p>
            <w:pPr>
              <w:spacing w:line="360" w:lineRule="auto"/>
              <w:jc w:val="center"/>
              <w:rPr>
                <w:rFonts w:ascii="宋体" w:hAnsi="宋体" w:eastAsia="宋体" w:cs="宋体"/>
                <w:bCs/>
                <w:color w:val="000000"/>
                <w:sz w:val="24"/>
                <w:szCs w:val="28"/>
              </w:rPr>
            </w:pPr>
            <w:r>
              <w:rPr>
                <w:rFonts w:ascii="宋体" w:hAnsi="宋体" w:eastAsia="宋体" w:cs="宋体"/>
                <w:bCs/>
                <w:color w:val="000000"/>
                <w:sz w:val="24"/>
                <w:szCs w:val="28"/>
              </w:rPr>
              <w:t>...</w:t>
            </w:r>
          </w:p>
        </w:tc>
        <w:tc>
          <w:tcPr>
            <w:tcW w:w="4258" w:type="dxa"/>
            <w:vAlign w:val="center"/>
          </w:tcPr>
          <w:p>
            <w:pPr>
              <w:spacing w:line="360" w:lineRule="auto"/>
              <w:jc w:val="center"/>
              <w:rPr>
                <w:rFonts w:ascii="宋体" w:hAnsi="宋体" w:eastAsia="宋体" w:cs="宋体"/>
                <w:bCs/>
                <w:color w:val="000000"/>
                <w:sz w:val="24"/>
                <w:szCs w:val="28"/>
              </w:rPr>
            </w:pPr>
            <w:r>
              <w:rPr>
                <w:rFonts w:ascii="宋体" w:hAnsi="宋体" w:eastAsia="宋体" w:cs="宋体"/>
                <w:bCs/>
                <w:color w:val="000000"/>
                <w:sz w:val="24"/>
                <w:szCs w:val="28"/>
              </w:rPr>
              <w:t>...</w:t>
            </w:r>
          </w:p>
        </w:tc>
      </w:tr>
    </w:tbl>
    <w:p>
      <w:pPr>
        <w:spacing w:line="360" w:lineRule="auto"/>
        <w:ind w:left="0" w:firstLineChars="0"/>
        <w:rPr>
          <w:rFonts w:ascii="宋体" w:hAnsi="宋体" w:eastAsia="宋体" w:cs="宋体"/>
          <w:b/>
          <w:color w:val="000000"/>
          <w:sz w:val="24"/>
        </w:rPr>
      </w:pPr>
    </w:p>
    <w:p>
      <w:pPr>
        <w:pBdr>
          <w:bottom w:val="none" w:color="auto" w:sz="0" w:space="0"/>
        </w:pBdr>
        <w:spacing w:line="360" w:lineRule="auto"/>
        <w:ind w:left="0" w:firstLineChars="200"/>
        <w:rPr>
          <w:rFonts w:ascii="宋体" w:hAnsi="宋体" w:eastAsia="宋体" w:cs="宋体"/>
          <w:b/>
          <w:color w:val="000000"/>
          <w:sz w:val="24"/>
        </w:rPr>
      </w:pPr>
      <w:r>
        <w:rPr>
          <w:rFonts w:ascii="宋体" w:hAnsi="宋体" w:eastAsia="宋体" w:cs="宋体"/>
          <w:b/>
          <w:color w:val="000000"/>
          <w:sz w:val="24"/>
        </w:rPr>
        <w:t>模型层（开发）：</w:t>
      </w:r>
      <w:r>
        <w:rPr>
          <w:rFonts w:ascii="宋体" w:hAnsi="宋体" w:eastAsia="宋体" w:cs="宋体"/>
          <w:b w:val="0"/>
          <w:color w:val="000000"/>
          <w:sz w:val="24"/>
        </w:rPr>
        <w:t>在模型层，我们将设计实现模型的</w:t>
      </w:r>
      <w:r>
        <w:rPr>
          <w:rFonts w:ascii="宋体" w:hAnsi="宋体" w:eastAsia="宋体" w:cs="宋体"/>
          <w:b/>
          <w:color w:val="000000"/>
          <w:sz w:val="24"/>
        </w:rPr>
        <w:t>自动导入</w:t>
      </w:r>
      <w:r>
        <w:rPr>
          <w:rFonts w:ascii="宋体" w:hAnsi="宋体" w:eastAsia="宋体" w:cs="宋体"/>
          <w:b w:val="0"/>
          <w:color w:val="000000"/>
          <w:sz w:val="24"/>
        </w:rPr>
        <w:t>、</w:t>
      </w:r>
      <w:r>
        <w:rPr>
          <w:rFonts w:ascii="宋体" w:hAnsi="宋体" w:eastAsia="宋体" w:cs="宋体"/>
          <w:b/>
          <w:color w:val="000000"/>
          <w:sz w:val="24"/>
        </w:rPr>
        <w:t>动态装载</w:t>
      </w:r>
      <w:r>
        <w:rPr>
          <w:rFonts w:ascii="宋体" w:hAnsi="宋体" w:eastAsia="宋体" w:cs="宋体"/>
          <w:b w:val="0"/>
          <w:color w:val="000000"/>
          <w:sz w:val="24"/>
        </w:rPr>
        <w:t>和</w:t>
      </w:r>
      <w:r>
        <w:rPr>
          <w:rFonts w:ascii="宋体" w:hAnsi="宋体" w:eastAsia="宋体" w:cs="宋体"/>
          <w:b/>
          <w:color w:val="000000"/>
          <w:sz w:val="24"/>
        </w:rPr>
        <w:t>隐私保护</w:t>
      </w:r>
      <w:r>
        <w:rPr>
          <w:rFonts w:ascii="宋体" w:hAnsi="宋体" w:eastAsia="宋体" w:cs="宋体"/>
          <w:b w:val="0"/>
          <w:color w:val="000000"/>
          <w:sz w:val="24"/>
        </w:rPr>
        <w:t>三种功能。具体来说，模型的自动导入功能支持使用者将本地训练好的模型转换为密态形式导入到密态计算引擎中，引擎可以为使用者的本地模型提供隐私保护功能，确保模型在与外部参与方进行联合计算时信息不被泄露；模型的动态装载功能为使用者提供模型自定义模块和模型载入接口，支持使用者利用密态计算引擎提供的通用算法和可扩展自定义算法来构建自定义的模型，构建好的模型可以动态地装入本地平台中，而无需更新其他参与节点的平台代码，从而实现了模型的灵活可配置、动态可插拔。此外，因为其他节点无需具有模型完整代码，模型隐私也因此得到了保护。最后，我们通过将模型解耦为多个算法的组合，确保除模型的拥有者外，模型的算法和参数隐私不会泄露给其他参与节点，进一步保护了模型隐私。</w:t>
      </w:r>
    </w:p>
    <w:p>
      <w:pPr>
        <w:pBdr>
          <w:bottom w:val="none" w:color="auto" w:sz="0" w:space="0"/>
        </w:pBdr>
        <w:spacing w:line="360" w:lineRule="auto"/>
        <w:ind w:left="0" w:firstLineChars="200"/>
        <w:rPr>
          <w:rFonts w:ascii="宋体" w:hAnsi="宋体" w:eastAsia="宋体" w:cs="宋体"/>
          <w:color w:val="000000"/>
          <w:sz w:val="24"/>
          <w:shd w:val="clear" w:color="auto" w:fill="FFFFFF"/>
        </w:rPr>
      </w:pPr>
      <w:r>
        <w:rPr>
          <w:rFonts w:ascii="宋体" w:hAnsi="宋体" w:eastAsia="宋体" w:cs="宋体"/>
          <w:b/>
          <w:color w:val="000000"/>
          <w:sz w:val="24"/>
        </w:rPr>
        <w:t>通信接口设计</w:t>
      </w:r>
      <w:r>
        <w:rPr>
          <w:rFonts w:ascii="宋体" w:hAnsi="宋体" w:eastAsia="宋体" w:cs="宋体"/>
          <w:color w:val="000000"/>
          <w:sz w:val="24"/>
        </w:rPr>
        <w:t>：我们将为密态计算引擎之间的加密数据通信设计通信接口。接口将基于符合信通院标准的通信协议进行设计，可以为不同形态的密态计算引擎间互相通信提供支持。对于节点与节点间的通信服务，我们将采用国密通信算法实现对链路的加密（如DH密钥交换算法），并支持链路两端的发起方和接收方互相进行身份认证。</w:t>
      </w:r>
      <w:r>
        <w:rPr>
          <w:rFonts w:ascii="宋体" w:hAnsi="宋体" w:eastAsia="宋体" w:cs="宋体"/>
          <w:color w:val="000000"/>
          <w:sz w:val="24"/>
          <w:shd w:val="clear" w:color="auto" w:fill="FFFFFF"/>
        </w:rPr>
        <w:t>此外，通信接口中还将预留密态计算引擎与</w:t>
      </w:r>
      <w:r>
        <w:rPr>
          <w:rFonts w:ascii="宋体" w:hAnsi="宋体" w:eastAsia="宋体" w:cs="宋体"/>
          <w:b/>
          <w:color w:val="000000"/>
          <w:sz w:val="24"/>
          <w:shd w:val="clear" w:color="auto" w:fill="FFFFFF"/>
        </w:rPr>
        <w:t>大纬链</w:t>
      </w:r>
      <w:r>
        <w:rPr>
          <w:rFonts w:ascii="宋体" w:hAnsi="宋体" w:eastAsia="宋体" w:cs="宋体"/>
          <w:color w:val="000000"/>
          <w:sz w:val="24"/>
          <w:shd w:val="clear" w:color="auto" w:fill="FFFFFF"/>
        </w:rPr>
        <w:t>结合的接口，基于该接口，隐私计算节点可以将计算过程的关键信息摘要哈希上链，包含数据模型的元信息（如明密属性、隶属关系等）、关键参数、计算结果等内容，以确保数据、结果、中间交付的存证与授权。通信接口的功能如图6所示。</w:t>
      </w:r>
    </w:p>
    <w:p>
      <w:pPr>
        <w:snapToGrid/>
        <w:spacing w:line="240" w:lineRule="auto"/>
        <w:jc w:val="both"/>
        <w:rPr>
          <w:rFonts w:ascii="宋体" w:hAnsi="宋体" w:eastAsia="宋体" w:cs="宋体"/>
          <w:b/>
          <w:sz w:val="28"/>
        </w:rPr>
      </w:pPr>
    </w:p>
    <w:p>
      <w:pPr>
        <w:snapToGrid/>
        <w:spacing w:line="240" w:lineRule="auto"/>
        <w:jc w:val="center"/>
        <w:rPr>
          <w:rFonts w:ascii="宋体" w:hAnsi="宋体" w:eastAsia="宋体" w:cs="宋体"/>
          <w:b/>
          <w:sz w:val="28"/>
        </w:rPr>
      </w:pPr>
      <w:r>
        <w:rPr>
          <w:rFonts w:ascii="宋体" w:hAnsi="宋体" w:eastAsia="宋体" w:cs="宋体"/>
          <w:b/>
          <w:sz w:val="28"/>
        </w:rPr>
        <w:drawing>
          <wp:inline distT="0" distB="0" distL="0" distR="0">
            <wp:extent cx="4878705" cy="257937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9"/>
                    <a:srcRect/>
                    <a:stretch>
                      <a:fillRect/>
                    </a:stretch>
                  </pic:blipFill>
                  <pic:spPr>
                    <a:xfrm>
                      <a:off x="0" y="0"/>
                      <a:ext cx="4879285" cy="2579682"/>
                    </a:xfrm>
                    <a:prstGeom prst="rect">
                      <a:avLst/>
                    </a:prstGeom>
                  </pic:spPr>
                </pic:pic>
              </a:graphicData>
            </a:graphic>
          </wp:inline>
        </w:drawing>
      </w:r>
    </w:p>
    <w:p>
      <w:pPr>
        <w:pBdr>
          <w:bottom w:val="none" w:color="auto" w:sz="0" w:space="0"/>
        </w:pBdr>
        <w:spacing w:line="360" w:lineRule="auto"/>
        <w:ind w:left="0" w:firstLineChars="200"/>
        <w:jc w:val="center"/>
        <w:rPr>
          <w:rFonts w:ascii="宋体" w:hAnsi="宋体" w:eastAsia="宋体" w:cs="宋体"/>
          <w:color w:val="000000"/>
          <w:sz w:val="24"/>
        </w:rPr>
      </w:pPr>
      <w:r>
        <w:rPr>
          <w:rFonts w:ascii="宋体" w:hAnsi="宋体" w:eastAsia="宋体" w:cs="宋体"/>
          <w:color w:val="000000"/>
          <w:sz w:val="24"/>
        </w:rPr>
        <w:t>图6. 通信接口功能示意图</w:t>
      </w:r>
    </w:p>
    <w:p>
      <w:pPr>
        <w:snapToGrid/>
        <w:spacing w:line="360" w:lineRule="auto"/>
        <w:rPr>
          <w:rFonts w:ascii="宋体" w:hAnsi="宋体" w:eastAsia="宋体" w:cs="宋体"/>
          <w:sz w:val="24"/>
        </w:rPr>
      </w:pPr>
      <w:r>
        <w:rPr>
          <w:rFonts w:ascii="宋体" w:hAnsi="宋体" w:eastAsia="宋体" w:cs="宋体"/>
          <w:b/>
          <w:i w:val="0"/>
          <w:strike w:val="0"/>
          <w:color w:val="000000"/>
          <w:sz w:val="24"/>
          <w:u w:val="none"/>
        </w:rPr>
        <w:t>2.2管理工具</w:t>
      </w:r>
    </w:p>
    <w:p>
      <w:pPr>
        <w:snapToGrid/>
        <w:spacing w:before="0" w:after="0" w:line="360" w:lineRule="auto"/>
        <w:ind w:left="0" w:right="0"/>
        <w:jc w:val="both"/>
      </w:pPr>
      <w:r>
        <w:rPr>
          <w:rFonts w:ascii="宋体" w:hAnsi="宋体" w:eastAsia="宋体" w:cs="宋体"/>
          <w:i w:val="0"/>
          <w:strike w:val="0"/>
          <w:color w:val="000000"/>
          <w:sz w:val="24"/>
          <w:u w:val="none"/>
        </w:rPr>
        <w:t>2.2.1运维工具</w:t>
      </w:r>
    </w:p>
    <w:p>
      <w:pPr>
        <w:pBdr>
          <w:bottom w:val="none" w:color="auto" w:sz="0" w:space="0"/>
        </w:pBdr>
        <w:snapToGrid/>
        <w:spacing w:line="360" w:lineRule="auto"/>
        <w:ind w:left="0" w:firstLineChars="20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平台提供基于终端的运维操作工具，通过对于容器的编排和管理等能力，实现对于节点和作业的运维管理以及对于硬件等状态的监控。运维工具通过提供便捷的运维控制指令，为运维人员提供了易用的使用方式。</w:t>
      </w:r>
    </w:p>
    <w:p>
      <w:pPr>
        <w:snapToGrid/>
        <w:spacing w:before="0" w:after="0" w:line="360" w:lineRule="auto"/>
        <w:ind w:left="0" w:right="0" w:firstLine="420"/>
        <w:jc w:val="both"/>
        <w:rPr>
          <w:rFonts w:ascii="宋体" w:hAnsi="宋体" w:eastAsia="宋体" w:cs="宋体"/>
          <w:i w:val="0"/>
          <w:strike w:val="0"/>
          <w:color w:val="000000"/>
          <w:sz w:val="24"/>
          <w:u w:val="none"/>
        </w:rPr>
      </w:pPr>
      <w:r>
        <w:rPr>
          <w:rFonts w:ascii="宋体" w:hAnsi="宋体" w:eastAsia="宋体" w:cs="宋体"/>
          <w:i w:val="0"/>
          <w:strike w:val="0"/>
          <w:color w:val="000000"/>
          <w:sz w:val="24"/>
          <w:u w:val="none"/>
        </w:rPr>
        <w:t>运维操作工具提供易用的终端系统状态监控组件，能够实现对于不同节点的资源状态和节点使用情况的监控。系统监控工具能够将系统的运行情况和节点的设备状态、资源状态及时</w:t>
      </w:r>
      <w:r>
        <w:rPr>
          <w:rFonts w:ascii="宋体" w:hAnsi="宋体" w:eastAsia="宋体" w:cs="宋体"/>
          <w:strike w:val="0"/>
          <w:color w:val="000000"/>
          <w:sz w:val="24"/>
          <w:u w:val="none"/>
        </w:rPr>
        <w:t>地</w:t>
      </w:r>
      <w:r>
        <w:rPr>
          <w:rFonts w:ascii="宋体" w:hAnsi="宋体" w:eastAsia="宋体" w:cs="宋体"/>
          <w:i w:val="0"/>
          <w:strike w:val="0"/>
          <w:color w:val="000000"/>
          <w:sz w:val="24"/>
          <w:u w:val="none"/>
        </w:rPr>
        <w:t>反映出来，业务人员和运维人员可以通过系统监测工具实时监控多源数据可信融合计算平台的运行情况，从而实时对平台运行进行调整。</w:t>
      </w:r>
    </w:p>
    <w:p>
      <w:pPr>
        <w:pBdr>
          <w:bottom w:val="none" w:color="auto" w:sz="0" w:space="0"/>
        </w:pBdr>
        <w:snapToGrid/>
        <w:spacing w:before="0" w:after="0" w:line="360" w:lineRule="auto"/>
        <w:ind w:left="0" w:right="0" w:firstLine="420"/>
        <w:jc w:val="both"/>
      </w:pPr>
      <w:r>
        <w:rPr>
          <w:rFonts w:ascii="宋体" w:hAnsi="宋体" w:eastAsia="宋体" w:cs="宋体"/>
          <w:i w:val="0"/>
          <w:strike w:val="0"/>
          <w:color w:val="000000"/>
          <w:sz w:val="24"/>
          <w:u w:val="none"/>
        </w:rPr>
        <w:t>运维工具能够实现对于全局调度和本地调度的控制。在全局维度而言，实现的功能包括如下：</w:t>
      </w:r>
    </w:p>
    <w:p>
      <w:pPr>
        <w:snapToGrid/>
        <w:spacing w:before="0" w:after="0" w:line="360" w:lineRule="auto"/>
        <w:ind w:left="0" w:right="0"/>
        <w:jc w:val="both"/>
      </w:pPr>
      <w:r>
        <w:tab/>
      </w:r>
      <w:r>
        <w:rPr>
          <w:rFonts w:ascii="宋体" w:hAnsi="宋体" w:eastAsia="宋体" w:cs="宋体"/>
          <w:i w:val="0"/>
          <w:strike w:val="0"/>
          <w:color w:val="000000"/>
          <w:sz w:val="24"/>
          <w:u w:val="none"/>
        </w:rPr>
        <w:t>1）实现节点的注册、停用，注销等能力。能够把业务机构注册为对应的多源数据融合计算节点，从而便捷的使业务机构承担任务发布者或者任务参与者的身份，并提供对应的管理功能。</w:t>
      </w:r>
    </w:p>
    <w:p>
      <w:pPr>
        <w:snapToGrid/>
        <w:spacing w:before="0" w:after="0" w:line="360" w:lineRule="auto"/>
        <w:ind w:left="0" w:right="0"/>
        <w:jc w:val="both"/>
      </w:pPr>
      <w:r>
        <w:tab/>
      </w:r>
      <w:r>
        <w:rPr>
          <w:rFonts w:ascii="宋体" w:hAnsi="宋体" w:eastAsia="宋体" w:cs="宋体"/>
          <w:i w:val="0"/>
          <w:strike w:val="0"/>
          <w:color w:val="000000"/>
          <w:sz w:val="24"/>
          <w:u w:val="none"/>
        </w:rPr>
        <w:t>2）实现任务的启停、任务状态的查看、同步等能力。能够控制任务整体的运行过程，可以通过提高部分任务的优先级，使某些任务更先执行，也可以对任务的执行状态进行管理。</w:t>
      </w:r>
    </w:p>
    <w:p>
      <w:pPr>
        <w:snapToGrid/>
        <w:spacing w:before="0" w:after="0" w:line="360" w:lineRule="auto"/>
        <w:ind w:left="0" w:right="0"/>
        <w:jc w:val="both"/>
      </w:pPr>
      <w:r>
        <w:tab/>
      </w:r>
      <w:r>
        <w:rPr>
          <w:rFonts w:ascii="宋体" w:hAnsi="宋体" w:eastAsia="宋体" w:cs="宋体"/>
          <w:i w:val="0"/>
          <w:strike w:val="0"/>
          <w:color w:val="000000"/>
          <w:sz w:val="24"/>
          <w:u w:val="none"/>
        </w:rPr>
        <w:t>3）对调度策略的控制和管理能力。能够选择任务的全局分发和执行策略，从而更好的调度系统执行任务。</w:t>
      </w:r>
    </w:p>
    <w:p>
      <w:pPr>
        <w:snapToGrid/>
        <w:spacing w:before="0" w:after="0" w:line="360" w:lineRule="auto"/>
        <w:ind w:left="0" w:right="0"/>
        <w:jc w:val="both"/>
      </w:pPr>
      <w:r>
        <w:tab/>
      </w:r>
      <w:r>
        <w:rPr>
          <w:rFonts w:ascii="宋体" w:hAnsi="宋体" w:eastAsia="宋体" w:cs="宋体"/>
          <w:i w:val="0"/>
          <w:strike w:val="0"/>
          <w:color w:val="000000"/>
          <w:sz w:val="24"/>
          <w:u w:val="none"/>
        </w:rPr>
        <w:t>在本地维度而言，实现的功能如下：</w:t>
      </w:r>
    </w:p>
    <w:p>
      <w:pPr>
        <w:snapToGrid/>
        <w:spacing w:before="0" w:after="0" w:line="360" w:lineRule="auto"/>
        <w:ind w:left="0" w:right="0"/>
        <w:jc w:val="both"/>
      </w:pPr>
      <w:r>
        <w:tab/>
      </w:r>
      <w:r>
        <w:rPr>
          <w:rFonts w:ascii="宋体" w:hAnsi="宋体" w:eastAsia="宋体" w:cs="宋体"/>
          <w:i w:val="0"/>
          <w:strike w:val="0"/>
          <w:color w:val="000000"/>
          <w:sz w:val="24"/>
          <w:u w:val="none"/>
        </w:rPr>
        <w:t>1）实现对数据元信息的管理。通过设定数据元信息，控制了节点对外暴露的信息标签和信息量，从而能够在计算节点达成一致的情况下，更好的开展计算任务。</w:t>
      </w:r>
    </w:p>
    <w:p>
      <w:pPr>
        <w:snapToGrid/>
        <w:spacing w:before="0" w:after="0" w:line="360" w:lineRule="auto"/>
        <w:ind w:left="0" w:right="0"/>
        <w:jc w:val="both"/>
      </w:pPr>
      <w:r>
        <w:tab/>
      </w:r>
      <w:r>
        <w:rPr>
          <w:rFonts w:ascii="宋体" w:hAnsi="宋体" w:eastAsia="宋体" w:cs="宋体"/>
          <w:i w:val="0"/>
          <w:strike w:val="0"/>
          <w:color w:val="000000"/>
          <w:sz w:val="24"/>
          <w:u w:val="none"/>
        </w:rPr>
        <w:t>2）实现对于本地计算资源的管理，能够控制当前节点的计算资源，实现更好的资源-效率均衡。</w:t>
      </w:r>
    </w:p>
    <w:p>
      <w:pPr>
        <w:snapToGrid/>
        <w:spacing w:before="0" w:after="0" w:line="360" w:lineRule="auto"/>
        <w:ind w:left="0" w:right="0"/>
        <w:jc w:val="both"/>
      </w:pPr>
      <w:r>
        <w:tab/>
      </w:r>
      <w:r>
        <w:rPr>
          <w:rFonts w:ascii="宋体" w:hAnsi="宋体" w:eastAsia="宋体" w:cs="宋体"/>
          <w:i w:val="0"/>
          <w:strike w:val="0"/>
          <w:color w:val="000000"/>
          <w:sz w:val="24"/>
          <w:u w:val="none"/>
        </w:rPr>
        <w:t>3）实现节点本地调度策略管理，调控任务在单节点上的运行状态和运行</w:t>
      </w:r>
      <w:r>
        <w:rPr>
          <w:rFonts w:ascii="宋体" w:hAnsi="宋体" w:eastAsia="宋体" w:cs="宋体"/>
          <w:strike w:val="0"/>
          <w:color w:val="000000"/>
          <w:sz w:val="24"/>
          <w:u w:val="none"/>
        </w:rPr>
        <w:t>优先逻辑</w:t>
      </w:r>
      <w:r>
        <w:rPr>
          <w:rFonts w:ascii="宋体" w:hAnsi="宋体" w:eastAsia="宋体" w:cs="宋体"/>
          <w:i w:val="0"/>
          <w:strike w:val="0"/>
          <w:color w:val="000000"/>
          <w:sz w:val="24"/>
          <w:u w:val="none"/>
        </w:rPr>
        <w:t>。</w:t>
      </w:r>
    </w:p>
    <w:p>
      <w:pPr>
        <w:snapToGrid/>
        <w:spacing w:line="360" w:lineRule="auto"/>
      </w:pPr>
    </w:p>
    <w:p>
      <w:pPr>
        <w:snapToGrid/>
        <w:spacing w:line="360" w:lineRule="auto"/>
        <w:rPr>
          <w:rFonts w:ascii="宋体" w:hAnsi="宋体" w:eastAsia="宋体" w:cs="宋体"/>
          <w:b w:val="0"/>
          <w:i w:val="0"/>
          <w:strike w:val="0"/>
          <w:color w:val="000000"/>
          <w:sz w:val="24"/>
          <w:u w:val="none"/>
          <w:shd w:val="clear" w:color="auto" w:fill="auto"/>
        </w:rPr>
      </w:pPr>
      <w:r>
        <w:rPr>
          <w:rFonts w:ascii="宋体" w:hAnsi="宋体" w:eastAsia="宋体" w:cs="宋体"/>
          <w:b w:val="0"/>
          <w:i w:val="0"/>
          <w:strike w:val="0"/>
          <w:color w:val="000000"/>
          <w:sz w:val="24"/>
          <w:u w:val="none"/>
          <w:shd w:val="clear" w:color="auto" w:fill="auto"/>
        </w:rPr>
        <w:t>2.2.2部署管理</w:t>
      </w:r>
    </w:p>
    <w:p>
      <w:pPr>
        <w:snapToGrid/>
        <w:spacing w:before="0" w:after="0" w:line="360" w:lineRule="auto"/>
        <w:ind w:left="0" w:right="0" w:firstLineChars="200"/>
        <w:jc w:val="both"/>
      </w:pPr>
      <w:r>
        <w:rPr>
          <w:rFonts w:ascii="宋体" w:hAnsi="宋体" w:eastAsia="宋体" w:cs="宋体"/>
          <w:i w:val="0"/>
          <w:strike w:val="0"/>
          <w:color w:val="000000"/>
          <w:sz w:val="24"/>
          <w:u w:val="none"/>
        </w:rPr>
        <w:t>1）部署架构</w:t>
      </w:r>
    </w:p>
    <w:p>
      <w:pPr>
        <w:snapToGrid/>
        <w:spacing w:before="0" w:after="0" w:line="360" w:lineRule="auto"/>
        <w:ind w:left="0" w:right="0" w:firstLine="480"/>
        <w:jc w:val="both"/>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在部署过程中，平台为各个参与方提供统一的接入接口，各个参与方被视为平台的隐私计算节点，可以担任不同的角色包括任务发布者和任务参与者，一般而言，任务发布者为数据需求方，任务参与者为数据提供方，值得注意的是，数据需求方也可以作为任务参与者提供数据参与隐私计算。</w:t>
      </w:r>
    </w:p>
    <w:p>
      <w:pPr>
        <w:snapToGrid/>
        <w:spacing w:before="0" w:after="0" w:line="360" w:lineRule="auto"/>
        <w:ind w:left="0" w:right="0" w:firstLine="480"/>
        <w:jc w:val="both"/>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如图7和图8所示，平台提供</w:t>
      </w:r>
      <w:r>
        <w:rPr>
          <w:rFonts w:ascii="宋体" w:hAnsi="宋体" w:eastAsia="宋体" w:cs="宋体"/>
          <w:b/>
          <w:i w:val="0"/>
          <w:strike w:val="0"/>
          <w:color w:val="000000"/>
          <w:sz w:val="24"/>
          <w:u w:val="none"/>
        </w:rPr>
        <w:t>中心化</w:t>
      </w:r>
      <w:r>
        <w:rPr>
          <w:rFonts w:ascii="宋体" w:hAnsi="宋体" w:eastAsia="宋体" w:cs="宋体"/>
          <w:i w:val="0"/>
          <w:strike w:val="0"/>
          <w:color w:val="000000"/>
          <w:sz w:val="24"/>
          <w:u w:val="none"/>
        </w:rPr>
        <w:t>和</w:t>
      </w:r>
      <w:r>
        <w:rPr>
          <w:rFonts w:ascii="宋体" w:hAnsi="宋体" w:eastAsia="宋体" w:cs="宋体"/>
          <w:b/>
          <w:i w:val="0"/>
          <w:strike w:val="0"/>
          <w:color w:val="000000"/>
          <w:sz w:val="24"/>
          <w:u w:val="none"/>
        </w:rPr>
        <w:t>去中心化</w:t>
      </w:r>
      <w:r>
        <w:rPr>
          <w:rFonts w:ascii="宋体" w:hAnsi="宋体" w:eastAsia="宋体" w:cs="宋体"/>
          <w:i w:val="0"/>
          <w:strike w:val="0"/>
          <w:color w:val="000000"/>
          <w:sz w:val="24"/>
          <w:u w:val="none"/>
        </w:rPr>
        <w:t>两种部署方式，并采用</w:t>
      </w:r>
      <w:r>
        <w:rPr>
          <w:rFonts w:ascii="宋体" w:hAnsi="宋体" w:eastAsia="宋体" w:cs="宋体"/>
          <w:b/>
          <w:i w:val="0"/>
          <w:strike w:val="0"/>
          <w:color w:val="000000"/>
          <w:sz w:val="24"/>
          <w:u w:val="none"/>
        </w:rPr>
        <w:t>异步消息触发</w:t>
      </w:r>
      <w:r>
        <w:rPr>
          <w:rFonts w:ascii="宋体" w:hAnsi="宋体" w:eastAsia="宋体" w:cs="宋体"/>
          <w:i w:val="0"/>
          <w:strike w:val="0"/>
          <w:color w:val="000000"/>
          <w:sz w:val="24"/>
          <w:u w:val="none"/>
        </w:rPr>
        <w:t>的方式进行任务执行。</w:t>
      </w:r>
    </w:p>
    <w:p>
      <w:pPr>
        <w:snapToGrid/>
        <w:spacing w:before="0" w:after="0" w:line="360" w:lineRule="auto"/>
        <w:ind w:left="0" w:right="0" w:firstLine="480"/>
        <w:jc w:val="both"/>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在中心化部署模式下，中心服务器作为</w:t>
      </w:r>
      <w:r>
        <w:rPr>
          <w:rFonts w:ascii="宋体" w:hAnsi="宋体" w:eastAsia="宋体" w:cs="宋体"/>
          <w:strike w:val="0"/>
          <w:color w:val="000000"/>
          <w:sz w:val="24"/>
          <w:u w:val="none"/>
        </w:rPr>
        <w:t>多源</w:t>
      </w:r>
      <w:r>
        <w:rPr>
          <w:rFonts w:ascii="宋体" w:hAnsi="宋体" w:eastAsia="宋体" w:cs="宋体"/>
          <w:i w:val="0"/>
          <w:strike w:val="0"/>
          <w:color w:val="000000"/>
          <w:sz w:val="24"/>
          <w:u w:val="none"/>
        </w:rPr>
        <w:t>可信融合计算服务的中心节点，部署在平台服务提供方（如山大地纬公司）内部，便于对总体服务进行监控和调整。每个多源数据融合计算节点可以担任任务发布者或者任务参与者的角色，部署在参与计算的业务机构内，实现联合计算功能。</w:t>
      </w:r>
      <w:r>
        <w:rPr>
          <w:rFonts w:ascii="宋体" w:hAnsi="宋体" w:eastAsia="宋体" w:cs="宋体"/>
          <w:b w:val="0"/>
          <w:i w:val="0"/>
          <w:strike w:val="0"/>
          <w:color w:val="000000"/>
          <w:sz w:val="24"/>
          <w:u w:val="none"/>
        </w:rPr>
        <w:t>任务发布者通过</w:t>
      </w:r>
      <w:r>
        <w:rPr>
          <w:rFonts w:ascii="宋体" w:hAnsi="宋体" w:eastAsia="宋体" w:cs="宋体"/>
          <w:b w:val="0"/>
          <w:strike w:val="0"/>
          <w:color w:val="000000"/>
          <w:sz w:val="24"/>
          <w:u w:val="none"/>
        </w:rPr>
        <w:t>编写平台支持的隐私计算脚本</w:t>
      </w:r>
      <w:r>
        <w:rPr>
          <w:rFonts w:ascii="宋体" w:hAnsi="宋体" w:eastAsia="宋体" w:cs="宋体"/>
          <w:i w:val="0"/>
          <w:strike w:val="0"/>
          <w:color w:val="000000"/>
          <w:sz w:val="24"/>
          <w:u w:val="none"/>
        </w:rPr>
        <w:t>将自己的任务需求转换为平台可执行的指令逻辑，经由部署在中心服务器上的全局调度器调度参与者执行任务，并最终从平台获得可信计算结果。</w:t>
      </w:r>
      <w:r>
        <w:rPr>
          <w:rFonts w:ascii="宋体" w:hAnsi="宋体" w:eastAsia="宋体" w:cs="宋体"/>
          <w:b w:val="0"/>
          <w:i w:val="0"/>
          <w:strike w:val="0"/>
          <w:color w:val="000000"/>
          <w:sz w:val="24"/>
          <w:u w:val="none"/>
        </w:rPr>
        <w:t>中心服务器</w:t>
      </w:r>
      <w:r>
        <w:rPr>
          <w:rFonts w:ascii="宋体" w:hAnsi="宋体" w:eastAsia="宋体" w:cs="宋体"/>
          <w:i w:val="0"/>
          <w:strike w:val="0"/>
          <w:color w:val="000000"/>
          <w:sz w:val="24"/>
          <w:u w:val="none"/>
        </w:rPr>
        <w:t>提供全局任务分发、调度与管理等功能，通过为各任务参与节点分派任务、确定执行顺序、同步任务状态等操作实现任务的高效执行。</w:t>
      </w:r>
    </w:p>
    <w:p>
      <w:pPr>
        <w:pBdr>
          <w:bottom w:val="none" w:color="auto" w:sz="0" w:space="0"/>
        </w:pBdr>
        <w:snapToGrid/>
        <w:spacing w:before="0" w:after="0" w:line="360" w:lineRule="auto"/>
        <w:ind w:left="0" w:right="0" w:firstLine="480"/>
        <w:jc w:val="both"/>
      </w:pPr>
      <w:r>
        <w:rPr>
          <w:rFonts w:ascii="宋体" w:hAnsi="宋体" w:eastAsia="宋体" w:cs="宋体"/>
          <w:i w:val="0"/>
          <w:strike w:val="0"/>
          <w:color w:val="000000"/>
          <w:sz w:val="24"/>
          <w:u w:val="none"/>
        </w:rPr>
        <w:t>在去中心化部署模式下，平台中没有中心服务器，隐私计算节点均部署在各参与机构本地，且均具有需求转换、全局和本地任务调度功能，任一参与机构都可以作为任务发布者通过隐私计算脚本编写自己的任务需求并转换为平台可执行的指令逻辑，然后全局调度其他参与者进行任务执行。</w:t>
      </w:r>
    </w:p>
    <w:p>
      <w:pPr>
        <w:pBdr>
          <w:bottom w:val="none" w:color="auto" w:sz="0" w:space="0"/>
        </w:pBdr>
        <w:snapToGrid/>
        <w:spacing w:before="0" w:after="0" w:line="360" w:lineRule="auto"/>
        <w:ind w:left="0" w:right="0" w:firstLine="480"/>
        <w:jc w:val="both"/>
      </w:pPr>
    </w:p>
    <w:p>
      <w:pPr>
        <w:snapToGrid/>
        <w:spacing w:line="360" w:lineRule="auto"/>
        <w:ind w:left="0" w:firstLine="0"/>
      </w:pPr>
      <w:r>
        <w:drawing>
          <wp:inline distT="0" distB="0" distL="0" distR="0">
            <wp:extent cx="5274310" cy="306387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0"/>
                    <a:stretch>
                      <a:fillRect/>
                    </a:stretch>
                  </pic:blipFill>
                  <pic:spPr>
                    <a:xfrm>
                      <a:off x="0" y="0"/>
                      <a:ext cx="5274310" cy="3064259"/>
                    </a:xfrm>
                    <a:prstGeom prst="rect">
                      <a:avLst/>
                    </a:prstGeom>
                  </pic:spPr>
                </pic:pic>
              </a:graphicData>
            </a:graphic>
          </wp:inline>
        </w:drawing>
      </w:r>
    </w:p>
    <w:p>
      <w:pPr>
        <w:snapToGrid/>
        <w:spacing w:line="360" w:lineRule="auto"/>
        <w:jc w:val="center"/>
        <w:rPr>
          <w:rFonts w:ascii="宋体" w:hAnsi="宋体" w:eastAsia="宋体" w:cs="宋体"/>
          <w:i w:val="0"/>
          <w:strike w:val="0"/>
          <w:color w:val="000000"/>
          <w:sz w:val="24"/>
          <w:u w:val="none"/>
        </w:rPr>
      </w:pPr>
      <w:r>
        <w:rPr>
          <w:rFonts w:ascii="宋体" w:hAnsi="宋体" w:eastAsia="宋体" w:cs="宋体"/>
          <w:i w:val="0"/>
          <w:strike w:val="0"/>
          <w:color w:val="000000"/>
          <w:sz w:val="24"/>
          <w:u w:val="none"/>
        </w:rPr>
        <w:t xml:space="preserve">图7. 中心化部署架构图 </w:t>
      </w:r>
    </w:p>
    <w:p>
      <w:pPr>
        <w:snapToGrid/>
        <w:spacing w:line="360" w:lineRule="auto"/>
        <w:jc w:val="center"/>
        <w:rPr>
          <w:rFonts w:ascii="宋体" w:hAnsi="宋体" w:eastAsia="宋体" w:cs="宋体"/>
          <w:i w:val="0"/>
          <w:strike w:val="0"/>
          <w:color w:val="000000"/>
          <w:sz w:val="24"/>
          <w:u w:val="none"/>
        </w:rPr>
      </w:pPr>
    </w:p>
    <w:p>
      <w:pPr>
        <w:snapToGrid/>
        <w:spacing w:line="360" w:lineRule="auto"/>
        <w:jc w:val="both"/>
      </w:pPr>
      <w:r>
        <w:drawing>
          <wp:inline distT="0" distB="0" distL="0" distR="0">
            <wp:extent cx="5276850" cy="384746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1"/>
                    <a:srcRect/>
                    <a:stretch>
                      <a:fillRect/>
                    </a:stretch>
                  </pic:blipFill>
                  <pic:spPr>
                    <a:xfrm>
                      <a:off x="0" y="0"/>
                      <a:ext cx="5276850" cy="3848004"/>
                    </a:xfrm>
                    <a:prstGeom prst="rect">
                      <a:avLst/>
                    </a:prstGeom>
                  </pic:spPr>
                </pic:pic>
              </a:graphicData>
            </a:graphic>
          </wp:inline>
        </w:drawing>
      </w:r>
    </w:p>
    <w:p>
      <w:pPr>
        <w:snapToGrid/>
        <w:spacing w:line="360" w:lineRule="auto"/>
        <w:jc w:val="center"/>
        <w:rPr>
          <w:rFonts w:ascii="宋体" w:hAnsi="宋体" w:eastAsia="宋体" w:cs="宋体"/>
          <w:i w:val="0"/>
          <w:strike w:val="0"/>
          <w:color w:val="000000"/>
          <w:sz w:val="24"/>
          <w:u w:val="none"/>
        </w:rPr>
      </w:pPr>
      <w:r>
        <w:rPr>
          <w:rFonts w:ascii="宋体" w:hAnsi="宋体" w:eastAsia="宋体" w:cs="宋体"/>
          <w:i w:val="0"/>
          <w:strike w:val="0"/>
          <w:color w:val="000000"/>
          <w:sz w:val="24"/>
          <w:u w:val="none"/>
        </w:rPr>
        <w:t xml:space="preserve">图8. 去中心化部署架构图 </w:t>
      </w:r>
    </w:p>
    <w:p>
      <w:pPr>
        <w:snapToGrid/>
        <w:spacing w:line="360" w:lineRule="auto"/>
        <w:jc w:val="both"/>
      </w:pPr>
    </w:p>
    <w:p>
      <w:pPr>
        <w:snapToGrid/>
        <w:spacing w:before="0" w:after="0" w:line="360" w:lineRule="auto"/>
        <w:ind w:left="0" w:right="0" w:firstLineChars="200"/>
        <w:jc w:val="both"/>
        <w:rPr>
          <w:rFonts w:ascii="宋体" w:hAnsi="宋体" w:eastAsia="宋体" w:cs="宋体"/>
          <w:i w:val="0"/>
          <w:strike w:val="0"/>
          <w:color w:val="000000"/>
          <w:sz w:val="24"/>
          <w:u w:val="none"/>
        </w:rPr>
      </w:pPr>
    </w:p>
    <w:p>
      <w:pPr>
        <w:snapToGrid/>
        <w:spacing w:before="0" w:after="0" w:line="360" w:lineRule="auto"/>
        <w:ind w:left="0" w:right="0" w:firstLineChars="200"/>
        <w:jc w:val="both"/>
      </w:pPr>
      <w:r>
        <w:rPr>
          <w:rFonts w:ascii="宋体" w:hAnsi="宋体" w:eastAsia="宋体" w:cs="宋体"/>
          <w:i w:val="0"/>
          <w:strike w:val="0"/>
          <w:color w:val="000000"/>
          <w:sz w:val="24"/>
          <w:u w:val="none"/>
        </w:rPr>
        <w:t>2）部署工具</w:t>
      </w:r>
    </w:p>
    <w:p>
      <w:pPr>
        <w:snapToGrid/>
        <w:spacing w:before="0" w:after="0" w:line="360" w:lineRule="auto"/>
        <w:ind w:left="0" w:right="0" w:firstLine="480"/>
        <w:jc w:val="both"/>
      </w:pPr>
      <w:r>
        <w:rPr>
          <w:rFonts w:ascii="宋体" w:hAnsi="宋体" w:eastAsia="宋体" w:cs="宋体"/>
          <w:i w:val="0"/>
          <w:strike w:val="0"/>
          <w:color w:val="000000"/>
          <w:sz w:val="24"/>
          <w:u w:val="none"/>
        </w:rPr>
        <w:t>项目将开发一套完整的部署管理工具管理隐私计算节点和集群，能够以简单的流程完成上述部署架构和部署流程中的隐私计算节点的部署。从而实现任务参与者或任务发布者角色的注册，高效完成多源数据可信融合计算任务。</w:t>
      </w:r>
    </w:p>
    <w:p>
      <w:pPr>
        <w:snapToGrid/>
        <w:spacing w:before="0" w:after="0" w:line="360" w:lineRule="auto"/>
        <w:ind w:left="0" w:right="0" w:firstLine="480"/>
        <w:jc w:val="both"/>
      </w:pPr>
      <w:r>
        <w:rPr>
          <w:rFonts w:ascii="宋体" w:hAnsi="宋体" w:eastAsia="宋体" w:cs="宋体"/>
          <w:i w:val="0"/>
          <w:strike w:val="0"/>
          <w:color w:val="000000"/>
          <w:sz w:val="24"/>
          <w:u w:val="none"/>
        </w:rPr>
        <w:t>具体的部署过程如下：</w:t>
      </w:r>
    </w:p>
    <w:p>
      <w:pPr>
        <w:snapToGrid/>
        <w:spacing w:before="0" w:after="0" w:line="360" w:lineRule="auto"/>
        <w:ind w:left="0" w:right="0" w:firstLine="480"/>
        <w:jc w:val="both"/>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中心化部署：平台通过组建中心组网的方式实现中心化部署任务，中心节点作为组网中心，需要被首先部署。具体而言，使用部署工具执行给定的部署脚本程序，并启动中心节点，从而在给定的端口上提供节点接入服务，并生成相应的公钥私钥和证书。然后是部署本地节点，本地节点的部署采用基于token认证的方式注册到中心节点，以加入到组网中。此外，本地节点还需要与其他参与任务的隐私计算节点互相授权，以确保任务参与方的真实可信。</w:t>
      </w:r>
    </w:p>
    <w:p>
      <w:pPr>
        <w:pBdr>
          <w:bottom w:val="none" w:color="auto" w:sz="0" w:space="0"/>
        </w:pBdr>
        <w:snapToGrid/>
        <w:spacing w:before="0" w:after="0" w:line="360" w:lineRule="auto"/>
        <w:ind w:left="0" w:right="0" w:firstLine="480"/>
        <w:jc w:val="both"/>
      </w:pPr>
      <w:r>
        <w:rPr>
          <w:rFonts w:ascii="宋体" w:hAnsi="宋体" w:eastAsia="宋体" w:cs="宋体"/>
          <w:i w:val="0"/>
          <w:strike w:val="0"/>
          <w:color w:val="000000"/>
          <w:sz w:val="24"/>
          <w:u w:val="none"/>
        </w:rPr>
        <w:t>去中心化部署：平台通过组建点对点组网的方式实现去中心化部署任务。在该组网中，每个节点是平等的，拥有独立的需求转换、全局和本地任务调度功能。在执行部署脚本后，每个节点都会生成各自的公钥私钥和证书，在任意两个节点之间建立通信前，需要先互相颁发证书并配置授权，以确保互相的真实可信。然后，互相认证后的节点间可以进行任务的协作执行。</w:t>
      </w:r>
    </w:p>
    <w:p>
      <w:pPr>
        <w:snapToGrid/>
        <w:spacing w:line="360" w:lineRule="auto"/>
      </w:pPr>
    </w:p>
    <w:p>
      <w:pPr>
        <w:snapToGrid/>
        <w:spacing w:line="360" w:lineRule="auto"/>
        <w:rPr>
          <w:rFonts w:ascii="宋体" w:hAnsi="宋体" w:eastAsia="宋体" w:cs="宋体"/>
          <w:b w:val="0"/>
          <w:i w:val="0"/>
          <w:strike w:val="0"/>
          <w:color w:val="000000"/>
          <w:sz w:val="24"/>
          <w:u w:val="none"/>
        </w:rPr>
      </w:pPr>
      <w:r>
        <w:rPr>
          <w:rFonts w:ascii="宋体" w:hAnsi="宋体" w:eastAsia="宋体" w:cs="宋体"/>
          <w:b w:val="0"/>
          <w:i w:val="0"/>
          <w:strike w:val="0"/>
          <w:color w:val="000000"/>
          <w:sz w:val="24"/>
          <w:u w:val="none"/>
        </w:rPr>
        <w:t>2.2.3多源数据接入管理</w:t>
      </w:r>
    </w:p>
    <w:p>
      <w:pPr>
        <w:snapToGrid/>
        <w:spacing w:line="360" w:lineRule="auto"/>
        <w:rPr>
          <w:rFonts w:ascii="宋体" w:hAnsi="宋体" w:eastAsia="宋体" w:cs="宋体"/>
          <w:strike w:val="0"/>
          <w:color w:val="000000"/>
          <w:sz w:val="24"/>
          <w:u w:val="none"/>
        </w:rPr>
      </w:pPr>
      <w:r>
        <w:rPr>
          <w:rFonts w:ascii="宋体" w:hAnsi="宋体" w:eastAsia="宋体" w:cs="宋体"/>
          <w:b w:val="0"/>
          <w:sz w:val="24"/>
        </w:rPr>
        <w:t xml:space="preserve">    </w:t>
      </w:r>
      <w:r>
        <w:rPr>
          <w:rFonts w:ascii="宋体" w:hAnsi="宋体" w:eastAsia="宋体" w:cs="宋体"/>
          <w:i w:val="0"/>
          <w:strike w:val="0"/>
          <w:color w:val="000000"/>
          <w:sz w:val="24"/>
          <w:u w:val="none"/>
        </w:rPr>
        <w:t>平台提供一套支持分布式多样化数据格式的多源数据接入工具，旨在</w:t>
      </w:r>
      <w:r>
        <w:rPr>
          <w:rFonts w:ascii="宋体" w:hAnsi="宋体" w:eastAsia="宋体" w:cs="宋体"/>
          <w:strike w:val="0"/>
          <w:color w:val="000000"/>
          <w:sz w:val="24"/>
          <w:u w:val="none"/>
        </w:rPr>
        <w:t>将来自不同分布式数据源（如医院、公司、政府等）的具有不同数据类型（包括数据库、CSV/TXT、Restful API和自定义数据格式）的数据接入到平台中执行隐私计算任务。</w:t>
      </w:r>
    </w:p>
    <w:p>
      <w:pPr>
        <w:snapToGrid/>
        <w:spacing w:line="360" w:lineRule="auto"/>
        <w:rPr>
          <w:rFonts w:ascii="宋体" w:hAnsi="宋体" w:eastAsia="宋体" w:cs="宋体"/>
          <w:b w:val="0"/>
          <w:strike w:val="0"/>
          <w:color w:val="000000"/>
          <w:sz w:val="24"/>
          <w:u w:val="none"/>
        </w:rPr>
      </w:pPr>
      <w:r>
        <w:rPr>
          <w:rFonts w:ascii="宋体" w:hAnsi="宋体" w:eastAsia="宋体" w:cs="宋体"/>
          <w:b w:val="0"/>
          <w:strike w:val="0"/>
          <w:color w:val="000000"/>
          <w:sz w:val="24"/>
          <w:u w:val="none"/>
        </w:rPr>
        <w:t xml:space="preserve">    为此，该多源数据接入工具将提供数据加载、数据管理和数据转换三个主要功能，功能示意图如图9所示，我们接下来将详细介绍三个功能。</w:t>
      </w:r>
    </w:p>
    <w:p>
      <w:pPr>
        <w:snapToGrid/>
        <w:spacing w:line="360" w:lineRule="auto"/>
        <w:rPr>
          <w:rFonts w:ascii="宋体" w:hAnsi="宋体" w:eastAsia="宋体" w:cs="宋体"/>
          <w:b w:val="0"/>
          <w:strike w:val="0"/>
          <w:color w:val="000000"/>
          <w:sz w:val="24"/>
          <w:u w:val="none"/>
        </w:rPr>
      </w:pPr>
    </w:p>
    <w:p>
      <w:pPr>
        <w:snapToGrid/>
        <w:spacing w:line="360" w:lineRule="auto"/>
        <w:jc w:val="center"/>
        <w:rPr>
          <w:rFonts w:ascii="宋体" w:hAnsi="宋体" w:eastAsia="宋体" w:cs="宋体"/>
          <w:b w:val="0"/>
          <w:strike w:val="0"/>
          <w:color w:val="000000"/>
          <w:sz w:val="24"/>
          <w:u w:val="none"/>
        </w:rPr>
      </w:pPr>
      <w:r>
        <w:rPr>
          <w:rFonts w:ascii="宋体" w:hAnsi="宋体" w:eastAsia="宋体" w:cs="宋体"/>
          <w:b w:val="0"/>
          <w:strike w:val="0"/>
          <w:color w:val="000000"/>
          <w:sz w:val="24"/>
          <w:u w:val="none"/>
        </w:rPr>
        <w:drawing>
          <wp:inline distT="0" distB="0" distL="0" distR="0">
            <wp:extent cx="5274310" cy="192913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2"/>
                    <a:stretch>
                      <a:fillRect/>
                    </a:stretch>
                  </pic:blipFill>
                  <pic:spPr>
                    <a:xfrm>
                      <a:off x="0" y="0"/>
                      <a:ext cx="5274310" cy="1929264"/>
                    </a:xfrm>
                    <a:prstGeom prst="rect">
                      <a:avLst/>
                    </a:prstGeom>
                  </pic:spPr>
                </pic:pic>
              </a:graphicData>
            </a:graphic>
          </wp:inline>
        </w:drawing>
      </w:r>
    </w:p>
    <w:p>
      <w:pPr>
        <w:snapToGrid/>
        <w:spacing w:line="360" w:lineRule="auto"/>
        <w:jc w:val="center"/>
        <w:rPr>
          <w:rFonts w:ascii="宋体" w:hAnsi="宋体" w:eastAsia="宋体" w:cs="宋体"/>
          <w:i w:val="0"/>
          <w:strike w:val="0"/>
          <w:color w:val="000000"/>
          <w:sz w:val="24"/>
          <w:u w:val="none"/>
        </w:rPr>
      </w:pPr>
      <w:r>
        <w:rPr>
          <w:rFonts w:ascii="宋体" w:hAnsi="宋体" w:eastAsia="宋体" w:cs="宋体"/>
          <w:strike w:val="0"/>
          <w:color w:val="000000"/>
          <w:sz w:val="24"/>
          <w:u w:val="none"/>
        </w:rPr>
        <w:t>图9</w:t>
      </w:r>
      <w:r>
        <w:rPr>
          <w:rFonts w:ascii="宋体" w:hAnsi="宋体" w:eastAsia="宋体" w:cs="宋体"/>
          <w:i w:val="0"/>
          <w:strike w:val="0"/>
          <w:color w:val="000000"/>
          <w:sz w:val="24"/>
          <w:u w:val="none"/>
        </w:rPr>
        <w:t>.</w:t>
      </w:r>
      <w:r>
        <w:rPr>
          <w:rFonts w:ascii="宋体" w:hAnsi="宋体" w:eastAsia="宋体" w:cs="宋体"/>
          <w:strike w:val="0"/>
          <w:color w:val="000000"/>
          <w:sz w:val="24"/>
          <w:u w:val="none"/>
        </w:rPr>
        <w:t xml:space="preserve"> </w:t>
      </w:r>
      <w:r>
        <w:rPr>
          <w:rFonts w:ascii="宋体" w:hAnsi="宋体" w:eastAsia="宋体" w:cs="宋体"/>
          <w:i w:val="0"/>
          <w:strike w:val="0"/>
          <w:color w:val="000000"/>
          <w:sz w:val="24"/>
          <w:u w:val="none"/>
        </w:rPr>
        <w:t>多源数据接入</w:t>
      </w:r>
      <w:r>
        <w:rPr>
          <w:rFonts w:ascii="宋体" w:hAnsi="宋体" w:eastAsia="宋体" w:cs="宋体"/>
          <w:strike w:val="0"/>
          <w:color w:val="000000"/>
          <w:sz w:val="24"/>
          <w:u w:val="none"/>
        </w:rPr>
        <w:t>功能</w:t>
      </w:r>
      <w:r>
        <w:rPr>
          <w:rFonts w:ascii="宋体" w:hAnsi="宋体" w:eastAsia="宋体" w:cs="宋体"/>
          <w:i w:val="0"/>
          <w:strike w:val="0"/>
          <w:color w:val="000000"/>
          <w:sz w:val="24"/>
          <w:u w:val="none"/>
        </w:rPr>
        <w:t>示意图</w:t>
      </w:r>
    </w:p>
    <w:p>
      <w:pPr>
        <w:pBdr>
          <w:bottom w:val="none" w:color="auto" w:sz="0" w:space="0"/>
        </w:pBdr>
        <w:snapToGrid/>
        <w:spacing w:line="360" w:lineRule="auto"/>
        <w:jc w:val="center"/>
        <w:rPr>
          <w:rFonts w:ascii="宋体" w:hAnsi="宋体" w:eastAsia="宋体" w:cs="宋体"/>
          <w:b w:val="0"/>
          <w:strike w:val="0"/>
          <w:color w:val="000000"/>
          <w:sz w:val="24"/>
          <w:u w:val="none"/>
        </w:rPr>
      </w:pPr>
    </w:p>
    <w:p>
      <w:pPr>
        <w:snapToGrid/>
        <w:spacing w:line="360" w:lineRule="auto"/>
        <w:rPr>
          <w:rFonts w:ascii="宋体" w:hAnsi="宋体" w:eastAsia="宋体" w:cs="宋体"/>
          <w:b w:val="0"/>
          <w:strike w:val="0"/>
          <w:color w:val="000000"/>
          <w:sz w:val="24"/>
          <w:u w:val="none"/>
        </w:rPr>
      </w:pPr>
      <w:r>
        <w:rPr>
          <w:rFonts w:ascii="宋体" w:hAnsi="宋体" w:eastAsia="宋体" w:cs="宋体"/>
          <w:b w:val="0"/>
          <w:strike w:val="0"/>
          <w:color w:val="000000"/>
          <w:sz w:val="24"/>
          <w:u w:val="none"/>
        </w:rPr>
        <w:t xml:space="preserve">    </w:t>
      </w:r>
      <w:r>
        <w:rPr>
          <w:rFonts w:ascii="宋体" w:hAnsi="宋体" w:eastAsia="宋体" w:cs="宋体"/>
          <w:b/>
          <w:strike w:val="0"/>
          <w:color w:val="000000"/>
          <w:sz w:val="24"/>
          <w:u w:val="none"/>
        </w:rPr>
        <w:t>数据加载：</w:t>
      </w:r>
      <w:r>
        <w:rPr>
          <w:rFonts w:ascii="宋体" w:hAnsi="宋体" w:eastAsia="宋体" w:cs="宋体"/>
          <w:b w:val="0"/>
          <w:strike w:val="0"/>
          <w:color w:val="000000"/>
          <w:sz w:val="24"/>
          <w:u w:val="none"/>
        </w:rPr>
        <w:t>我们将开发</w:t>
      </w:r>
      <w:r>
        <w:rPr>
          <w:rFonts w:ascii="宋体" w:hAnsi="宋体" w:eastAsia="宋体" w:cs="宋体"/>
          <w:b/>
          <w:strike w:val="0"/>
          <w:color w:val="000000"/>
          <w:sz w:val="24"/>
          <w:u w:val="none"/>
        </w:rPr>
        <w:t>数据适配器</w:t>
      </w:r>
      <w:r>
        <w:rPr>
          <w:rFonts w:ascii="宋体" w:hAnsi="宋体" w:eastAsia="宋体" w:cs="宋体"/>
          <w:b w:val="0"/>
          <w:strike w:val="0"/>
          <w:color w:val="000000"/>
          <w:sz w:val="24"/>
          <w:u w:val="none"/>
        </w:rPr>
        <w:t>接入不同类型的数据源。具体来说，我们主要为数据库、Restful API、CSV文件三类主流数据源提供数据库连接器、API接口、文件导入工具。数据库连接器支持用户通过配置数据库连接信息（包括主机名、端口、用户名、密码等）进行数据库连接并选择数据表加载到平台中；API接口支持用户提供API的终点URL、认证信息以及参数信息来将数据接入到平台中；文件导入工具支持用户选择本地文件进行上传。此外，我们还将提供一套应用编程接口（API），开发者可以基于该套接口以编程的方式与平台交互，从而构建定制的数据适配器，以满足自己特定的数据接入需求。通过这种方式，我们扩展了平台支持的数据源范围。</w:t>
      </w:r>
    </w:p>
    <w:p>
      <w:pPr>
        <w:snapToGrid/>
        <w:spacing w:line="360" w:lineRule="auto"/>
        <w:rPr>
          <w:rFonts w:ascii="宋体" w:hAnsi="宋体" w:eastAsia="宋体" w:cs="宋体"/>
          <w:b/>
          <w:sz w:val="24"/>
        </w:rPr>
      </w:pPr>
      <w:r>
        <w:rPr>
          <w:rFonts w:ascii="宋体" w:hAnsi="宋体" w:eastAsia="宋体" w:cs="宋体"/>
          <w:b w:val="0"/>
          <w:strike w:val="0"/>
          <w:color w:val="000000"/>
          <w:sz w:val="24"/>
          <w:u w:val="none"/>
        </w:rPr>
        <w:t xml:space="preserve">    </w:t>
      </w:r>
      <w:r>
        <w:rPr>
          <w:rFonts w:ascii="宋体" w:hAnsi="宋体" w:eastAsia="宋体" w:cs="宋体"/>
          <w:b/>
          <w:strike w:val="0"/>
          <w:color w:val="000000"/>
          <w:sz w:val="24"/>
          <w:u w:val="none"/>
        </w:rPr>
        <w:t>数据管理：</w:t>
      </w:r>
      <w:r>
        <w:rPr>
          <w:rFonts w:ascii="宋体" w:hAnsi="宋体" w:eastAsia="宋体" w:cs="宋体"/>
          <w:b w:val="0"/>
          <w:strike w:val="0"/>
          <w:color w:val="000000"/>
          <w:sz w:val="24"/>
          <w:u w:val="none"/>
        </w:rPr>
        <w:t>工具将提供</w:t>
      </w:r>
      <w:r>
        <w:rPr>
          <w:rFonts w:ascii="宋体" w:hAnsi="宋体" w:eastAsia="宋体" w:cs="宋体"/>
          <w:b/>
          <w:strike w:val="0"/>
          <w:color w:val="000000"/>
          <w:sz w:val="24"/>
          <w:u w:val="none"/>
        </w:rPr>
        <w:t>元信息读取、数据授权</w:t>
      </w:r>
      <w:r>
        <w:rPr>
          <w:rFonts w:ascii="宋体" w:hAnsi="宋体" w:eastAsia="宋体" w:cs="宋体"/>
          <w:b w:val="0"/>
          <w:strike w:val="0"/>
          <w:color w:val="000000"/>
          <w:sz w:val="24"/>
          <w:u w:val="none"/>
        </w:rPr>
        <w:t>和</w:t>
      </w:r>
      <w:r>
        <w:rPr>
          <w:rFonts w:ascii="宋体" w:hAnsi="宋体" w:eastAsia="宋体" w:cs="宋体"/>
          <w:b/>
          <w:strike w:val="0"/>
          <w:color w:val="000000"/>
          <w:sz w:val="24"/>
          <w:u w:val="none"/>
        </w:rPr>
        <w:t>格式校验</w:t>
      </w:r>
      <w:r>
        <w:rPr>
          <w:rFonts w:ascii="宋体" w:hAnsi="宋体" w:eastAsia="宋体" w:cs="宋体"/>
          <w:b w:val="0"/>
          <w:strike w:val="0"/>
          <w:color w:val="000000"/>
          <w:sz w:val="24"/>
          <w:u w:val="none"/>
        </w:rPr>
        <w:t>三个主要功能实现数据管理。元信息读取指工具能够在连接到数据源后自动分析源数据的元数据，包括字段名称、数据类型、长度等。数据授权指用户可以通过该功能指定接入平台中的数据在参与隐私计算任务时的权限，包括是否可以共享给其他用户以及哪些字段可以参与隐私计算任务。格式校验指工具可以校验用户指定参与隐私计算任务的数据的字段和格式是否符合任务要求。</w:t>
      </w:r>
    </w:p>
    <w:p>
      <w:pPr>
        <w:snapToGrid/>
        <w:spacing w:line="360" w:lineRule="auto"/>
        <w:rPr>
          <w:rFonts w:ascii="宋体" w:hAnsi="宋体" w:eastAsia="宋体" w:cs="宋体"/>
          <w:b w:val="0"/>
          <w:sz w:val="24"/>
        </w:rPr>
      </w:pPr>
      <w:r>
        <w:rPr>
          <w:rFonts w:ascii="宋体" w:hAnsi="宋体" w:eastAsia="宋体" w:cs="宋体"/>
          <w:b w:val="0"/>
          <w:sz w:val="24"/>
        </w:rPr>
        <w:t xml:space="preserve">    </w:t>
      </w:r>
      <w:r>
        <w:rPr>
          <w:rFonts w:ascii="宋体" w:hAnsi="宋体" w:eastAsia="宋体" w:cs="宋体"/>
          <w:b/>
          <w:sz w:val="24"/>
        </w:rPr>
        <w:t>数据转换：</w:t>
      </w:r>
      <w:r>
        <w:rPr>
          <w:rFonts w:ascii="宋体" w:hAnsi="宋体" w:eastAsia="宋体" w:cs="宋体"/>
          <w:b w:val="0"/>
          <w:sz w:val="24"/>
        </w:rPr>
        <w:t>工具将提供格式转换和字段映射两个主要功能实现数据转换。格式转换是指用户可以将自己数据字段的格式进行兼容性转换（如int转float）以满足隐私计算任务需求。字段映射是指用户可以通过手动选择或自动匹配的方式将源数据的字段映射到隐私计算任务需要的字段上。</w:t>
      </w:r>
    </w:p>
    <w:p>
      <w:pPr>
        <w:snapToGrid/>
        <w:spacing w:line="240" w:lineRule="auto"/>
        <w:rPr>
          <w:rFonts w:ascii="宋体" w:hAnsi="宋体" w:eastAsia="宋体" w:cs="宋体"/>
          <w:sz w:val="24"/>
        </w:rPr>
      </w:pPr>
    </w:p>
    <w:p>
      <w:pPr>
        <w:pBdr>
          <w:bottom w:val="none" w:color="auto" w:sz="0" w:space="0"/>
        </w:pBdr>
        <w:snapToGrid/>
        <w:spacing w:before="0" w:after="0" w:line="360" w:lineRule="auto"/>
        <w:ind w:left="0" w:right="0"/>
        <w:jc w:val="both"/>
        <w:rPr>
          <w:rFonts w:ascii="宋体" w:hAnsi="宋体" w:eastAsia="宋体" w:cs="宋体"/>
          <w:sz w:val="24"/>
        </w:rPr>
      </w:pPr>
      <w:r>
        <w:rPr>
          <w:rFonts w:ascii="宋体" w:hAnsi="宋体" w:eastAsia="宋体" w:cs="宋体"/>
          <w:b/>
          <w:strike w:val="0"/>
          <w:color w:val="000000"/>
          <w:sz w:val="24"/>
          <w:u w:val="none"/>
        </w:rPr>
        <w:t>2.3</w:t>
      </w:r>
      <w:r>
        <w:rPr>
          <w:rFonts w:ascii="宋体" w:hAnsi="宋体" w:eastAsia="宋体" w:cs="宋体"/>
          <w:b/>
          <w:i w:val="0"/>
          <w:strike w:val="0"/>
          <w:color w:val="000000"/>
          <w:sz w:val="24"/>
          <w:u w:val="none"/>
        </w:rPr>
        <w:t>应用组件</w:t>
      </w:r>
    </w:p>
    <w:p>
      <w:pPr>
        <w:pBdr>
          <w:bottom w:val="none" w:color="auto" w:sz="0" w:space="0"/>
        </w:pBdr>
        <w:snapToGrid/>
        <w:spacing w:before="0" w:after="0" w:line="360" w:lineRule="auto"/>
        <w:ind w:left="0" w:right="0"/>
        <w:jc w:val="both"/>
        <w:rPr>
          <w:rFonts w:ascii="宋体" w:hAnsi="宋体" w:eastAsia="宋体" w:cs="宋体"/>
          <w:strike w:val="0"/>
          <w:color w:val="000000"/>
          <w:sz w:val="24"/>
          <w:u w:val="none"/>
        </w:rPr>
      </w:pPr>
      <w:r>
        <w:rPr>
          <w:rFonts w:ascii="宋体" w:hAnsi="宋体" w:eastAsia="宋体" w:cs="宋体"/>
          <w:i w:val="0"/>
          <w:strike w:val="0"/>
          <w:color w:val="000000"/>
          <w:sz w:val="24"/>
          <w:u w:val="none"/>
        </w:rPr>
        <w:t xml:space="preserve"> </w:t>
      </w:r>
      <w:r>
        <w:rPr>
          <w:rFonts w:ascii="宋体" w:hAnsi="宋体" w:eastAsia="宋体" w:cs="宋体"/>
          <w:strike w:val="0"/>
          <w:color w:val="000000"/>
          <w:sz w:val="24"/>
          <w:u w:val="none"/>
        </w:rPr>
        <w:t xml:space="preserve">   平台高层提供平台的应用组件，包括</w:t>
      </w:r>
      <w:r>
        <w:rPr>
          <w:rFonts w:ascii="宋体" w:hAnsi="宋体" w:eastAsia="宋体" w:cs="宋体"/>
          <w:i w:val="0"/>
          <w:strike w:val="0"/>
          <w:color w:val="000000"/>
          <w:sz w:val="24"/>
          <w:u w:val="none"/>
        </w:rPr>
        <w:t>联合预测、联合统计、联合查询和联合建模</w:t>
      </w:r>
      <w:r>
        <w:rPr>
          <w:rFonts w:ascii="宋体" w:hAnsi="宋体" w:eastAsia="宋体" w:cs="宋体"/>
          <w:strike w:val="0"/>
          <w:color w:val="000000"/>
          <w:sz w:val="24"/>
          <w:u w:val="none"/>
        </w:rPr>
        <w:t>功能。平台用户可以基于这些组件构建或参与特定的隐私计算任务。这些组件的具体功能如下：</w:t>
      </w:r>
    </w:p>
    <w:p>
      <w:pPr>
        <w:pBdr>
          <w:bottom w:val="none" w:color="auto" w:sz="0" w:space="0"/>
        </w:pBdr>
        <w:spacing w:line="360" w:lineRule="auto"/>
        <w:ind w:left="0" w:firstLineChars="200"/>
        <w:rPr>
          <w:rFonts w:hint="eastAsia" w:ascii="宋体" w:hAnsi="宋体" w:eastAsia="宋体" w:cs="宋体"/>
          <w:b w:val="0"/>
          <w:bCs/>
          <w:color w:val="000000"/>
          <w:sz w:val="24"/>
          <w:szCs w:val="28"/>
          <w:shd w:val="clear" w:color="auto" w:fill="auto"/>
        </w:rPr>
      </w:pPr>
      <w:r>
        <w:rPr>
          <w:rFonts w:hint="eastAsia" w:ascii="宋体" w:hAnsi="宋体" w:eastAsia="宋体" w:cs="宋体"/>
          <w:b w:val="0"/>
          <w:bCs/>
          <w:color w:val="000000"/>
          <w:sz w:val="24"/>
          <w:szCs w:val="28"/>
          <w:shd w:val="clear" w:color="auto" w:fill="auto"/>
        </w:rPr>
        <w:t>1）</w:t>
      </w:r>
      <w:r>
        <w:rPr>
          <w:rFonts w:hint="eastAsia" w:ascii="宋体" w:hAnsi="宋体" w:eastAsia="宋体" w:cs="宋体"/>
          <w:b/>
          <w:bCs/>
          <w:color w:val="000000"/>
          <w:sz w:val="24"/>
          <w:szCs w:val="28"/>
          <w:shd w:val="clear" w:color="auto" w:fill="auto"/>
        </w:rPr>
        <w:t>联合预测：</w:t>
      </w:r>
      <w:r>
        <w:rPr>
          <w:rFonts w:hint="eastAsia" w:ascii="宋体" w:hAnsi="宋体" w:eastAsia="宋体" w:cs="宋体"/>
          <w:b w:val="0"/>
          <w:bCs/>
          <w:color w:val="000000"/>
          <w:sz w:val="24"/>
          <w:szCs w:val="28"/>
          <w:shd w:val="clear" w:color="auto" w:fill="auto"/>
        </w:rPr>
        <w:t>联合预测通常涉及多个参与方合作进行预测和推断任务，其应用场景通常分为两种，分别为各参与方只掌握部分模型的场景和一方拥有完整模型，另一方拥有数据样本的场景。联合预测功能将基于计算核心引擎实现模型预测和推断任务。</w:t>
      </w:r>
    </w:p>
    <w:p>
      <w:pPr>
        <w:pBdr>
          <w:bottom w:val="none" w:color="auto" w:sz="0" w:space="0"/>
        </w:pBdr>
        <w:spacing w:line="360" w:lineRule="auto"/>
        <w:ind w:left="0" w:firstLineChars="200"/>
        <w:rPr>
          <w:rFonts w:hint="eastAsia" w:ascii="宋体" w:hAnsi="宋体" w:eastAsia="宋体" w:cs="宋体"/>
          <w:b w:val="0"/>
          <w:bCs/>
          <w:color w:val="000000"/>
          <w:sz w:val="24"/>
          <w:szCs w:val="28"/>
          <w:shd w:val="clear" w:color="auto" w:fill="auto"/>
        </w:rPr>
      </w:pPr>
      <w:r>
        <w:rPr>
          <w:rFonts w:hint="eastAsia" w:ascii="宋体" w:hAnsi="宋体" w:eastAsia="宋体" w:cs="宋体"/>
          <w:b w:val="0"/>
          <w:bCs/>
          <w:color w:val="000000"/>
          <w:sz w:val="24"/>
          <w:szCs w:val="28"/>
          <w:shd w:val="clear" w:color="auto" w:fill="auto"/>
        </w:rPr>
        <w:t>2）</w:t>
      </w:r>
      <w:r>
        <w:rPr>
          <w:rFonts w:hint="eastAsia" w:ascii="宋体" w:hAnsi="宋体" w:eastAsia="宋体" w:cs="宋体"/>
          <w:b/>
          <w:bCs/>
          <w:color w:val="000000"/>
          <w:sz w:val="24"/>
          <w:szCs w:val="28"/>
          <w:shd w:val="clear" w:color="auto" w:fill="auto"/>
        </w:rPr>
        <w:t>联合统计</w:t>
      </w:r>
      <w:r>
        <w:rPr>
          <w:rFonts w:hint="eastAsia" w:ascii="宋体" w:hAnsi="宋体" w:eastAsia="宋体" w:cs="宋体"/>
          <w:b w:val="0"/>
          <w:bCs/>
          <w:color w:val="000000"/>
          <w:sz w:val="24"/>
          <w:szCs w:val="28"/>
          <w:shd w:val="clear" w:color="auto" w:fill="auto"/>
        </w:rPr>
        <w:t>：联合统计为多机构研究的前期可行性分析、回顾性分析以及深入研究中的数据分析与挖掘提供了技术手段，也是联邦学习前期特征工程的重要工具。联合统计包括样本统计分析（如联合统计样本均值、方差、峰度等）和特征统计分析（如皮尔逊系数计算、特征分箱、特征求交等）。联合统计功能基于数据密态计算中封装的密态统计分析算法进行</w:t>
      </w:r>
    </w:p>
    <w:p>
      <w:pPr>
        <w:pBdr>
          <w:bottom w:val="none" w:color="auto" w:sz="0" w:space="0"/>
        </w:pBdr>
        <w:spacing w:line="360" w:lineRule="auto"/>
        <w:ind w:left="0" w:firstLineChars="200"/>
        <w:rPr>
          <w:rFonts w:hint="eastAsia" w:ascii="宋体" w:hAnsi="宋体" w:eastAsia="宋体" w:cs="宋体"/>
          <w:b w:val="0"/>
          <w:bCs/>
          <w:color w:val="000000"/>
          <w:sz w:val="24"/>
          <w:szCs w:val="28"/>
          <w:shd w:val="clear" w:color="auto" w:fill="auto"/>
        </w:rPr>
      </w:pPr>
      <w:r>
        <w:rPr>
          <w:rFonts w:hint="eastAsia" w:ascii="宋体" w:hAnsi="宋体" w:eastAsia="宋体" w:cs="宋体"/>
          <w:b w:val="0"/>
          <w:bCs/>
          <w:color w:val="000000"/>
          <w:sz w:val="24"/>
          <w:szCs w:val="28"/>
          <w:shd w:val="clear" w:color="auto" w:fill="auto"/>
        </w:rPr>
        <w:t>3）</w:t>
      </w:r>
      <w:r>
        <w:rPr>
          <w:rFonts w:hint="eastAsia" w:ascii="宋体" w:hAnsi="宋体" w:eastAsia="宋体" w:cs="宋体"/>
          <w:b/>
          <w:bCs/>
          <w:color w:val="000000"/>
          <w:sz w:val="24"/>
          <w:szCs w:val="28"/>
          <w:shd w:val="clear" w:color="auto" w:fill="auto"/>
        </w:rPr>
        <w:t>联合查询</w:t>
      </w:r>
      <w:r>
        <w:rPr>
          <w:rFonts w:hint="eastAsia" w:ascii="宋体" w:hAnsi="宋体" w:eastAsia="宋体" w:cs="宋体"/>
          <w:b w:val="0"/>
          <w:bCs/>
          <w:color w:val="000000"/>
          <w:sz w:val="24"/>
          <w:szCs w:val="28"/>
          <w:shd w:val="clear" w:color="auto" w:fill="auto"/>
        </w:rPr>
        <w:t>：联合查询</w:t>
      </w:r>
      <w:r>
        <w:rPr>
          <w:rFonts w:ascii="宋体" w:hAnsi="宋体" w:eastAsia="宋体" w:cs="宋体"/>
          <w:b w:val="0"/>
          <w:i w:val="0"/>
          <w:strike w:val="0"/>
          <w:spacing w:val="0"/>
          <w:sz w:val="24"/>
          <w:u w:val="none"/>
          <w:shd w:val="clear" w:color="auto" w:fill="auto"/>
        </w:rPr>
        <w:t>在数据隐私保护和多方合作中扮演着关键角色</w:t>
      </w:r>
      <w:r>
        <w:rPr>
          <w:rFonts w:ascii="宋体" w:hAnsi="宋体" w:eastAsia="宋体" w:cs="宋体"/>
          <w:b w:val="0"/>
          <w:strike w:val="0"/>
          <w:spacing w:val="0"/>
          <w:sz w:val="24"/>
          <w:u w:val="none"/>
          <w:shd w:val="clear" w:color="auto" w:fill="auto"/>
        </w:rPr>
        <w:t>，</w:t>
      </w:r>
      <w:r>
        <w:rPr>
          <w:rFonts w:hint="eastAsia" w:ascii="宋体" w:hAnsi="宋体" w:eastAsia="宋体" w:cs="宋体"/>
          <w:b w:val="0"/>
          <w:bCs/>
          <w:color w:val="000000"/>
          <w:sz w:val="24"/>
          <w:szCs w:val="28"/>
          <w:shd w:val="clear" w:color="auto" w:fill="auto"/>
        </w:rPr>
        <w:t>是实现联合统计、联合建模以及联合预测功能的基础，通常包括隐私集合求交、求并、求补、求差和隐私信息检索等功能。联合查询功能基于计算核心引擎中封装的安全协议（如</w:t>
      </w:r>
      <w:r>
        <w:rPr>
          <w:rFonts w:ascii="宋体" w:hAnsi="宋体" w:eastAsia="宋体" w:cs="宋体"/>
          <w:b w:val="0"/>
          <w:i w:val="0"/>
          <w:strike w:val="0"/>
          <w:spacing w:val="0"/>
          <w:sz w:val="24"/>
          <w:u w:val="none"/>
          <w:shd w:val="clear" w:color="auto" w:fill="auto"/>
        </w:rPr>
        <w:t>迪菲-赫尔曼密钥交换</w:t>
      </w:r>
      <w:r>
        <w:rPr>
          <w:rFonts w:ascii="宋体" w:hAnsi="宋体" w:eastAsia="宋体" w:cs="宋体"/>
          <w:b w:val="0"/>
          <w:strike w:val="0"/>
          <w:spacing w:val="0"/>
          <w:sz w:val="24"/>
          <w:u w:val="none"/>
          <w:shd w:val="clear" w:color="auto" w:fill="auto"/>
        </w:rPr>
        <w:t>和不经意传输等</w:t>
      </w:r>
      <w:r>
        <w:rPr>
          <w:rFonts w:hint="eastAsia" w:ascii="宋体" w:hAnsi="宋体" w:eastAsia="宋体" w:cs="宋体"/>
          <w:b w:val="0"/>
          <w:bCs/>
          <w:color w:val="000000"/>
          <w:sz w:val="24"/>
          <w:szCs w:val="28"/>
          <w:shd w:val="clear" w:color="auto" w:fill="auto"/>
        </w:rPr>
        <w:t>）实现。</w:t>
      </w:r>
    </w:p>
    <w:p>
      <w:pPr>
        <w:pBdr>
          <w:bottom w:val="none" w:color="auto" w:sz="0" w:space="0"/>
        </w:pBdr>
        <w:spacing w:line="360" w:lineRule="auto"/>
        <w:ind w:left="0" w:firstLineChars="200"/>
        <w:rPr>
          <w:rFonts w:hint="eastAsia" w:ascii="宋体" w:hAnsi="宋体" w:eastAsia="宋体" w:cs="宋体"/>
          <w:b w:val="0"/>
          <w:bCs/>
          <w:color w:val="000000"/>
          <w:sz w:val="24"/>
          <w:szCs w:val="28"/>
          <w:shd w:val="clear" w:color="auto" w:fill="auto"/>
        </w:rPr>
      </w:pPr>
      <w:r>
        <w:rPr>
          <w:rFonts w:hint="eastAsia" w:ascii="宋体" w:hAnsi="宋体" w:eastAsia="宋体" w:cs="宋体"/>
          <w:b w:val="0"/>
          <w:bCs/>
          <w:color w:val="000000"/>
          <w:sz w:val="24"/>
          <w:szCs w:val="28"/>
          <w:shd w:val="clear" w:color="auto" w:fill="auto"/>
        </w:rPr>
        <w:t>4）</w:t>
      </w:r>
      <w:r>
        <w:rPr>
          <w:rFonts w:hint="eastAsia" w:ascii="宋体" w:hAnsi="宋体" w:eastAsia="宋体" w:cs="宋体"/>
          <w:b/>
          <w:bCs/>
          <w:color w:val="000000"/>
          <w:sz w:val="24"/>
          <w:szCs w:val="28"/>
          <w:shd w:val="clear" w:color="auto" w:fill="auto"/>
        </w:rPr>
        <w:t>联合建模</w:t>
      </w:r>
      <w:r>
        <w:rPr>
          <w:rFonts w:hint="eastAsia" w:ascii="宋体" w:hAnsi="宋体" w:eastAsia="宋体" w:cs="宋体"/>
          <w:b w:val="0"/>
          <w:bCs/>
          <w:color w:val="000000"/>
          <w:sz w:val="24"/>
          <w:szCs w:val="28"/>
          <w:shd w:val="clear" w:color="auto" w:fill="auto"/>
        </w:rPr>
        <w:t>：联合建模通过联合多个数据拥有方来扩充样本数量或特征维度，以训练出效果更好的模型。联合建模功能包括横向和纵向的联邦LR, GBDT， DNN，迁移学习, 无监督学习，纵向半监督学习等。联合建模功能基于数据密态计算中封装的隐私机器学习算法进行实现。</w:t>
      </w:r>
    </w:p>
    <w:p>
      <w:pPr>
        <w:pBdr>
          <w:bottom w:val="none" w:color="auto" w:sz="0" w:space="0"/>
        </w:pBdr>
        <w:spacing w:line="360" w:lineRule="auto"/>
        <w:ind w:left="0" w:firstLineChars="200"/>
        <w:rPr>
          <w:rFonts w:hint="eastAsia" w:ascii="宋体" w:hAnsi="宋体" w:eastAsia="宋体" w:cs="宋体"/>
          <w:b w:val="0"/>
          <w:bCs/>
          <w:color w:val="000000"/>
          <w:sz w:val="24"/>
          <w:szCs w:val="28"/>
          <w:shd w:val="clear" w:color="auto" w:fill="auto"/>
        </w:rPr>
      </w:pPr>
      <w:r>
        <w:rPr>
          <w:rFonts w:hint="eastAsia" w:ascii="宋体" w:hAnsi="宋体" w:eastAsia="宋体" w:cs="宋体"/>
          <w:b w:val="0"/>
          <w:bCs/>
          <w:color w:val="000000"/>
          <w:sz w:val="24"/>
          <w:szCs w:val="28"/>
          <w:shd w:val="clear" w:color="auto" w:fill="auto"/>
        </w:rPr>
        <w:t>平台为</w:t>
      </w:r>
      <w:r>
        <w:rPr>
          <w:rFonts w:ascii="宋体" w:hAnsi="宋体" w:eastAsia="宋体" w:cs="宋体"/>
          <w:i w:val="0"/>
          <w:strike w:val="0"/>
          <w:color w:val="000000"/>
          <w:sz w:val="24"/>
          <w:u w:val="none"/>
        </w:rPr>
        <w:t>联合预测、联合统计、联合查询和联合建模</w:t>
      </w:r>
      <w:r>
        <w:rPr>
          <w:rFonts w:hint="eastAsia" w:ascii="宋体" w:hAnsi="宋体" w:eastAsia="宋体" w:cs="宋体"/>
          <w:b w:val="0"/>
          <w:bCs/>
          <w:color w:val="000000"/>
          <w:sz w:val="24"/>
          <w:szCs w:val="28"/>
          <w:shd w:val="clear" w:color="auto" w:fill="auto"/>
        </w:rPr>
        <w:t>组件提供了功能接口，接口内部封装了具体实现这些功能的算法和协议。通过这样的设计，我们的平台提供了丰富且高效的数据分析与挖掘应用支持。</w:t>
      </w:r>
    </w:p>
    <w:p>
      <w:pPr>
        <w:spacing w:line="360" w:lineRule="auto"/>
        <w:rPr>
          <w:rFonts w:ascii="宋体" w:hAnsi="宋体" w:eastAsia="宋体" w:cs="宋体"/>
          <w:color w:val="000000"/>
          <w:sz w:val="24"/>
        </w:rPr>
      </w:pPr>
    </w:p>
    <w:p>
      <w:pPr>
        <w:spacing w:line="360" w:lineRule="auto"/>
        <w:rPr>
          <w:rFonts w:ascii="宋体" w:hAnsi="宋体" w:eastAsia="宋体" w:cs="宋体"/>
          <w:b/>
          <w:color w:val="000000"/>
          <w:sz w:val="24"/>
        </w:rPr>
      </w:pPr>
      <w:r>
        <w:rPr>
          <w:rFonts w:ascii="宋体" w:hAnsi="宋体" w:eastAsia="宋体" w:cs="宋体"/>
          <w:b/>
          <w:color w:val="000000"/>
          <w:sz w:val="24"/>
        </w:rPr>
        <w:t>2.4应用验证</w:t>
      </w:r>
    </w:p>
    <w:p>
      <w:pPr>
        <w:pBdr>
          <w:bottom w:val="none" w:color="auto" w:sz="0" w:space="0"/>
        </w:pBdr>
        <w:snapToGrid/>
        <w:spacing w:before="0" w:after="0" w:line="36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 xml:space="preserve">    我们将在</w:t>
      </w:r>
      <w:r>
        <w:rPr>
          <w:rFonts w:ascii="宋体" w:hAnsi="宋体" w:eastAsia="宋体" w:cs="宋体"/>
          <w:b/>
          <w:i w:val="0"/>
          <w:strike w:val="0"/>
          <w:color w:val="000000"/>
          <w:sz w:val="24"/>
          <w:u w:val="none"/>
        </w:rPr>
        <w:t>基于区块链和普惠金融的银行贷款风控场景</w:t>
      </w:r>
      <w:r>
        <w:rPr>
          <w:rFonts w:ascii="宋体" w:hAnsi="宋体" w:eastAsia="宋体" w:cs="宋体"/>
          <w:b w:val="0"/>
          <w:i w:val="0"/>
          <w:strike w:val="0"/>
          <w:color w:val="000000"/>
          <w:sz w:val="24"/>
          <w:u w:val="none"/>
        </w:rPr>
        <w:t>、</w:t>
      </w:r>
      <w:r>
        <w:rPr>
          <w:rFonts w:ascii="宋体" w:hAnsi="宋体" w:eastAsia="宋体" w:cs="宋体"/>
          <w:b/>
          <w:i w:val="0"/>
          <w:strike w:val="0"/>
          <w:color w:val="000000"/>
          <w:sz w:val="24"/>
          <w:u w:val="none"/>
        </w:rPr>
        <w:t>药品经济学分析场景</w:t>
      </w:r>
      <w:r>
        <w:rPr>
          <w:rFonts w:ascii="宋体" w:hAnsi="宋体" w:eastAsia="宋体" w:cs="宋体"/>
          <w:b w:val="0"/>
          <w:i w:val="0"/>
          <w:strike w:val="0"/>
          <w:color w:val="000000"/>
          <w:sz w:val="24"/>
          <w:u w:val="none"/>
        </w:rPr>
        <w:t>、</w:t>
      </w:r>
      <w:r>
        <w:rPr>
          <w:rFonts w:ascii="宋体" w:hAnsi="宋体" w:eastAsia="宋体" w:cs="宋体"/>
          <w:b/>
          <w:i w:val="0"/>
          <w:strike w:val="0"/>
          <w:color w:val="000000"/>
          <w:sz w:val="24"/>
          <w:u w:val="none"/>
        </w:rPr>
        <w:t>保险产品制定场景、电子处方询价场景</w:t>
      </w:r>
      <w:r>
        <w:rPr>
          <w:rFonts w:ascii="宋体" w:hAnsi="宋体" w:eastAsia="宋体" w:cs="宋体"/>
          <w:b w:val="0"/>
          <w:i w:val="0"/>
          <w:strike w:val="0"/>
          <w:color w:val="000000"/>
          <w:sz w:val="24"/>
          <w:u w:val="none"/>
        </w:rPr>
        <w:t>和</w:t>
      </w:r>
      <w:r>
        <w:rPr>
          <w:rFonts w:ascii="宋体" w:hAnsi="宋体" w:eastAsia="宋体" w:cs="宋体"/>
          <w:b/>
          <w:i w:val="0"/>
          <w:strike w:val="0"/>
          <w:color w:val="000000"/>
          <w:sz w:val="24"/>
          <w:u w:val="none"/>
        </w:rPr>
        <w:t>基于疾病诊断的医保精准控费场景</w:t>
      </w:r>
      <w:r>
        <w:rPr>
          <w:rFonts w:ascii="宋体" w:hAnsi="宋体" w:eastAsia="宋体" w:cs="宋体"/>
          <w:i w:val="0"/>
          <w:strike w:val="0"/>
          <w:color w:val="000000"/>
          <w:sz w:val="24"/>
          <w:u w:val="none"/>
        </w:rPr>
        <w:t>对多源数据可信融合计算平台的适用性、可用性和可靠性等多个方面进行验证。</w:t>
      </w:r>
    </w:p>
    <w:p>
      <w:pPr>
        <w:snapToGrid/>
        <w:spacing w:before="0" w:after="0" w:line="360" w:lineRule="auto"/>
        <w:ind w:left="0" w:right="0"/>
      </w:pPr>
      <w:r>
        <w:rPr>
          <w:rFonts w:ascii="宋体" w:hAnsi="宋体" w:eastAsia="宋体" w:cs="宋体"/>
          <w:i w:val="0"/>
          <w:strike w:val="0"/>
          <w:color w:val="000000"/>
          <w:sz w:val="24"/>
          <w:u w:val="none"/>
        </w:rPr>
        <w:t>2.4.1 基于区块链和普惠金融的银行贷款风控场景</w:t>
      </w:r>
    </w:p>
    <w:p>
      <w:pPr>
        <w:snapToGrid/>
        <w:spacing w:before="0" w:after="0" w:line="360" w:lineRule="auto"/>
        <w:ind w:left="0" w:right="0"/>
      </w:pPr>
      <w:r>
        <w:tab/>
      </w:r>
      <w:r>
        <w:rPr>
          <w:rFonts w:ascii="宋体" w:hAnsi="宋体" w:eastAsia="宋体" w:cs="宋体"/>
          <w:i w:val="0"/>
          <w:strike w:val="0"/>
          <w:color w:val="000000"/>
          <w:sz w:val="24"/>
          <w:u w:val="none"/>
        </w:rPr>
        <w:t>在传统的银行贷款风控场景中：1）大数据局等数据所有方通过统计个人公积金等信息，将数据资产化后以数据明文的形式完成数据区块链上链。2）区块链提供数据安全保险服务，将公积金等数据资产在大数据局和银行等机构间安全流转。3）当客户请求贷款时，银行从区块链中获得下链的公积金等数据资产明文。4）银行将明文数据资产输入风控系统，经过未加密的风控模型计算，获得风控系数和预期贷款金额。</w:t>
      </w:r>
    </w:p>
    <w:p>
      <w:pPr>
        <w:snapToGrid/>
        <w:spacing w:before="0" w:after="0" w:line="360" w:lineRule="auto"/>
        <w:ind w:left="0" w:right="0" w:firstLineChars="200"/>
      </w:pPr>
      <w:r>
        <w:rPr>
          <w:rFonts w:ascii="宋体" w:hAnsi="宋体" w:eastAsia="宋体" w:cs="宋体"/>
          <w:i w:val="0"/>
          <w:strike w:val="0"/>
          <w:color w:val="000000"/>
          <w:sz w:val="24"/>
          <w:u w:val="none"/>
        </w:rPr>
        <w:t>然而，信息的过度披露导致数据隐私泄露的风险，目前该场景存在以下几个方面的困难和挑战：1）明文的公积金缴费基数、公积金余额、单位名称等信息直接暴露给了银行；而数据提供方缺乏相关的手段，无法监管数据的具体用途，存在信息泄露、信息贩卖的风险。2）银行风控系统中的风控模型，通过判定公积金缴费基数、公积金余额、单位名称等信息是否在一定范围内，或者是否满足某些规则，来输出风控系数和贷款金额。根据输入的明文数据和数据，相应判别项目和判别规则可能被恶意模拟和推测，导致银行风控模型出现泄露风险。</w:t>
      </w:r>
    </w:p>
    <w:p>
      <w:pPr>
        <w:pStyle w:val="16"/>
        <w:spacing w:before="0" w:beforeAutospacing="0" w:after="0" w:afterAutospacing="0" w:line="360" w:lineRule="auto"/>
        <w:ind w:left="0" w:firstLineChars="200"/>
        <w:rPr>
          <w:i w:val="0"/>
          <w:strike w:val="0"/>
          <w:spacing w:val="0"/>
          <w:u w:val="none"/>
        </w:rPr>
      </w:pPr>
      <w:r>
        <w:rPr>
          <w:i w:val="0"/>
          <w:strike w:val="0"/>
          <w:spacing w:val="0"/>
          <w:u w:val="none"/>
        </w:rPr>
        <w:t>为解决上述问题，本项目开发针对资产数据和风控模型的数据加密解密及密态计算算法，并提供对应算法的数据加工服务，以支撑该场景的计算和隐私保护需求：1）系统为银行和数据所有方提供数据加工服务，数据所有方将数据通过加工服务加密后进行区块链上链。2）当用户发起贷款请求后，区块链将数据密文传递到银行侧的数据加工服务中。3）银行将自己的模型加载到数据加工服务软件中，完成模型的加密。4）银行侧的数据加工服务软件，通过算法的密态计算能力，计算出风控系数后，由风控系统计算出最终贷款金额，提供给用户。系统保证了密态数据在密态模型中运算，即使得明文数据不出数据提供方本地、明文模型在银行方进行加密后使用，保证了银行贷款风控场景中的用户数据和风控模型的安全。</w:t>
      </w:r>
    </w:p>
    <w:p>
      <w:pPr>
        <w:pStyle w:val="16"/>
        <w:spacing w:before="0" w:beforeAutospacing="0" w:after="0" w:afterAutospacing="0" w:line="360" w:lineRule="auto"/>
        <w:ind w:left="0" w:firstLineChars="0"/>
        <w:rPr>
          <w:b w:val="0"/>
          <w:color w:val="000000"/>
        </w:rPr>
      </w:pPr>
      <w:r>
        <w:rPr>
          <w:b w:val="0"/>
          <w:color w:val="000000"/>
        </w:rPr>
        <w:drawing>
          <wp:inline distT="0" distB="0" distL="0" distR="0">
            <wp:extent cx="5274310" cy="2463165"/>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13"/>
                    <a:stretch>
                      <a:fillRect/>
                    </a:stretch>
                  </pic:blipFill>
                  <pic:spPr>
                    <a:xfrm>
                      <a:off x="0" y="0"/>
                      <a:ext cx="5274310" cy="2463377"/>
                    </a:xfrm>
                    <a:prstGeom prst="rect">
                      <a:avLst/>
                    </a:prstGeom>
                  </pic:spPr>
                </pic:pic>
              </a:graphicData>
            </a:graphic>
          </wp:inline>
        </w:drawing>
      </w:r>
    </w:p>
    <w:p>
      <w:pPr>
        <w:spacing w:line="360" w:lineRule="auto"/>
        <w:jc w:val="center"/>
        <w:rPr>
          <w:rFonts w:ascii="宋体" w:hAnsi="宋体" w:eastAsia="宋体" w:cs="宋体"/>
          <w:color w:val="000000"/>
          <w:sz w:val="24"/>
        </w:rPr>
      </w:pPr>
      <w:r>
        <w:rPr>
          <w:rFonts w:ascii="宋体" w:hAnsi="宋体" w:eastAsia="宋体" w:cs="宋体"/>
          <w:color w:val="000000"/>
          <w:sz w:val="24"/>
        </w:rPr>
        <w:t>图10. 基于区块链和普惠金融的银行贷款风控场景</w:t>
      </w:r>
    </w:p>
    <w:p/>
    <w:p>
      <w:pPr>
        <w:pStyle w:val="16"/>
        <w:spacing w:before="0" w:beforeAutospacing="0" w:after="0" w:afterAutospacing="0" w:line="360" w:lineRule="auto"/>
        <w:rPr>
          <w:rFonts w:hint="eastAsia"/>
          <w:b w:val="0"/>
          <w:bCs/>
          <w:color w:val="000000"/>
          <w:szCs w:val="28"/>
        </w:rPr>
      </w:pPr>
      <w:r>
        <w:rPr>
          <w:rFonts w:hint="eastAsia"/>
          <w:b w:val="0"/>
          <w:bCs/>
          <w:color w:val="000000"/>
          <w:szCs w:val="28"/>
        </w:rPr>
        <w:t>2.4.2 药品经济学分析场景</w:t>
      </w:r>
    </w:p>
    <w:p>
      <w:pPr>
        <w:pStyle w:val="16"/>
        <w:spacing w:before="0" w:beforeAutospacing="0" w:after="0" w:afterAutospacing="0" w:line="360" w:lineRule="auto"/>
        <w:rPr>
          <w:b w:val="0"/>
          <w:bCs/>
          <w:color w:val="000000"/>
          <w:szCs w:val="28"/>
        </w:rPr>
      </w:pPr>
    </w:p>
    <w:p>
      <w:pPr>
        <w:pStyle w:val="16"/>
        <w:spacing w:before="0" w:beforeAutospacing="0" w:after="0" w:afterAutospacing="0" w:line="360" w:lineRule="auto"/>
        <w:jc w:val="center"/>
        <w:rPr>
          <w:b/>
        </w:rPr>
      </w:pPr>
      <w:r>
        <w:drawing>
          <wp:inline distT="0" distB="0" distL="0" distR="0">
            <wp:extent cx="4579620" cy="1343660"/>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14"/>
                    <a:srcRect/>
                    <a:stretch>
                      <a:fillRect/>
                    </a:stretch>
                  </pic:blipFill>
                  <pic:spPr>
                    <a:xfrm>
                      <a:off x="0" y="0"/>
                      <a:ext cx="4579899" cy="1344015"/>
                    </a:xfrm>
                    <a:prstGeom prst="rect">
                      <a:avLst/>
                    </a:prstGeom>
                    <a:solidFill>
                      <a:srgbClr val="FFFFFF"/>
                    </a:solidFill>
                  </pic:spPr>
                </pic:pic>
              </a:graphicData>
            </a:graphic>
          </wp:inline>
        </w:drawing>
      </w:r>
    </w:p>
    <w:p>
      <w:pPr>
        <w:pStyle w:val="16"/>
        <w:spacing w:before="0" w:beforeAutospacing="0" w:after="0" w:afterAutospacing="0" w:line="360" w:lineRule="auto"/>
        <w:jc w:val="center"/>
      </w:pPr>
      <w:r>
        <w:t>图11. 药品经济学分析场景</w:t>
      </w:r>
    </w:p>
    <w:p>
      <w:pPr>
        <w:pStyle w:val="16"/>
        <w:spacing w:before="0" w:beforeAutospacing="0" w:after="0" w:afterAutospacing="0" w:line="360" w:lineRule="auto"/>
        <w:jc w:val="center"/>
        <w:rPr>
          <w:b/>
        </w:rPr>
      </w:pPr>
    </w:p>
    <w:p>
      <w:pPr>
        <w:pStyle w:val="16"/>
        <w:spacing w:before="0" w:beforeAutospacing="0" w:after="0" w:afterAutospacing="0" w:line="360" w:lineRule="auto"/>
        <w:ind w:firstLine="420"/>
        <w:rPr>
          <w:color w:val="000000"/>
        </w:rPr>
      </w:pPr>
      <w:r>
        <w:rPr>
          <w:color w:val="000000"/>
        </w:rPr>
        <w:t>在药品经济学分析场景中：1）医药企业根据实际需求编写漏斗式筛选条件。2）根据查询需求，基于隐私计算获取各个参与方的相关数据。医药企业据此优化供给侧的输出结构，以适应需求侧实际的发展。然而，目前该场景下存在以下问题与挑战：</w:t>
      </w:r>
    </w:p>
    <w:p>
      <w:pPr>
        <w:pStyle w:val="16"/>
        <w:spacing w:before="0" w:beforeAutospacing="0" w:after="0" w:afterAutospacing="0" w:line="360" w:lineRule="auto"/>
        <w:ind w:firstLine="420"/>
        <w:rPr>
          <w:b w:val="0"/>
          <w:color w:val="000000"/>
        </w:rPr>
      </w:pPr>
      <w:r>
        <w:rPr>
          <w:b w:val="0"/>
          <w:color w:val="000000"/>
        </w:rPr>
        <w:t>1）挖掘内容涉及各方隐私数据，因此如何做好敏感信息加密、保障挖掘过程隐私安全是亟需解决的问题。</w:t>
      </w:r>
    </w:p>
    <w:p>
      <w:pPr>
        <w:pStyle w:val="16"/>
        <w:spacing w:before="0" w:beforeAutospacing="0" w:after="0" w:afterAutospacing="0" w:line="360" w:lineRule="auto"/>
        <w:ind w:firstLine="420"/>
        <w:rPr>
          <w:b w:val="0"/>
          <w:color w:val="000000"/>
        </w:rPr>
      </w:pPr>
      <w:r>
        <w:rPr>
          <w:b w:val="0"/>
          <w:color w:val="000000"/>
        </w:rPr>
        <w:t>2）各个参与方系统存在多重异构现象，数据名称、类型，表单组织关系等并不一致，并且查询要求形式亦呈现多样性。因此，如何指导医药企业描述需求、基于平台帮助实现隐私查询，也是需要解决的关键问题。</w:t>
      </w:r>
    </w:p>
    <w:p>
      <w:pPr>
        <w:pStyle w:val="16"/>
        <w:spacing w:before="0" w:beforeAutospacing="0" w:after="0" w:afterAutospacing="0" w:line="360" w:lineRule="auto"/>
        <w:ind w:firstLine="420"/>
        <w:rPr>
          <w:b w:val="0"/>
          <w:color w:val="000000"/>
        </w:rPr>
      </w:pPr>
      <w:r>
        <w:rPr>
          <w:b w:val="0"/>
          <w:color w:val="000000"/>
        </w:rPr>
        <w:t>为解决上述问题，平台搭载了隐私安全相关模块以解决隐私安全问题，并根据平台搭载的诸多统计分析与联邦学习算法屏蔽多重异构场景下的查询差异，平台还为医药企业提供了基于漏斗式筛选条件的需求描述规范，通过构建统一编译体系，将漏斗式筛选条件转化为可被平台调度执行的隐私计算代码，从而实现药品经济学分析场景下跨源数据的可信融合计算。</w:t>
      </w:r>
    </w:p>
    <w:p>
      <w:pPr>
        <w:pStyle w:val="16"/>
        <w:spacing w:before="0" w:beforeAutospacing="0" w:after="0" w:afterAutospacing="0" w:line="360" w:lineRule="auto"/>
        <w:ind w:firstLine="420"/>
        <w:rPr>
          <w:color w:val="000000"/>
        </w:rPr>
      </w:pPr>
    </w:p>
    <w:p>
      <w:pPr>
        <w:spacing w:line="360" w:lineRule="auto"/>
        <w:rPr>
          <w:rFonts w:ascii="宋体" w:hAnsi="宋体" w:eastAsia="宋体" w:cs="宋体"/>
          <w:b w:val="0"/>
          <w:sz w:val="24"/>
        </w:rPr>
      </w:pPr>
      <w:r>
        <w:rPr>
          <w:rFonts w:hint="eastAsia" w:ascii="宋体" w:hAnsi="宋体" w:eastAsia="宋体" w:cs="宋体"/>
          <w:b w:val="0"/>
          <w:bCs/>
          <w:color w:val="000000"/>
          <w:sz w:val="24"/>
          <w:szCs w:val="28"/>
        </w:rPr>
        <w:t xml:space="preserve">2.4.3 </w:t>
      </w:r>
      <w:r>
        <w:rPr>
          <w:rFonts w:ascii="宋体" w:hAnsi="宋体" w:eastAsia="宋体" w:cs="宋体"/>
          <w:b w:val="0"/>
          <w:sz w:val="24"/>
        </w:rPr>
        <w:t>保险产品制定场景</w:t>
      </w:r>
    </w:p>
    <w:p>
      <w:pPr>
        <w:pStyle w:val="16"/>
        <w:spacing w:before="0" w:beforeAutospacing="0" w:after="0" w:afterAutospacing="0" w:line="360" w:lineRule="auto"/>
        <w:ind w:firstLine="420"/>
        <w:rPr>
          <w:color w:val="000000"/>
        </w:rPr>
      </w:pPr>
      <w:r>
        <w:rPr>
          <w:color w:val="000000"/>
        </w:rPr>
        <w:t>在保险产品制定场景中：1）保险机构首先需要对收集到的客户数据信息进行初步分析和挖掘。2）利用政府机构的的人社数据和医保数据来进一步帮助指导产品的制定。然而，目前该场景存在以下几个方面的困难和挑战：</w:t>
      </w:r>
    </w:p>
    <w:p>
      <w:pPr>
        <w:spacing w:line="360" w:lineRule="auto"/>
        <w:jc w:val="center"/>
        <w:rPr>
          <w:rFonts w:ascii="宋体" w:hAnsi="宋体" w:eastAsia="宋体" w:cs="宋体"/>
          <w:sz w:val="24"/>
        </w:rPr>
      </w:pPr>
      <w:r>
        <w:drawing>
          <wp:inline distT="0" distB="0" distL="0" distR="0">
            <wp:extent cx="4733925" cy="1681480"/>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15"/>
                    <a:srcRect/>
                    <a:stretch>
                      <a:fillRect/>
                    </a:stretch>
                  </pic:blipFill>
                  <pic:spPr>
                    <a:xfrm>
                      <a:off x="0" y="0"/>
                      <a:ext cx="4733925" cy="1682105"/>
                    </a:xfrm>
                    <a:prstGeom prst="rect">
                      <a:avLst/>
                    </a:prstGeom>
                    <a:solidFill>
                      <a:srgbClr val="FFFFFF"/>
                    </a:solidFill>
                  </pic:spPr>
                </pic:pic>
              </a:graphicData>
            </a:graphic>
          </wp:inline>
        </w:drawing>
      </w:r>
    </w:p>
    <w:p>
      <w:pPr>
        <w:spacing w:line="360" w:lineRule="auto"/>
        <w:jc w:val="center"/>
        <w:rPr>
          <w:rFonts w:ascii="宋体" w:hAnsi="宋体" w:eastAsia="宋体" w:cs="宋体"/>
          <w:sz w:val="24"/>
        </w:rPr>
      </w:pPr>
      <w:r>
        <w:rPr>
          <w:rFonts w:ascii="宋体" w:hAnsi="宋体" w:eastAsia="宋体" w:cs="宋体"/>
          <w:color w:val="000000"/>
          <w:sz w:val="24"/>
        </w:rPr>
        <w:t>图12. 保险产品制定</w:t>
      </w:r>
      <w:r>
        <w:rPr>
          <w:rFonts w:ascii="宋体" w:hAnsi="宋体" w:eastAsia="宋体" w:cs="宋体"/>
          <w:sz w:val="24"/>
        </w:rPr>
        <w:t>场景</w:t>
      </w:r>
    </w:p>
    <w:p>
      <w:pPr>
        <w:spacing w:line="360" w:lineRule="auto"/>
        <w:jc w:val="center"/>
        <w:rPr>
          <w:rFonts w:ascii="宋体" w:hAnsi="宋体" w:eastAsia="宋体" w:cs="宋体"/>
          <w:color w:val="000000"/>
          <w:sz w:val="24"/>
        </w:rPr>
      </w:pPr>
    </w:p>
    <w:p>
      <w:pPr>
        <w:spacing w:line="360" w:lineRule="auto"/>
        <w:ind w:firstLine="420"/>
        <w:rPr>
          <w:rFonts w:ascii="宋体" w:hAnsi="宋体" w:eastAsia="宋体" w:cs="宋体"/>
          <w:b w:val="0"/>
          <w:color w:val="000000"/>
          <w:sz w:val="24"/>
        </w:rPr>
      </w:pPr>
      <w:r>
        <w:rPr>
          <w:rFonts w:ascii="宋体" w:hAnsi="宋体" w:eastAsia="宋体" w:cs="宋体"/>
          <w:b w:val="0"/>
          <w:color w:val="000000"/>
          <w:sz w:val="24"/>
        </w:rPr>
        <w:t>1）保</w:t>
      </w:r>
      <w:r>
        <w:rPr>
          <w:rFonts w:ascii="宋体" w:hAnsi="宋体" w:eastAsia="宋体" w:cs="宋体"/>
          <w:b w:val="0"/>
          <w:sz w:val="24"/>
        </w:rPr>
        <w:t>险机构需要处理敏感的个人信息，例如个人金融信息等，因此数据分析与挖掘过程中，必须采取严格的数据隐私保护措施以确保客户的隐私得到保护。</w:t>
      </w:r>
    </w:p>
    <w:p>
      <w:pPr>
        <w:spacing w:line="360" w:lineRule="auto"/>
        <w:ind w:firstLine="420"/>
        <w:rPr>
          <w:rFonts w:ascii="宋体" w:hAnsi="宋体" w:eastAsia="宋体" w:cs="宋体"/>
          <w:b w:val="0"/>
          <w:color w:val="000000"/>
          <w:sz w:val="24"/>
        </w:rPr>
      </w:pPr>
      <w:r>
        <w:rPr>
          <w:rFonts w:ascii="宋体" w:hAnsi="宋体" w:eastAsia="宋体" w:cs="宋体"/>
          <w:b w:val="0"/>
          <w:color w:val="000000"/>
          <w:sz w:val="24"/>
        </w:rPr>
        <w:t>2）保险机构需要利用政府机构的人社数据和医保数据，但由于隐私安全条例限制，这些数据不能出域，因此需要实现数据可用不可见的条件下综合利用</w:t>
      </w:r>
      <w:r>
        <w:rPr>
          <w:rFonts w:ascii="宋体" w:hAnsi="宋体" w:eastAsia="宋体" w:cs="宋体"/>
          <w:b w:val="0"/>
          <w:sz w:val="24"/>
        </w:rPr>
        <w:t>政府机构的人社数据和医保数据</w:t>
      </w:r>
      <w:r>
        <w:rPr>
          <w:rFonts w:ascii="宋体" w:hAnsi="宋体" w:eastAsia="宋体" w:cs="宋体"/>
          <w:b w:val="0"/>
          <w:color w:val="000000"/>
          <w:sz w:val="24"/>
        </w:rPr>
        <w:t>。</w:t>
      </w:r>
    </w:p>
    <w:p>
      <w:pPr>
        <w:pStyle w:val="16"/>
        <w:spacing w:before="0" w:beforeAutospacing="0" w:after="0" w:afterAutospacing="0" w:line="360" w:lineRule="auto"/>
        <w:ind w:firstLine="420"/>
        <w:rPr>
          <w:color w:val="000000"/>
        </w:rPr>
      </w:pPr>
      <w:r>
        <w:rPr>
          <w:rFonts w:hint="eastAsia"/>
          <w:b w:val="0"/>
          <w:color w:val="000000"/>
        </w:rPr>
        <w:t>为解决上述问题，本项目将基于研发平台的可扩展算法定义模块集成</w:t>
      </w:r>
      <w:r>
        <w:rPr>
          <w:b w:val="0"/>
        </w:rPr>
        <w:t>基于匿名化处理的敏感信息混淆算法和基于差分隐私的联合统计算法</w:t>
      </w:r>
      <w:r>
        <w:rPr>
          <w:rFonts w:hint="eastAsia"/>
          <w:b w:val="0"/>
          <w:color w:val="000000"/>
        </w:rPr>
        <w:t>，以支撑该场景的计算需求。其中，</w:t>
      </w:r>
      <w:r>
        <w:rPr>
          <w:b w:val="0"/>
        </w:rPr>
        <w:t>基于匿名化处理的敏感信息混淆算法，通过对敏感数据进行信息混淆或批量删除，以确保用户数据的安全性和保密性。基于差分隐私的联合统计算法，通过基于拉普拉斯机制的差分隐私对数据持有者的隐私数据进行扰动，确保数据持有者的个体数据在分析过程</w:t>
      </w:r>
      <w:r>
        <w:t>中不被泄露。保险机构</w:t>
      </w:r>
      <w:r>
        <w:rPr>
          <w:rFonts w:hint="eastAsia"/>
          <w:color w:val="000000"/>
        </w:rPr>
        <w:t>可以基于本项目的研发平台通过平台集成的数据挖掘算法和工具来直接挖掘分析自有数据和间接利用政府机构的数据，最终制定具有竞争力的产品。</w:t>
      </w:r>
    </w:p>
    <w:p>
      <w:pPr>
        <w:pStyle w:val="16"/>
        <w:spacing w:before="0" w:beforeAutospacing="0" w:after="0" w:afterAutospacing="0" w:line="360" w:lineRule="auto"/>
        <w:ind w:firstLine="420"/>
      </w:pPr>
      <w:r>
        <w:t>通过基于区块链和普惠金融的银行贷款风控场景、基于疾病诊断分组的医保精准控费、药品经济学分析场景和保险产品制定场景，我们旨在验证所研发平台在数据安全流转、隐私保护、模型传输和业务应用方面的实际可用性。这些验证将为推动医疗和保险领域的数字化转型提供有力支持，同时也为未来类似领域的隐私保护和数据可信流转问题提供了有益借鉴。</w:t>
      </w:r>
    </w:p>
    <w:p>
      <w:pPr>
        <w:pStyle w:val="16"/>
        <w:spacing w:before="0" w:beforeAutospacing="0" w:after="0" w:afterAutospacing="0" w:line="360" w:lineRule="auto"/>
        <w:ind w:left="0" w:firstLine="0"/>
      </w:pPr>
    </w:p>
    <w:p>
      <w:pPr>
        <w:pStyle w:val="16"/>
        <w:spacing w:before="0" w:beforeAutospacing="0" w:after="0" w:afterAutospacing="0" w:line="360" w:lineRule="auto"/>
        <w:ind w:left="0" w:firstLine="0"/>
      </w:pPr>
      <w:r>
        <w:t>2.4.4 电子处方询价场景</w:t>
      </w:r>
    </w:p>
    <w:p>
      <w:pPr>
        <w:pStyle w:val="16"/>
        <w:spacing w:before="0" w:beforeAutospacing="0" w:after="0" w:afterAutospacing="0" w:line="360" w:lineRule="auto"/>
        <w:ind w:left="0" w:firstLine="0"/>
        <w:rPr>
          <w:rFonts w:ascii="宋体" w:hAnsi="宋体" w:eastAsia="宋体" w:cs="宋体"/>
          <w:color w:val="000000"/>
          <w:sz w:val="24"/>
        </w:rPr>
      </w:pPr>
      <w:r>
        <w:tab/>
      </w:r>
      <w:r>
        <w:t>在电子处方询价场景中，</w:t>
      </w:r>
      <w:r>
        <w:rPr>
          <w:rFonts w:ascii="宋体" w:hAnsi="宋体" w:eastAsia="宋体" w:cs="宋体"/>
          <w:color w:val="000000"/>
          <w:sz w:val="24"/>
        </w:rPr>
        <w:t>医保定点零售药店可以凭借定点医疗机构开具的电子外配处方销售药品：1）</w:t>
      </w:r>
      <w:r>
        <w:rPr>
          <w:rFonts w:hint="eastAsia" w:ascii="宋体" w:hAnsi="宋体" w:eastAsia="宋体" w:cs="宋体"/>
          <w:color w:val="000000"/>
          <w:sz w:val="24"/>
        </w:rPr>
        <w:t>用户通过处方询价平台</w:t>
      </w:r>
      <w:r>
        <w:rPr>
          <w:rFonts w:ascii="宋体" w:hAnsi="宋体" w:eastAsia="宋体" w:cs="宋体"/>
          <w:color w:val="000000"/>
          <w:sz w:val="24"/>
        </w:rPr>
        <w:t>选择电子处方，并根据排序选项，如“距离”、“费用”等进行排序和选择，发起处方的询价请求。2）</w:t>
      </w:r>
      <w:r>
        <w:rPr>
          <w:rFonts w:hint="eastAsia" w:ascii="宋体" w:hAnsi="宋体" w:eastAsia="宋体" w:cs="宋体"/>
          <w:color w:val="000000"/>
          <w:sz w:val="24"/>
        </w:rPr>
        <w:t>处方询价</w:t>
      </w:r>
      <w:r>
        <w:rPr>
          <w:rFonts w:ascii="宋体" w:hAnsi="宋体" w:eastAsia="宋体" w:cs="宋体"/>
          <w:color w:val="000000"/>
          <w:sz w:val="24"/>
        </w:rPr>
        <w:t>平台将处方中的药品名称、天数以及满足一定条件的药店药品信息输入算法模型，为处方匹配合适的药店。3）</w:t>
      </w:r>
      <w:r>
        <w:rPr>
          <w:rFonts w:hint="eastAsia" w:ascii="宋体" w:hAnsi="宋体" w:eastAsia="宋体" w:cs="宋体"/>
          <w:color w:val="000000"/>
          <w:sz w:val="24"/>
        </w:rPr>
        <w:t>处方询价</w:t>
      </w:r>
      <w:r>
        <w:rPr>
          <w:rFonts w:ascii="宋体" w:hAnsi="宋体" w:eastAsia="宋体" w:cs="宋体"/>
          <w:color w:val="000000"/>
          <w:sz w:val="24"/>
        </w:rPr>
        <w:t>平台依据输入的排序选项要求，向用户展示对应的药店信息列表，供用户选择。</w:t>
      </w:r>
    </w:p>
    <w:p>
      <w:pPr>
        <w:pStyle w:val="16"/>
        <w:spacing w:before="0" w:beforeAutospacing="0" w:after="0" w:afterAutospacing="0" w:line="360" w:lineRule="auto"/>
        <w:ind w:left="0" w:firstLine="0"/>
        <w:rPr>
          <w:rFonts w:hint="eastAsia" w:ascii="宋体" w:hAnsi="宋体" w:eastAsia="宋体" w:cs="宋体"/>
          <w:color w:val="000000"/>
          <w:sz w:val="24"/>
        </w:rPr>
      </w:pPr>
      <w:r>
        <w:rPr>
          <w:rFonts w:ascii="宋体" w:hAnsi="宋体" w:eastAsia="宋体" w:cs="宋体"/>
          <w:color w:val="000000"/>
          <w:sz w:val="24"/>
        </w:rPr>
        <w:tab/>
      </w:r>
      <w:r>
        <w:rPr>
          <w:rFonts w:ascii="宋体" w:hAnsi="宋体" w:eastAsia="宋体" w:cs="宋体"/>
          <w:color w:val="000000"/>
          <w:sz w:val="24"/>
        </w:rPr>
        <w:t>然而，电子处方的成功实施需要解决一系列隐私和数据安全等问题：1）</w:t>
      </w:r>
      <w:r>
        <w:rPr>
          <w:rFonts w:hint="eastAsia" w:ascii="宋体" w:hAnsi="宋体" w:eastAsia="宋体" w:cs="宋体"/>
          <w:color w:val="000000"/>
          <w:sz w:val="24"/>
        </w:rPr>
        <w:t>药店的药品信息、供销存信息等原始数据必须得到保护，而个人患病信息属于敏感信息，必须确保其不会被滥用或泄露。2）处方询价平台的处方询价模型根据输入的处方信息寻找合适的药店，存在恶意模拟用户不同处方输入，模型被推测和泄露的风险。3）处方询价场景中同时刻用户请求量大，对于处方询价平台的并发性能要求较高，部署在单节点上的处方询价模型可能无法达到对应的并发性能要求。</w:t>
      </w:r>
    </w:p>
    <w:p>
      <w:pPr>
        <w:pStyle w:val="16"/>
        <w:spacing w:before="0" w:beforeAutospacing="0" w:after="0" w:afterAutospacing="0" w:line="360" w:lineRule="auto"/>
        <w:ind w:left="0" w:firstLine="0"/>
        <w:rPr>
          <w:rFonts w:ascii="宋体" w:hAnsi="宋体" w:eastAsia="宋体" w:cs="宋体"/>
          <w:color w:val="000000"/>
          <w:sz w:val="24"/>
        </w:rPr>
      </w:pPr>
      <w:r>
        <w:rPr>
          <w:rFonts w:hint="eastAsia" w:ascii="宋体" w:hAnsi="宋体" w:eastAsia="宋体" w:cs="宋体"/>
          <w:color w:val="000000"/>
          <w:sz w:val="24"/>
        </w:rPr>
        <w:tab/>
      </w:r>
      <w:r>
        <w:rPr>
          <w:rFonts w:hint="eastAsia" w:ascii="宋体" w:hAnsi="宋体" w:eastAsia="宋体" w:cs="宋体"/>
          <w:color w:val="000000"/>
          <w:sz w:val="24"/>
        </w:rPr>
        <w:t>为了解决上述问题，本项目开发针对处方询价模型和对应的处方、药店信息的数据加工服务，提供对模型和数据的加密解密及密态计算算法：1）系统为药店和用户提供数据加密服务，数据所有方能够将数据加密后上传。2）系统将原有的处方询价模型进行加密，采用分布式系统，将密态处方询价模型部署在多个分布式节点上，以提供高并发的服务。3）用户发起处方询价请求后，请求     经处方询价平台转发后，将被匹配到空闲的分布式计算节点。密态处方数据及药店数据将输入到节点对应的密态模型中进行计算，计算出对应的密态</w:t>
      </w:r>
      <w:r>
        <w:rPr>
          <w:rFonts w:ascii="宋体" w:hAnsi="宋体" w:eastAsia="宋体" w:cs="宋体"/>
          <w:color w:val="000000"/>
          <w:sz w:val="24"/>
        </w:rPr>
        <w:t>药店信息列表后返回处方询价平台，解密后向用户展示。根据以上的算法服务流程，系统保证了输入数据和模型的安全性，并能提供较高并发的服务。</w:t>
      </w:r>
    </w:p>
    <w:p>
      <w:pPr>
        <w:pStyle w:val="16"/>
        <w:spacing w:before="0" w:beforeAutospacing="0" w:after="0" w:afterAutospacing="0" w:line="360" w:lineRule="auto"/>
        <w:ind w:left="0" w:firstLine="0"/>
        <w:rPr>
          <w:rFonts w:hint="eastAsia" w:ascii="宋体" w:hAnsi="宋体" w:eastAsia="宋体" w:cs="宋体"/>
          <w:color w:val="000000"/>
          <w:sz w:val="24"/>
        </w:rPr>
      </w:pPr>
      <w:r>
        <w:drawing>
          <wp:inline distT="0" distB="0" distL="0" distR="0">
            <wp:extent cx="5274310" cy="1487170"/>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16"/>
                    <a:srcRect/>
                    <a:stretch>
                      <a:fillRect/>
                    </a:stretch>
                  </pic:blipFill>
                  <pic:spPr>
                    <a:xfrm>
                      <a:off x="0" y="0"/>
                      <a:ext cx="5274310" cy="1487782"/>
                    </a:xfrm>
                    <a:prstGeom prst="rect">
                      <a:avLst/>
                    </a:prstGeom>
                  </pic:spPr>
                </pic:pic>
              </a:graphicData>
            </a:graphic>
          </wp:inline>
        </w:drawing>
      </w:r>
    </w:p>
    <w:p>
      <w:pPr>
        <w:spacing w:line="360" w:lineRule="auto"/>
        <w:jc w:val="center"/>
        <w:rPr>
          <w:rFonts w:ascii="宋体" w:hAnsi="宋体" w:eastAsia="宋体" w:cs="宋体"/>
          <w:color w:val="000000"/>
          <w:sz w:val="24"/>
        </w:rPr>
      </w:pPr>
      <w:r>
        <w:rPr>
          <w:rFonts w:ascii="宋体" w:hAnsi="宋体" w:eastAsia="宋体" w:cs="宋体"/>
          <w:color w:val="000000"/>
          <w:sz w:val="24"/>
        </w:rPr>
        <w:t>图13. 电子处方询价场景</w:t>
      </w:r>
    </w:p>
    <w:p>
      <w:pPr>
        <w:pBdr>
          <w:bottom w:val="none" w:color="auto" w:sz="0" w:space="0"/>
        </w:pBdr>
        <w:spacing w:line="360" w:lineRule="auto"/>
        <w:jc w:val="center"/>
        <w:rPr>
          <w:rFonts w:ascii="宋体" w:hAnsi="宋体" w:eastAsia="宋体" w:cs="宋体"/>
          <w:sz w:val="24"/>
        </w:rPr>
      </w:pPr>
    </w:p>
    <w:p>
      <w:pPr>
        <w:pStyle w:val="16"/>
        <w:spacing w:before="0" w:beforeAutospacing="0" w:after="0" w:afterAutospacing="0" w:line="360" w:lineRule="auto"/>
        <w:rPr>
          <w:b w:val="0"/>
          <w:bCs/>
          <w:color w:val="000000"/>
          <w:szCs w:val="28"/>
        </w:rPr>
      </w:pPr>
      <w:r>
        <w:rPr>
          <w:rFonts w:hint="eastAsia"/>
          <w:b w:val="0"/>
          <w:bCs/>
          <w:color w:val="000000"/>
          <w:szCs w:val="28"/>
        </w:rPr>
        <w:t xml:space="preserve">2.4.5 </w:t>
      </w:r>
      <w:r>
        <w:rPr>
          <w:b w:val="0"/>
        </w:rPr>
        <w:t>基于疾病诊断分组的医保精准控费场景</w:t>
      </w:r>
    </w:p>
    <w:p>
      <w:pPr>
        <w:pStyle w:val="16"/>
        <w:spacing w:before="0" w:beforeAutospacing="0" w:after="0" w:afterAutospacing="0" w:line="360" w:lineRule="auto"/>
        <w:ind w:firstLine="420"/>
      </w:pPr>
      <w:r>
        <w:t>在基于疾病诊断分组的医保精准控费场景中，以济南为例：1）济南医保局部署DRGs模型（局端模型），该模型由医保局专门采购，并且医保局仅公布分组目录和编码。2）各医院独立采购DRGs产品（院端模型），院端模型的承建厂商不能与局端模型的承建厂商相同。3）当参保人住院时，医院向院端模型录入参保人的信息来计算参保人此次住院的报销比例和金额。医院据此调整诊疗方案，旨在保证病人治疗效果和康复效果的情况下减少医院资金垫付，实现经费控制与精细化诊疗。然而，目前该场景存在以下几个方面的困难和挑战：</w:t>
      </w:r>
    </w:p>
    <w:p>
      <w:pPr>
        <w:pStyle w:val="16"/>
        <w:spacing w:before="0" w:beforeAutospacing="0" w:after="0" w:afterAutospacing="0" w:line="360" w:lineRule="auto"/>
        <w:ind w:firstLine="420"/>
        <w:jc w:val="center"/>
      </w:pPr>
      <w:r>
        <w:drawing>
          <wp:inline distT="0" distB="0" distL="0" distR="0">
            <wp:extent cx="3977005" cy="3068955"/>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17"/>
                    <a:srcRect/>
                    <a:stretch>
                      <a:fillRect/>
                    </a:stretch>
                  </pic:blipFill>
                  <pic:spPr>
                    <a:xfrm>
                      <a:off x="0" y="0"/>
                      <a:ext cx="3977005" cy="3068955"/>
                    </a:xfrm>
                    <a:prstGeom prst="rect">
                      <a:avLst/>
                    </a:prstGeom>
                    <a:solidFill>
                      <a:srgbClr val="FFFFFF"/>
                    </a:solidFill>
                  </pic:spPr>
                </pic:pic>
              </a:graphicData>
            </a:graphic>
          </wp:inline>
        </w:drawing>
      </w:r>
    </w:p>
    <w:p>
      <w:pPr>
        <w:spacing w:line="360" w:lineRule="auto"/>
        <w:jc w:val="center"/>
        <w:rPr>
          <w:rFonts w:ascii="宋体" w:hAnsi="宋体" w:eastAsia="宋体" w:cs="宋体"/>
          <w:color w:val="000000"/>
          <w:sz w:val="24"/>
        </w:rPr>
      </w:pPr>
      <w:r>
        <w:rPr>
          <w:rFonts w:ascii="宋体" w:hAnsi="宋体" w:eastAsia="宋体" w:cs="宋体"/>
          <w:color w:val="000000"/>
          <w:sz w:val="24"/>
        </w:rPr>
        <w:t>图14. 基于疾病诊断分组的医保精准控费场景</w:t>
      </w:r>
    </w:p>
    <w:p>
      <w:pPr>
        <w:spacing w:line="360" w:lineRule="auto"/>
        <w:jc w:val="center"/>
      </w:pPr>
    </w:p>
    <w:p>
      <w:pPr>
        <w:pStyle w:val="16"/>
        <w:spacing w:before="0" w:beforeAutospacing="0" w:after="0" w:afterAutospacing="0" w:line="360" w:lineRule="auto"/>
        <w:ind w:firstLine="420"/>
      </w:pPr>
      <w:r>
        <w:t>1）医保局端DRGs模型不公布具体分组规则、报销比例，且各医院的患者病例数据均属于隐私数据，因此，如何在实现数据隐私保护和数据可用不可见的条件下综合利用各家医院的疾病诊断数据，使得医院端DRGs模型接近局端模型的分组规则与报销比例是一个需要解决的关键问题。</w:t>
      </w:r>
    </w:p>
    <w:p>
      <w:pPr>
        <w:pStyle w:val="16"/>
        <w:spacing w:before="0" w:beforeAutospacing="0" w:after="0" w:afterAutospacing="0" w:line="360" w:lineRule="auto"/>
        <w:ind w:firstLine="420"/>
      </w:pPr>
      <w:r>
        <w:t>2）各医院各具特色、业务差异大，这些业务差异导致数据集之间存在明显的差异，因此需要综合考虑各个医院的业务差异对各自院端模型的影响，避免结果不均衡，导致有些医院收益过低或亏损。</w:t>
      </w:r>
    </w:p>
    <w:p>
      <w:pPr>
        <w:pStyle w:val="16"/>
        <w:spacing w:before="0" w:beforeAutospacing="0" w:after="0" w:afterAutospacing="0" w:line="360" w:lineRule="auto"/>
        <w:ind w:firstLine="420"/>
      </w:pPr>
      <w:r>
        <w:t>3）院端模型不能过于精准，以免导致医保经费被过早耗尽或者导致医疗水平急剧下降，因此如何平衡院端与局端模型是一个亟需解决的关键问题。</w:t>
      </w:r>
    </w:p>
    <w:p>
      <w:pPr>
        <w:pStyle w:val="16"/>
        <w:spacing w:before="0" w:beforeAutospacing="0" w:after="0" w:afterAutospacing="0" w:line="360" w:lineRule="auto"/>
        <w:ind w:firstLine="420"/>
      </w:pPr>
      <w:r>
        <w:t>为解决上述问题，本项目将基于研发平台的可扩展算法定义模块集成基于个性化联邦学习协同计算和基于动态博弈的智能决策隐私保护算法，以支撑该场景的计算需求。其中，基于个性化联邦学习协同计算算法具备横向联邦学习和纵向联邦学习的能力，以实现多医院间的数据可用但不可见条件下的信息安全共享和个性化模型训练。基于动态博弈的智能决策算法，通过求解博弈模型的纳什均衡解，帮助参与协作的各方制定最优策略，以最大化自身利益。各个医院可以基于本项目的研发平台来间接利用其它医院的数据，通过平台集成的数据挖掘算法和工具，进行数据的联合建模，最终建立起高效的院端模型。</w:t>
      </w:r>
    </w:p>
    <w:p>
      <w:pPr>
        <w:pStyle w:val="28"/>
        <w:spacing w:before="0" w:beforeAutospacing="0" w:after="0" w:afterAutospacing="0"/>
        <w:rPr>
          <w:b/>
          <w:bCs/>
          <w:color w:val="000000"/>
          <w:sz w:val="28"/>
          <w:szCs w:val="28"/>
        </w:rPr>
      </w:pPr>
    </w:p>
    <w:p>
      <w:pPr>
        <w:pStyle w:val="28"/>
        <w:pBdr>
          <w:bottom w:val="none" w:color="auto" w:sz="0" w:space="0"/>
        </w:pBdr>
        <w:spacing w:before="0" w:beforeAutospacing="0" w:after="0" w:afterAutospacing="0"/>
        <w:rPr>
          <w:b/>
          <w:bCs/>
          <w:color w:val="000000"/>
          <w:sz w:val="28"/>
          <w:szCs w:val="28"/>
        </w:rPr>
      </w:pPr>
      <w:r>
        <w:rPr>
          <w:b/>
          <w:bCs/>
          <w:color w:val="000000"/>
          <w:sz w:val="28"/>
          <w:szCs w:val="28"/>
        </w:rPr>
        <w:t>3.研发计划</w:t>
      </w:r>
    </w:p>
    <w:p>
      <w:r>
        <w:rPr>
          <w:rFonts w:ascii="宋体" w:hAnsi="宋体" w:eastAsia="宋体" w:cs="宋体"/>
          <w:b/>
          <w:color w:val="000000"/>
          <w:sz w:val="24"/>
        </w:rPr>
        <w:t>3.1项目期限</w:t>
      </w:r>
      <w:r>
        <w:rPr>
          <w:rFonts w:ascii="宋体" w:hAnsi="宋体" w:eastAsia="宋体" w:cs="宋体"/>
          <w:color w:val="000000"/>
          <w:sz w:val="24"/>
        </w:rPr>
        <w:t>：以实际合同签字生效日期为准，合同期1年。</w:t>
      </w:r>
    </w:p>
    <w:p>
      <w:r>
        <w:rPr>
          <w:rFonts w:ascii="宋体" w:hAnsi="宋体" w:eastAsia="宋体" w:cs="宋体"/>
          <w:b/>
          <w:color w:val="000000"/>
          <w:sz w:val="24"/>
        </w:rPr>
        <w:t>3.2进度安排</w:t>
      </w:r>
      <w:r>
        <w:rPr>
          <w:rFonts w:ascii="宋体" w:hAnsi="宋体" w:eastAsia="宋体" w:cs="宋体"/>
          <w:color w:val="000000"/>
          <w:sz w:val="24"/>
        </w:rPr>
        <w:t>：</w:t>
      </w:r>
    </w:p>
    <w:tbl>
      <w:tblPr>
        <w:tblStyle w:val="10"/>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990"/>
        <w:gridCol w:w="2670"/>
        <w:gridCol w:w="2025"/>
        <w:gridCol w:w="258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00" w:hRule="atLeast"/>
        </w:trPr>
        <w:tc>
          <w:tcPr>
            <w:tcW w:w="990" w:type="dxa"/>
            <w:tcBorders>
              <w:top w:val="single" w:color="000000" w:sz="6" w:space="0"/>
              <w:left w:val="single" w:color="000000" w:sz="6" w:space="0"/>
              <w:bottom w:val="single" w:color="000000" w:sz="6" w:space="0"/>
              <w:right w:val="single" w:color="000000" w:sz="6" w:space="0"/>
            </w:tcBorders>
            <w:shd w:val="clear" w:color="auto" w:fill="FFCC99"/>
            <w:tcMar>
              <w:top w:w="0" w:type="dxa"/>
              <w:left w:w="99" w:type="dxa"/>
              <w:bottom w:w="0" w:type="dxa"/>
              <w:right w:w="99" w:type="dxa"/>
            </w:tcMar>
            <w:vAlign w:val="center"/>
          </w:tcPr>
          <w:p>
            <w:pPr>
              <w:jc w:val="center"/>
            </w:pPr>
            <w:r>
              <w:rPr>
                <w:rFonts w:ascii="宋体" w:hAnsi="宋体" w:eastAsia="宋体" w:cs="宋体"/>
                <w:b/>
                <w:color w:val="000000"/>
                <w:sz w:val="24"/>
              </w:rPr>
              <w:t>阶段</w:t>
            </w:r>
          </w:p>
        </w:tc>
        <w:tc>
          <w:tcPr>
            <w:tcW w:w="2670" w:type="dxa"/>
            <w:tcBorders>
              <w:top w:val="single" w:color="000000" w:sz="6" w:space="0"/>
              <w:left w:val="single" w:color="000000" w:sz="6" w:space="0"/>
              <w:bottom w:val="single" w:color="000000" w:sz="6" w:space="0"/>
              <w:right w:val="single" w:color="000000" w:sz="6" w:space="0"/>
            </w:tcBorders>
            <w:shd w:val="clear" w:color="auto" w:fill="FFCC99"/>
            <w:tcMar>
              <w:top w:w="0" w:type="dxa"/>
              <w:left w:w="99" w:type="dxa"/>
              <w:bottom w:w="0" w:type="dxa"/>
              <w:right w:w="99" w:type="dxa"/>
            </w:tcMar>
            <w:vAlign w:val="center"/>
          </w:tcPr>
          <w:p>
            <w:pPr>
              <w:jc w:val="center"/>
            </w:pPr>
            <w:r>
              <w:rPr>
                <w:rFonts w:ascii="宋体" w:hAnsi="宋体" w:eastAsia="宋体" w:cs="宋体"/>
                <w:b/>
                <w:color w:val="000000"/>
                <w:sz w:val="24"/>
              </w:rPr>
              <w:t>研究内容</w:t>
            </w:r>
          </w:p>
        </w:tc>
        <w:tc>
          <w:tcPr>
            <w:tcW w:w="2025" w:type="dxa"/>
            <w:tcBorders>
              <w:top w:val="single" w:color="000000" w:sz="6" w:space="0"/>
              <w:left w:val="single" w:color="000000" w:sz="6" w:space="0"/>
              <w:bottom w:val="single" w:color="000000" w:sz="6" w:space="0"/>
              <w:right w:val="single" w:color="000000" w:sz="6" w:space="0"/>
            </w:tcBorders>
            <w:shd w:val="clear" w:color="auto" w:fill="FFCC99"/>
            <w:tcMar>
              <w:top w:w="0" w:type="dxa"/>
              <w:left w:w="99" w:type="dxa"/>
              <w:bottom w:w="0" w:type="dxa"/>
              <w:right w:w="99" w:type="dxa"/>
            </w:tcMar>
            <w:vAlign w:val="center"/>
          </w:tcPr>
          <w:p>
            <w:pPr>
              <w:jc w:val="center"/>
            </w:pPr>
            <w:r>
              <w:rPr>
                <w:rFonts w:ascii="宋体" w:hAnsi="宋体" w:eastAsia="宋体" w:cs="宋体"/>
                <w:b/>
                <w:color w:val="000000"/>
                <w:sz w:val="24"/>
              </w:rPr>
              <w:t>时间</w:t>
            </w:r>
          </w:p>
        </w:tc>
        <w:tc>
          <w:tcPr>
            <w:tcW w:w="2580" w:type="dxa"/>
            <w:tcBorders>
              <w:top w:val="single" w:color="000000" w:sz="6" w:space="0"/>
              <w:left w:val="single" w:color="000000" w:sz="6" w:space="0"/>
              <w:bottom w:val="single" w:color="000000" w:sz="6" w:space="0"/>
              <w:right w:val="single" w:color="000000" w:sz="6" w:space="0"/>
            </w:tcBorders>
            <w:shd w:val="clear" w:color="auto" w:fill="FFCC99"/>
            <w:tcMar>
              <w:top w:w="0" w:type="dxa"/>
              <w:left w:w="99" w:type="dxa"/>
              <w:bottom w:w="0" w:type="dxa"/>
              <w:right w:w="99" w:type="dxa"/>
            </w:tcMar>
            <w:vAlign w:val="center"/>
          </w:tcPr>
          <w:p>
            <w:pPr>
              <w:jc w:val="center"/>
            </w:pPr>
            <w:r>
              <w:rPr>
                <w:rFonts w:ascii="宋体" w:hAnsi="宋体" w:eastAsia="宋体" w:cs="宋体"/>
                <w:b/>
                <w:color w:val="000000"/>
                <w:sz w:val="24"/>
              </w:rPr>
              <w:t>提交结果</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89" w:hRule="atLeast"/>
        </w:trPr>
        <w:tc>
          <w:tcPr>
            <w:tcW w:w="990" w:type="dxa"/>
            <w:tcBorders>
              <w:top w:val="single" w:color="000000"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1</w:t>
            </w:r>
          </w:p>
        </w:tc>
        <w:tc>
          <w:tcPr>
            <w:tcW w:w="2670" w:type="dxa"/>
            <w:tcBorders>
              <w:top w:val="single" w:color="CBCDD1"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隐私计算框架分析、多源数据可信融合计算平台设计</w:t>
            </w:r>
          </w:p>
        </w:tc>
        <w:tc>
          <w:tcPr>
            <w:tcW w:w="2025" w:type="dxa"/>
            <w:tcBorders>
              <w:top w:val="single" w:color="CBCDD1"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T~T+3个月</w:t>
            </w:r>
          </w:p>
        </w:tc>
        <w:tc>
          <w:tcPr>
            <w:tcW w:w="2580" w:type="dxa"/>
            <w:tcBorders>
              <w:top w:val="single" w:color="CBCDD1"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项目报告书</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89" w:hRule="atLeast"/>
        </w:trPr>
        <w:tc>
          <w:tcPr>
            <w:tcW w:w="990" w:type="dxa"/>
            <w:tcBorders>
              <w:top w:val="single" w:color="000000"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2</w:t>
            </w:r>
          </w:p>
        </w:tc>
        <w:tc>
          <w:tcPr>
            <w:tcW w:w="2670" w:type="dxa"/>
            <w:tcBorders>
              <w:top w:val="single" w:color="CBCDD1"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多源数据可信融合计算平台开发、扩展算法研发</w:t>
            </w:r>
          </w:p>
        </w:tc>
        <w:tc>
          <w:tcPr>
            <w:tcW w:w="2025" w:type="dxa"/>
            <w:tcBorders>
              <w:top w:val="single" w:color="CBCDD1"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T+3~T+6个月</w:t>
            </w:r>
          </w:p>
        </w:tc>
        <w:tc>
          <w:tcPr>
            <w:tcW w:w="2580" w:type="dxa"/>
            <w:tcBorders>
              <w:top w:val="single" w:color="CBCDD1"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源代码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89" w:hRule="atLeast"/>
        </w:trPr>
        <w:tc>
          <w:tcPr>
            <w:tcW w:w="990" w:type="dxa"/>
            <w:tcBorders>
              <w:top w:val="single" w:color="000000"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3</w:t>
            </w:r>
          </w:p>
        </w:tc>
        <w:tc>
          <w:tcPr>
            <w:tcW w:w="2670" w:type="dxa"/>
            <w:tcBorders>
              <w:top w:val="single" w:color="CBCDD1"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多源数据可信融合计算平台场景验证、测试</w:t>
            </w:r>
          </w:p>
        </w:tc>
        <w:tc>
          <w:tcPr>
            <w:tcW w:w="2025" w:type="dxa"/>
            <w:tcBorders>
              <w:top w:val="single" w:color="CBCDD1"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T+6~T+9个月</w:t>
            </w:r>
          </w:p>
        </w:tc>
        <w:tc>
          <w:tcPr>
            <w:tcW w:w="2580" w:type="dxa"/>
            <w:tcBorders>
              <w:top w:val="single" w:color="CBCDD1"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项目报告书</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589" w:hRule="atLeast"/>
        </w:trPr>
        <w:tc>
          <w:tcPr>
            <w:tcW w:w="990" w:type="dxa"/>
            <w:tcBorders>
              <w:top w:val="single" w:color="000000"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4</w:t>
            </w:r>
          </w:p>
        </w:tc>
        <w:tc>
          <w:tcPr>
            <w:tcW w:w="2670" w:type="dxa"/>
            <w:tcBorders>
              <w:top w:val="single" w:color="CBCDD1"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扩展算法论文撰写、软著专利等申请</w:t>
            </w:r>
          </w:p>
        </w:tc>
        <w:tc>
          <w:tcPr>
            <w:tcW w:w="2025" w:type="dxa"/>
            <w:tcBorders>
              <w:top w:val="single" w:color="CBCDD1"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T+9~T+12个月</w:t>
            </w:r>
          </w:p>
        </w:tc>
        <w:tc>
          <w:tcPr>
            <w:tcW w:w="2580" w:type="dxa"/>
            <w:tcBorders>
              <w:top w:val="single" w:color="CBCDD1" w:sz="6" w:space="0"/>
              <w:left w:val="single" w:color="000000" w:sz="6" w:space="0"/>
              <w:bottom w:val="single" w:color="000000" w:sz="6" w:space="0"/>
              <w:right w:val="single" w:color="000000" w:sz="6" w:space="0"/>
            </w:tcBorders>
            <w:tcMar>
              <w:top w:w="0" w:type="dxa"/>
              <w:left w:w="99" w:type="dxa"/>
              <w:bottom w:w="0" w:type="dxa"/>
              <w:right w:w="99" w:type="dxa"/>
            </w:tcMar>
            <w:vAlign w:val="center"/>
          </w:tcPr>
          <w:p>
            <w:pPr>
              <w:jc w:val="center"/>
            </w:pPr>
            <w:r>
              <w:rPr>
                <w:rFonts w:ascii="宋体" w:hAnsi="宋体" w:eastAsia="宋体" w:cs="宋体"/>
                <w:color w:val="000000"/>
                <w:sz w:val="24"/>
              </w:rPr>
              <w:t>论文、专利</w:t>
            </w:r>
          </w:p>
        </w:tc>
      </w:tr>
    </w:tbl>
    <w:p>
      <w:pPr>
        <w:pStyle w:val="28"/>
        <w:spacing w:before="0" w:beforeAutospacing="0" w:after="0" w:afterAutospacing="0"/>
        <w:rPr>
          <w:b/>
          <w:bCs/>
          <w:color w:val="000000"/>
          <w:sz w:val="28"/>
          <w:szCs w:val="28"/>
        </w:rPr>
      </w:pPr>
    </w:p>
    <w:p>
      <w:pPr>
        <w:pStyle w:val="28"/>
        <w:spacing w:before="0" w:beforeAutospacing="0" w:after="0" w:afterAutospacing="0"/>
        <w:rPr>
          <w:b/>
          <w:bCs/>
          <w:color w:val="000000"/>
          <w:sz w:val="28"/>
          <w:szCs w:val="28"/>
        </w:rPr>
      </w:pPr>
      <w:r>
        <w:rPr>
          <w:b/>
          <w:bCs/>
          <w:color w:val="000000"/>
          <w:sz w:val="28"/>
          <w:szCs w:val="28"/>
        </w:rPr>
        <w:t>4.预期成果</w:t>
      </w:r>
    </w:p>
    <w:p>
      <w:pPr>
        <w:spacing w:line="360" w:lineRule="auto"/>
        <w:ind w:left="0" w:firstLine="0"/>
        <w:rPr>
          <w:rFonts w:ascii="宋体" w:hAnsi="宋体" w:eastAsia="宋体" w:cs="宋体"/>
          <w:color w:val="000000"/>
          <w:sz w:val="24"/>
        </w:rPr>
      </w:pPr>
      <w:r>
        <w:rPr>
          <w:rFonts w:ascii="宋体" w:hAnsi="宋体" w:eastAsia="宋体" w:cs="宋体"/>
          <w:b/>
          <w:color w:val="000000"/>
          <w:sz w:val="24"/>
        </w:rPr>
        <w:t>论文</w:t>
      </w:r>
      <w:r>
        <w:rPr>
          <w:rFonts w:ascii="宋体" w:hAnsi="宋体" w:eastAsia="宋体" w:cs="宋体"/>
          <w:color w:val="000000"/>
          <w:sz w:val="24"/>
        </w:rPr>
        <w:t>：合作投稿或发表CCF-A类或者领域内顶级会议、一区期刊论文2篇。</w:t>
      </w:r>
    </w:p>
    <w:p>
      <w:pPr>
        <w:spacing w:line="360" w:lineRule="auto"/>
        <w:ind w:left="0" w:firstLine="0"/>
        <w:rPr>
          <w:rFonts w:ascii="宋体" w:hAnsi="宋体" w:eastAsia="宋体" w:cs="宋体"/>
          <w:color w:val="000000"/>
          <w:sz w:val="24"/>
        </w:rPr>
      </w:pPr>
      <w:r>
        <w:rPr>
          <w:rFonts w:ascii="宋体" w:hAnsi="宋体" w:eastAsia="宋体" w:cs="宋体"/>
          <w:b/>
          <w:color w:val="000000"/>
          <w:sz w:val="24"/>
        </w:rPr>
        <w:t>专利</w:t>
      </w:r>
      <w:r>
        <w:rPr>
          <w:rFonts w:ascii="宋体" w:hAnsi="宋体" w:eastAsia="宋体" w:cs="宋体"/>
          <w:color w:val="000000"/>
          <w:sz w:val="24"/>
        </w:rPr>
        <w:t>：以山大地纬公司为申请人，提交国内发明专利申请3项。</w:t>
      </w:r>
    </w:p>
    <w:p>
      <w:pPr>
        <w:pBdr>
          <w:bottom w:val="none" w:color="auto" w:sz="0" w:space="0"/>
        </w:pBdr>
        <w:snapToGrid/>
        <w:spacing w:line="360" w:lineRule="auto"/>
        <w:ind w:left="0" w:firstLineChars="0"/>
        <w:rPr>
          <w:rFonts w:ascii="宋体" w:hAnsi="宋体" w:eastAsia="宋体" w:cs="宋体"/>
          <w:i w:val="0"/>
          <w:strike w:val="0"/>
          <w:spacing w:val="0"/>
          <w:sz w:val="24"/>
          <w:u w:val="none"/>
          <w:shd w:val="clear" w:color="auto" w:fill="FFFFFF"/>
        </w:rPr>
      </w:pPr>
      <w:r>
        <w:rPr>
          <w:rFonts w:ascii="宋体" w:hAnsi="宋体" w:eastAsia="宋体" w:cs="宋体"/>
          <w:b/>
          <w:color w:val="000000"/>
          <w:sz w:val="24"/>
        </w:rPr>
        <w:t>平台</w:t>
      </w:r>
      <w:r>
        <w:rPr>
          <w:rFonts w:ascii="宋体" w:hAnsi="宋体" w:eastAsia="宋体" w:cs="宋体"/>
          <w:color w:val="000000"/>
          <w:sz w:val="24"/>
        </w:rPr>
        <w:t>：</w:t>
      </w:r>
      <w:r>
        <w:rPr>
          <w:rFonts w:ascii="宋体" w:hAnsi="宋体" w:eastAsia="宋体" w:cs="宋体"/>
          <w:color w:val="000000"/>
          <w:sz w:val="24"/>
          <w:shd w:val="clear" w:color="auto" w:fill="FFFFFF"/>
        </w:rPr>
        <w:t>本项目期望实现一个功能全面的</w:t>
      </w:r>
      <w:r>
        <w:rPr>
          <w:rFonts w:ascii="宋体" w:hAnsi="宋体" w:eastAsia="宋体" w:cs="宋体"/>
          <w:i w:val="0"/>
          <w:strike w:val="0"/>
          <w:spacing w:val="0"/>
          <w:sz w:val="24"/>
          <w:u w:val="none"/>
          <w:shd w:val="clear" w:color="auto" w:fill="FFFFFF"/>
        </w:rPr>
        <w:t>多源数据可信融合计算平台，其建设内容主要包含:一套支持易用隐私计算脚本、任务调度和数据密态计算的多源数据可信融合计算核心引擎，一套支持多源数据接入、部署运维和系统状态监测的管理工具和一套支持多机构进行</w:t>
      </w:r>
      <w:r>
        <w:rPr>
          <w:rFonts w:ascii="宋体" w:hAnsi="宋体" w:eastAsia="宋体" w:cs="宋体"/>
          <w:i w:val="0"/>
          <w:strike w:val="0"/>
          <w:color w:val="000000"/>
          <w:sz w:val="24"/>
          <w:u w:val="none"/>
        </w:rPr>
        <w:t>联合预测、联合统计、联合查询和联合建模</w:t>
      </w:r>
      <w:r>
        <w:rPr>
          <w:rFonts w:ascii="宋体" w:hAnsi="宋体" w:eastAsia="宋体" w:cs="宋体"/>
          <w:i w:val="0"/>
          <w:strike w:val="0"/>
          <w:spacing w:val="0"/>
          <w:sz w:val="24"/>
          <w:u w:val="none"/>
          <w:shd w:val="clear" w:color="auto" w:fill="FFFFFF"/>
        </w:rPr>
        <w:t>的平台应用组件库。最终交付的产品根据信通院的功能、安全、性能等标准进行开发，具备能够通过检测的能力。</w:t>
      </w:r>
    </w:p>
    <w:p>
      <w:pPr>
        <w:spacing w:line="360" w:lineRule="auto"/>
        <w:ind w:firstLine="480"/>
        <w:rPr>
          <w:rFonts w:ascii="宋体" w:hAnsi="宋体" w:eastAsia="宋体" w:cs="宋体"/>
          <w:color w:val="000000"/>
          <w:sz w:val="24"/>
        </w:rPr>
      </w:pPr>
      <w:r>
        <w:rPr>
          <w:rFonts w:ascii="宋体" w:hAnsi="宋体" w:eastAsia="宋体" w:cs="宋体"/>
          <w:color w:val="000000"/>
          <w:sz w:val="24"/>
        </w:rPr>
        <w:t>通过以上平台开发，本项目能够支持</w:t>
      </w:r>
      <w:r>
        <w:rPr>
          <w:rFonts w:ascii="宋体" w:hAnsi="宋体" w:eastAsia="宋体" w:cs="宋体"/>
          <w:i w:val="0"/>
          <w:strike w:val="0"/>
          <w:color w:val="000000"/>
          <w:sz w:val="24"/>
          <w:u w:val="none"/>
        </w:rPr>
        <w:t>基于区块链和普惠金融的银行贷款风控、</w:t>
      </w:r>
      <w:r>
        <w:rPr>
          <w:rFonts w:ascii="宋体" w:hAnsi="宋体" w:eastAsia="宋体" w:cs="宋体"/>
          <w:color w:val="000000"/>
          <w:sz w:val="24"/>
        </w:rPr>
        <w:t>药品经济学分析场景、保险产品制定场景、电子处方询价场景和基于疾病诊断的医保精准控费场景等业务需求，这将有助于医疗和金融领域的数据安全流转、模型协同训练和智能决策的实现。</w:t>
      </w:r>
    </w:p>
    <w:p>
      <w:pPr>
        <w:pBdr>
          <w:bottom w:val="none" w:color="auto" w:sz="0" w:space="0"/>
        </w:pBdr>
        <w:spacing w:line="360" w:lineRule="auto"/>
        <w:ind w:left="0" w:firstLine="0"/>
        <w:rPr>
          <w:rFonts w:ascii="宋体" w:hAnsi="宋体" w:eastAsia="宋体" w:cs="宋体"/>
          <w:color w:val="000000"/>
          <w:sz w:val="24"/>
        </w:rPr>
      </w:pPr>
    </w:p>
    <w:p>
      <w:pPr>
        <w:pStyle w:val="28"/>
        <w:pBdr>
          <w:bottom w:val="none" w:color="auto" w:sz="0" w:space="0"/>
        </w:pBdr>
        <w:spacing w:before="0" w:beforeAutospacing="0" w:after="0" w:afterAutospacing="0"/>
        <w:rPr>
          <w:b/>
          <w:bCs/>
          <w:color w:val="000000"/>
          <w:sz w:val="28"/>
          <w:szCs w:val="28"/>
        </w:rPr>
      </w:pPr>
      <w:r>
        <w:rPr>
          <w:b/>
          <w:bCs/>
          <w:color w:val="000000"/>
          <w:sz w:val="28"/>
          <w:szCs w:val="28"/>
        </w:rPr>
        <w:t>5.人力投入</w:t>
      </w:r>
      <w:bookmarkStart w:id="0" w:name="_GoBack"/>
      <w:bookmarkEnd w:id="0"/>
    </w:p>
    <w:tbl>
      <w:tblPr>
        <w:tblStyle w:val="10"/>
        <w:tblW w:w="0" w:type="auto"/>
        <w:jc w:val="cente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275"/>
        <w:gridCol w:w="1399"/>
        <w:gridCol w:w="1423"/>
        <w:gridCol w:w="3816"/>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675" w:hRule="atLeast"/>
          <w:jc w:val="center"/>
        </w:trPr>
        <w:tc>
          <w:tcPr>
            <w:tcW w:w="1275" w:type="dxa"/>
            <w:tcBorders>
              <w:top w:val="single" w:color="000000" w:sz="6" w:space="0"/>
              <w:left w:val="single" w:color="000000" w:sz="6" w:space="0"/>
              <w:bottom w:val="single" w:color="000000" w:sz="6" w:space="0"/>
              <w:right w:val="single" w:color="000000" w:sz="6" w:space="0"/>
            </w:tcBorders>
            <w:shd w:val="clear" w:color="auto" w:fill="FFDCC4"/>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b/>
                <w:i w:val="0"/>
                <w:strike w:val="0"/>
                <w:color w:val="000000"/>
                <w:spacing w:val="0"/>
                <w:sz w:val="24"/>
                <w:u w:val="none"/>
              </w:rPr>
              <w:t>人员姓名</w:t>
            </w:r>
          </w:p>
        </w:tc>
        <w:tc>
          <w:tcPr>
            <w:tcW w:w="1399" w:type="dxa"/>
            <w:tcBorders>
              <w:top w:val="single" w:color="000000" w:sz="6" w:space="0"/>
              <w:left w:val="single" w:color="000000" w:sz="6" w:space="0"/>
              <w:bottom w:val="single" w:color="000000" w:sz="6" w:space="0"/>
              <w:right w:val="single" w:color="000000" w:sz="6" w:space="0"/>
            </w:tcBorders>
            <w:shd w:val="clear" w:color="auto" w:fill="FFDCC4"/>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b/>
                <w:i w:val="0"/>
                <w:strike w:val="0"/>
                <w:color w:val="000000"/>
                <w:spacing w:val="0"/>
                <w:sz w:val="24"/>
                <w:u w:val="none"/>
              </w:rPr>
              <w:t>职务</w:t>
            </w:r>
          </w:p>
        </w:tc>
        <w:tc>
          <w:tcPr>
            <w:tcW w:w="1423" w:type="dxa"/>
            <w:tcBorders>
              <w:top w:val="single" w:color="000000" w:sz="6" w:space="0"/>
              <w:left w:val="single" w:color="000000" w:sz="6" w:space="0"/>
              <w:bottom w:val="single" w:color="000000" w:sz="6" w:space="0"/>
              <w:right w:val="single" w:color="000000" w:sz="6" w:space="0"/>
            </w:tcBorders>
            <w:shd w:val="clear" w:color="auto" w:fill="FFDCC4"/>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b/>
                <w:i w:val="0"/>
                <w:strike w:val="0"/>
                <w:color w:val="000000"/>
                <w:spacing w:val="0"/>
                <w:sz w:val="24"/>
                <w:u w:val="none"/>
              </w:rPr>
              <w:t>参与项目时间(折合全时人月数)</w:t>
            </w:r>
          </w:p>
        </w:tc>
        <w:tc>
          <w:tcPr>
            <w:tcW w:w="3816" w:type="dxa"/>
            <w:tcBorders>
              <w:top w:val="single" w:color="000000" w:sz="6" w:space="0"/>
              <w:left w:val="single" w:color="000000" w:sz="6" w:space="0"/>
              <w:bottom w:val="single" w:color="000000" w:sz="6" w:space="0"/>
              <w:right w:val="single" w:color="000000" w:sz="6" w:space="0"/>
            </w:tcBorders>
            <w:shd w:val="clear" w:color="auto" w:fill="FFDCC4"/>
            <w:tcMar>
              <w:top w:w="0" w:type="dxa"/>
              <w:left w:w="108" w:type="dxa"/>
              <w:bottom w:w="0" w:type="dxa"/>
              <w:right w:w="108" w:type="dxa"/>
            </w:tcMar>
            <w:vAlign w:val="center"/>
          </w:tcPr>
          <w:p>
            <w:pPr>
              <w:snapToGrid/>
              <w:spacing w:before="0" w:after="0" w:line="240" w:lineRule="auto"/>
              <w:ind w:left="0" w:right="0"/>
              <w:jc w:val="center"/>
            </w:pPr>
            <w:r>
              <w:rPr>
                <w:rFonts w:ascii="宋体" w:hAnsi="宋体" w:eastAsia="宋体" w:cs="宋体"/>
                <w:b/>
                <w:i w:val="0"/>
                <w:strike w:val="0"/>
                <w:color w:val="000000"/>
                <w:spacing w:val="0"/>
                <w:sz w:val="24"/>
                <w:u w:val="none"/>
              </w:rPr>
              <w:t>主要承担职责</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85" w:hRule="atLeast"/>
          <w:jc w:val="center"/>
        </w:trPr>
        <w:tc>
          <w:tcPr>
            <w:tcW w:w="12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余国先</w:t>
            </w:r>
          </w:p>
        </w:tc>
        <w:tc>
          <w:tcPr>
            <w:tcW w:w="1399"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教授</w:t>
            </w:r>
          </w:p>
        </w:tc>
        <w:tc>
          <w:tcPr>
            <w:tcW w:w="1423"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12</w:t>
            </w:r>
          </w:p>
        </w:tc>
        <w:tc>
          <w:tcPr>
            <w:tcW w:w="3816"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sz w:val="24"/>
              </w:rPr>
              <w:t>项目整体统筹与进度管理</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85" w:hRule="atLeast"/>
          <w:jc w:val="center"/>
        </w:trPr>
        <w:tc>
          <w:tcPr>
            <w:tcW w:w="12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王峻</w:t>
            </w:r>
          </w:p>
        </w:tc>
        <w:tc>
          <w:tcPr>
            <w:tcW w:w="1399"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教授</w:t>
            </w:r>
          </w:p>
        </w:tc>
        <w:tc>
          <w:tcPr>
            <w:tcW w:w="1423"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12</w:t>
            </w:r>
          </w:p>
        </w:tc>
        <w:tc>
          <w:tcPr>
            <w:tcW w:w="3816"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sz w:val="24"/>
              </w:rPr>
              <w:t>项目整体统筹与进度管理</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85" w:hRule="atLeast"/>
          <w:jc w:val="center"/>
        </w:trPr>
        <w:tc>
          <w:tcPr>
            <w:tcW w:w="12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sz w:val="24"/>
              </w:rPr>
              <w:t>吕洪涛</w:t>
            </w:r>
          </w:p>
        </w:tc>
        <w:tc>
          <w:tcPr>
            <w:tcW w:w="1399"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sz w:val="24"/>
              </w:rPr>
              <w:t>博士后</w:t>
            </w:r>
          </w:p>
        </w:tc>
        <w:tc>
          <w:tcPr>
            <w:tcW w:w="1423"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12</w:t>
            </w:r>
          </w:p>
        </w:tc>
        <w:tc>
          <w:tcPr>
            <w:tcW w:w="3816"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sz w:val="24"/>
              </w:rPr>
              <w:t>扩展算法研发、场景应用验证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85" w:hRule="atLeast"/>
          <w:jc w:val="center"/>
        </w:trPr>
        <w:tc>
          <w:tcPr>
            <w:tcW w:w="12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赵云峰</w:t>
            </w:r>
          </w:p>
        </w:tc>
        <w:tc>
          <w:tcPr>
            <w:tcW w:w="1399"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博士生</w:t>
            </w:r>
          </w:p>
        </w:tc>
        <w:tc>
          <w:tcPr>
            <w:tcW w:w="1423"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12</w:t>
            </w:r>
          </w:p>
        </w:tc>
        <w:tc>
          <w:tcPr>
            <w:tcW w:w="3816"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Bdr>
                <w:bottom w:val="none" w:color="auto" w:sz="0" w:space="0"/>
              </w:pBdr>
              <w:snapToGrid/>
              <w:spacing w:before="0" w:after="0" w:line="360" w:lineRule="auto"/>
              <w:ind w:left="0" w:right="0"/>
              <w:jc w:val="center"/>
              <w:rPr>
                <w:rFonts w:ascii="宋体" w:hAnsi="宋体" w:eastAsia="宋体" w:cs="宋体"/>
                <w:sz w:val="24"/>
              </w:rPr>
            </w:pPr>
            <w:r>
              <w:rPr>
                <w:rFonts w:ascii="宋体" w:hAnsi="宋体" w:eastAsia="宋体" w:cs="宋体"/>
                <w:sz w:val="24"/>
              </w:rPr>
              <w:t>扩展算法研发、场景应用验证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85" w:hRule="atLeast"/>
          <w:jc w:val="center"/>
        </w:trPr>
        <w:tc>
          <w:tcPr>
            <w:tcW w:w="12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苏聪</w:t>
            </w:r>
          </w:p>
        </w:tc>
        <w:tc>
          <w:tcPr>
            <w:tcW w:w="1399"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sz w:val="24"/>
              </w:rPr>
              <w:t>博士生</w:t>
            </w:r>
          </w:p>
        </w:tc>
        <w:tc>
          <w:tcPr>
            <w:tcW w:w="1423"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12</w:t>
            </w:r>
          </w:p>
        </w:tc>
        <w:tc>
          <w:tcPr>
            <w:tcW w:w="3816"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Bdr>
                <w:bottom w:val="none" w:color="auto" w:sz="0" w:space="0"/>
              </w:pBdr>
              <w:snapToGrid/>
              <w:spacing w:before="0" w:after="0" w:line="360" w:lineRule="auto"/>
              <w:ind w:left="0" w:right="0"/>
              <w:jc w:val="center"/>
              <w:rPr>
                <w:rFonts w:ascii="宋体" w:hAnsi="宋体" w:eastAsia="宋体" w:cs="宋体"/>
                <w:sz w:val="24"/>
              </w:rPr>
            </w:pPr>
            <w:r>
              <w:rPr>
                <w:rFonts w:ascii="宋体" w:hAnsi="宋体" w:eastAsia="宋体" w:cs="宋体"/>
                <w:sz w:val="24"/>
              </w:rPr>
              <w:t>运维、部署及数据管理工具研发</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85" w:hRule="atLeast"/>
          <w:jc w:val="center"/>
        </w:trPr>
        <w:tc>
          <w:tcPr>
            <w:tcW w:w="12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杨德智</w:t>
            </w:r>
          </w:p>
        </w:tc>
        <w:tc>
          <w:tcPr>
            <w:tcW w:w="1399"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sz w:val="24"/>
              </w:rPr>
              <w:t>博士生</w:t>
            </w:r>
          </w:p>
        </w:tc>
        <w:tc>
          <w:tcPr>
            <w:tcW w:w="1423"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12</w:t>
            </w:r>
          </w:p>
        </w:tc>
        <w:tc>
          <w:tcPr>
            <w:tcW w:w="3816"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Bdr>
                <w:bottom w:val="none" w:color="auto" w:sz="0" w:space="0"/>
              </w:pBdr>
              <w:snapToGrid/>
              <w:spacing w:before="0" w:after="0" w:line="360" w:lineRule="auto"/>
              <w:ind w:left="0" w:right="0"/>
              <w:jc w:val="center"/>
              <w:rPr>
                <w:rFonts w:ascii="宋体" w:hAnsi="宋体" w:eastAsia="宋体" w:cs="宋体"/>
                <w:sz w:val="24"/>
              </w:rPr>
            </w:pPr>
            <w:r>
              <w:rPr>
                <w:rFonts w:ascii="宋体" w:hAnsi="宋体" w:eastAsia="宋体" w:cs="宋体"/>
                <w:sz w:val="24"/>
              </w:rPr>
              <w:t>运维、部署及数据管理工具研发</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85" w:hRule="atLeast"/>
          <w:jc w:val="center"/>
        </w:trPr>
        <w:tc>
          <w:tcPr>
            <w:tcW w:w="12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康祥平</w:t>
            </w:r>
          </w:p>
        </w:tc>
        <w:tc>
          <w:tcPr>
            <w:tcW w:w="1399"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硕士生</w:t>
            </w:r>
          </w:p>
        </w:tc>
        <w:tc>
          <w:tcPr>
            <w:tcW w:w="1423"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12</w:t>
            </w:r>
          </w:p>
        </w:tc>
        <w:tc>
          <w:tcPr>
            <w:tcW w:w="3816"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Bdr>
                <w:bottom w:val="none" w:color="auto" w:sz="0" w:space="0"/>
              </w:pBdr>
              <w:snapToGrid/>
              <w:spacing w:before="0" w:after="0" w:line="360" w:lineRule="auto"/>
              <w:ind w:left="0" w:right="0"/>
              <w:jc w:val="center"/>
              <w:rPr>
                <w:rFonts w:ascii="宋体" w:hAnsi="宋体" w:eastAsia="宋体" w:cs="宋体"/>
                <w:sz w:val="24"/>
              </w:rPr>
            </w:pPr>
            <w:r>
              <w:rPr>
                <w:rFonts w:ascii="宋体" w:hAnsi="宋体" w:eastAsia="宋体" w:cs="宋体"/>
                <w:sz w:val="24"/>
              </w:rPr>
              <w:t>隐私计算脚本、任务调度功能研发</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85" w:hRule="atLeast"/>
          <w:jc w:val="center"/>
        </w:trPr>
        <w:tc>
          <w:tcPr>
            <w:tcW w:w="12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桂孝强</w:t>
            </w:r>
          </w:p>
        </w:tc>
        <w:tc>
          <w:tcPr>
            <w:tcW w:w="1399"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硕士生</w:t>
            </w:r>
          </w:p>
        </w:tc>
        <w:tc>
          <w:tcPr>
            <w:tcW w:w="1423"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12</w:t>
            </w:r>
          </w:p>
        </w:tc>
        <w:tc>
          <w:tcPr>
            <w:tcW w:w="3816"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Bdr>
                <w:bottom w:val="none" w:color="auto" w:sz="0" w:space="0"/>
              </w:pBdr>
              <w:snapToGrid/>
              <w:spacing w:before="0" w:after="0" w:line="360" w:lineRule="auto"/>
              <w:ind w:left="0" w:right="0"/>
              <w:jc w:val="center"/>
              <w:rPr>
                <w:rFonts w:ascii="宋体" w:hAnsi="宋体" w:eastAsia="宋体" w:cs="宋体"/>
                <w:sz w:val="24"/>
              </w:rPr>
            </w:pPr>
            <w:r>
              <w:rPr>
                <w:rFonts w:ascii="宋体" w:hAnsi="宋体" w:eastAsia="宋体" w:cs="宋体"/>
                <w:sz w:val="24"/>
              </w:rPr>
              <w:t>隐私计算脚本、任务调度功能研发</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85" w:hRule="atLeast"/>
          <w:jc w:val="center"/>
        </w:trPr>
        <w:tc>
          <w:tcPr>
            <w:tcW w:w="12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陈博文</w:t>
            </w:r>
          </w:p>
        </w:tc>
        <w:tc>
          <w:tcPr>
            <w:tcW w:w="1399"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硕士生</w:t>
            </w:r>
          </w:p>
        </w:tc>
        <w:tc>
          <w:tcPr>
            <w:tcW w:w="1423"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12</w:t>
            </w:r>
          </w:p>
        </w:tc>
        <w:tc>
          <w:tcPr>
            <w:tcW w:w="3816"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Bdr>
                <w:bottom w:val="none" w:color="auto" w:sz="0" w:space="0"/>
              </w:pBdr>
              <w:snapToGrid/>
              <w:spacing w:before="0" w:after="0" w:line="360" w:lineRule="auto"/>
              <w:ind w:left="0" w:right="0"/>
              <w:jc w:val="center"/>
              <w:rPr>
                <w:rFonts w:ascii="宋体" w:hAnsi="宋体" w:eastAsia="宋体" w:cs="宋体"/>
                <w:sz w:val="24"/>
              </w:rPr>
            </w:pPr>
            <w:r>
              <w:rPr>
                <w:rFonts w:ascii="宋体" w:hAnsi="宋体" w:eastAsia="宋体" w:cs="宋体"/>
                <w:sz w:val="24"/>
              </w:rPr>
              <w:t>密态计算框架、加密通信功能研发</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300" w:hRule="atLeast"/>
          <w:jc w:val="center"/>
        </w:trPr>
        <w:tc>
          <w:tcPr>
            <w:tcW w:w="12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李新昀</w:t>
            </w:r>
          </w:p>
        </w:tc>
        <w:tc>
          <w:tcPr>
            <w:tcW w:w="1399" w:type="dxa"/>
            <w:tcBorders>
              <w:top w:val="single" w:color="CBCDD1" w:sz="6" w:space="0"/>
              <w:left w:val="single" w:color="000000" w:sz="6" w:space="0"/>
              <w:bottom w:val="single" w:color="auto" w:sz="4"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硕士生</w:t>
            </w:r>
          </w:p>
        </w:tc>
        <w:tc>
          <w:tcPr>
            <w:tcW w:w="1423" w:type="dxa"/>
            <w:tcBorders>
              <w:top w:val="single" w:color="CBCDD1" w:sz="6" w:space="0"/>
              <w:left w:val="single" w:color="000000" w:sz="6" w:space="0"/>
              <w:bottom w:val="single" w:color="auto" w:sz="4"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12</w:t>
            </w:r>
          </w:p>
        </w:tc>
        <w:tc>
          <w:tcPr>
            <w:tcW w:w="3816" w:type="dxa"/>
            <w:tcBorders>
              <w:top w:val="single" w:color="CBCDD1" w:sz="6" w:space="0"/>
              <w:left w:val="single" w:color="000000" w:sz="6" w:space="0"/>
              <w:bottom w:val="single" w:color="auto" w:sz="4" w:space="0"/>
              <w:right w:val="single" w:color="000000" w:sz="6" w:space="0"/>
            </w:tcBorders>
            <w:tcMar>
              <w:top w:w="0" w:type="dxa"/>
              <w:left w:w="108" w:type="dxa"/>
              <w:bottom w:w="0" w:type="dxa"/>
              <w:right w:w="108" w:type="dxa"/>
            </w:tcMar>
            <w:vAlign w:val="center"/>
          </w:tcPr>
          <w:p>
            <w:pPr>
              <w:pBdr>
                <w:bottom w:val="none" w:color="auto" w:sz="0" w:space="0"/>
              </w:pBdr>
              <w:snapToGrid/>
              <w:spacing w:before="0" w:after="0" w:line="360" w:lineRule="auto"/>
              <w:ind w:left="0" w:right="0"/>
              <w:jc w:val="center"/>
              <w:rPr>
                <w:rFonts w:ascii="宋体" w:hAnsi="宋体" w:eastAsia="宋体" w:cs="宋体"/>
                <w:sz w:val="24"/>
              </w:rPr>
            </w:pPr>
            <w:r>
              <w:rPr>
                <w:rFonts w:ascii="宋体" w:hAnsi="宋体" w:eastAsia="宋体" w:cs="宋体"/>
                <w:sz w:val="24"/>
              </w:rPr>
              <w:t>密态计算框架、加密通信功能研发</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300" w:hRule="atLeast"/>
          <w:jc w:val="center"/>
        </w:trPr>
        <w:tc>
          <w:tcPr>
            <w:tcW w:w="12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sz w:val="24"/>
              </w:rPr>
              <w:t>朱江跃</w:t>
            </w:r>
          </w:p>
        </w:tc>
        <w:tc>
          <w:tcPr>
            <w:tcW w:w="1399" w:type="dxa"/>
            <w:tcBorders>
              <w:top w:val="single" w:color="auto" w:sz="4"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Bdr>
                <w:bottom w:val="none" w:color="auto" w:sz="0" w:space="0"/>
              </w:pBd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硕士生</w:t>
            </w:r>
          </w:p>
        </w:tc>
        <w:tc>
          <w:tcPr>
            <w:tcW w:w="1423" w:type="dxa"/>
            <w:tcBorders>
              <w:top w:val="single" w:color="auto" w:sz="4"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sz w:val="24"/>
              </w:rPr>
              <w:t>12</w:t>
            </w:r>
          </w:p>
        </w:tc>
        <w:tc>
          <w:tcPr>
            <w:tcW w:w="3816" w:type="dxa"/>
            <w:tcBorders>
              <w:top w:val="single" w:color="auto" w:sz="4"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Bdr>
                <w:bottom w:val="none" w:color="auto" w:sz="0" w:space="0"/>
              </w:pBdr>
              <w:snapToGrid/>
              <w:spacing w:before="0" w:after="0" w:line="360" w:lineRule="auto"/>
              <w:ind w:left="0" w:right="0"/>
              <w:jc w:val="center"/>
              <w:rPr>
                <w:rFonts w:ascii="宋体" w:hAnsi="宋体" w:eastAsia="宋体" w:cs="宋体"/>
                <w:sz w:val="24"/>
              </w:rPr>
            </w:pPr>
            <w:r>
              <w:rPr>
                <w:rFonts w:ascii="宋体" w:hAnsi="宋体" w:eastAsia="宋体" w:cs="宋体"/>
                <w:sz w:val="24"/>
              </w:rPr>
              <w:t>系统功能测试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300" w:hRule="atLeast"/>
          <w:jc w:val="center"/>
        </w:trPr>
        <w:tc>
          <w:tcPr>
            <w:tcW w:w="12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sz w:val="24"/>
              </w:rPr>
              <w:t>苟丛林</w:t>
            </w:r>
          </w:p>
        </w:tc>
        <w:tc>
          <w:tcPr>
            <w:tcW w:w="1399"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Bdr>
                <w:bottom w:val="none" w:color="auto" w:sz="0" w:space="0"/>
              </w:pBdr>
              <w:snapToGrid/>
              <w:spacing w:before="0" w:after="0" w:line="360" w:lineRule="auto"/>
              <w:ind w:left="0" w:right="0"/>
              <w:jc w:val="center"/>
              <w:rPr>
                <w:rFonts w:ascii="宋体" w:hAnsi="宋体" w:eastAsia="宋体" w:cs="宋体"/>
                <w:sz w:val="24"/>
              </w:rPr>
            </w:pPr>
            <w:r>
              <w:rPr>
                <w:rFonts w:ascii="宋体" w:hAnsi="宋体" w:eastAsia="宋体" w:cs="宋体"/>
                <w:i w:val="0"/>
                <w:strike w:val="0"/>
                <w:color w:val="000000"/>
                <w:spacing w:val="0"/>
                <w:sz w:val="24"/>
                <w:u w:val="none"/>
              </w:rPr>
              <w:t>硕士生</w:t>
            </w:r>
          </w:p>
        </w:tc>
        <w:tc>
          <w:tcPr>
            <w:tcW w:w="1423"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0" w:after="0" w:line="360" w:lineRule="auto"/>
              <w:ind w:left="0" w:right="0"/>
              <w:jc w:val="center"/>
              <w:rPr>
                <w:rFonts w:ascii="宋体" w:hAnsi="宋体" w:eastAsia="宋体" w:cs="宋体"/>
                <w:sz w:val="24"/>
              </w:rPr>
            </w:pPr>
            <w:r>
              <w:rPr>
                <w:rFonts w:ascii="宋体" w:hAnsi="宋体" w:eastAsia="宋体" w:cs="宋体"/>
                <w:sz w:val="24"/>
              </w:rPr>
              <w:t>12</w:t>
            </w:r>
          </w:p>
        </w:tc>
        <w:tc>
          <w:tcPr>
            <w:tcW w:w="3816"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Bdr>
                <w:bottom w:val="none" w:color="auto" w:sz="0" w:space="0"/>
              </w:pBdr>
              <w:snapToGrid/>
              <w:spacing w:before="0" w:after="0" w:line="360" w:lineRule="auto"/>
              <w:ind w:left="0" w:right="0"/>
              <w:jc w:val="center"/>
              <w:rPr>
                <w:rFonts w:ascii="宋体" w:hAnsi="宋体" w:eastAsia="宋体" w:cs="宋体"/>
                <w:sz w:val="24"/>
              </w:rPr>
            </w:pPr>
            <w:r>
              <w:rPr>
                <w:rFonts w:ascii="宋体" w:hAnsi="宋体" w:eastAsia="宋体" w:cs="宋体"/>
                <w:sz w:val="24"/>
              </w:rPr>
              <w:t>系统功能测试</w:t>
            </w:r>
          </w:p>
        </w:tc>
      </w:tr>
    </w:tbl>
    <w:p>
      <w:pPr>
        <w:rPr>
          <w:rFonts w:ascii="宋体" w:hAnsi="宋体" w:eastAsia="宋体" w:cs="宋体"/>
          <w:sz w:val="24"/>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Batang">
    <w:altName w:val="Malgun Gothic"/>
    <w:panose1 w:val="02030600000101010101"/>
    <w:charset w:val="81"/>
    <w:family w:val="roman"/>
    <w:pitch w:val="default"/>
    <w:sig w:usb0="00000000" w:usb1="00000000" w:usb2="00000030" w:usb3="00000000" w:csb0="0008009F" w:csb1="00000000"/>
  </w:font>
  <w:font w:name="Monaco">
    <w:altName w:val="Courier New"/>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drawingGridVerticalSpacing w:val="156"/>
  <w:displayHorizontalDrawingGridEvery w:val="0"/>
  <w:displayVerticalDrawingGridEvery w:val="2"/>
  <w:noPunctuationKerning w:val="1"/>
  <w:characterSpacingControl w:val="compressPunctuation"/>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MwMzQ3YmQ0OGMxMjcyNTFjZmQ5NmE1YjRlNTdjNTkifQ=="/>
  </w:docVars>
  <w:rsids>
    <w:rsidRoot w:val="00250CE1"/>
    <w:rsid w:val="00002109"/>
    <w:rsid w:val="00002E0D"/>
    <w:rsid w:val="00012E1D"/>
    <w:rsid w:val="00034D01"/>
    <w:rsid w:val="00047DE8"/>
    <w:rsid w:val="000578AC"/>
    <w:rsid w:val="00072A45"/>
    <w:rsid w:val="00075DC7"/>
    <w:rsid w:val="000A1EA4"/>
    <w:rsid w:val="000A3076"/>
    <w:rsid w:val="000B07A7"/>
    <w:rsid w:val="000B340F"/>
    <w:rsid w:val="000D1B39"/>
    <w:rsid w:val="000E4F41"/>
    <w:rsid w:val="000E7855"/>
    <w:rsid w:val="000F04AB"/>
    <w:rsid w:val="001125E0"/>
    <w:rsid w:val="00117706"/>
    <w:rsid w:val="00122103"/>
    <w:rsid w:val="001223E7"/>
    <w:rsid w:val="001225BA"/>
    <w:rsid w:val="001322C1"/>
    <w:rsid w:val="001377F6"/>
    <w:rsid w:val="00137DE1"/>
    <w:rsid w:val="00140287"/>
    <w:rsid w:val="00150A66"/>
    <w:rsid w:val="0015759C"/>
    <w:rsid w:val="001924AC"/>
    <w:rsid w:val="0019588E"/>
    <w:rsid w:val="00196939"/>
    <w:rsid w:val="00197D89"/>
    <w:rsid w:val="001B531A"/>
    <w:rsid w:val="001D625B"/>
    <w:rsid w:val="001F0164"/>
    <w:rsid w:val="00206D83"/>
    <w:rsid w:val="00211D53"/>
    <w:rsid w:val="00250CE1"/>
    <w:rsid w:val="002561BD"/>
    <w:rsid w:val="00266070"/>
    <w:rsid w:val="00280098"/>
    <w:rsid w:val="00284A34"/>
    <w:rsid w:val="00296D53"/>
    <w:rsid w:val="0029728E"/>
    <w:rsid w:val="002C1EBD"/>
    <w:rsid w:val="002E43DB"/>
    <w:rsid w:val="002E666A"/>
    <w:rsid w:val="002F2869"/>
    <w:rsid w:val="002F7F5F"/>
    <w:rsid w:val="00316014"/>
    <w:rsid w:val="00323E9A"/>
    <w:rsid w:val="003357D0"/>
    <w:rsid w:val="003416F7"/>
    <w:rsid w:val="00354B17"/>
    <w:rsid w:val="003574C2"/>
    <w:rsid w:val="00361DFB"/>
    <w:rsid w:val="00365318"/>
    <w:rsid w:val="003965C3"/>
    <w:rsid w:val="003A3E96"/>
    <w:rsid w:val="003A7C68"/>
    <w:rsid w:val="003C1C5A"/>
    <w:rsid w:val="003D0CC4"/>
    <w:rsid w:val="003D6A29"/>
    <w:rsid w:val="003E187B"/>
    <w:rsid w:val="00406962"/>
    <w:rsid w:val="00407164"/>
    <w:rsid w:val="00407F0A"/>
    <w:rsid w:val="00414C90"/>
    <w:rsid w:val="00422A48"/>
    <w:rsid w:val="00427718"/>
    <w:rsid w:val="00436F24"/>
    <w:rsid w:val="00442C3F"/>
    <w:rsid w:val="0045231B"/>
    <w:rsid w:val="00460C3D"/>
    <w:rsid w:val="00495F22"/>
    <w:rsid w:val="00497F12"/>
    <w:rsid w:val="004B05FF"/>
    <w:rsid w:val="004B5E98"/>
    <w:rsid w:val="004C27BF"/>
    <w:rsid w:val="004D102C"/>
    <w:rsid w:val="004E0CF8"/>
    <w:rsid w:val="004E71F0"/>
    <w:rsid w:val="004F6BF3"/>
    <w:rsid w:val="00510FC7"/>
    <w:rsid w:val="00516215"/>
    <w:rsid w:val="00533410"/>
    <w:rsid w:val="00534183"/>
    <w:rsid w:val="00552887"/>
    <w:rsid w:val="00554BF1"/>
    <w:rsid w:val="005628F7"/>
    <w:rsid w:val="005729E9"/>
    <w:rsid w:val="005A612D"/>
    <w:rsid w:val="005B225D"/>
    <w:rsid w:val="005C2D0B"/>
    <w:rsid w:val="005D579B"/>
    <w:rsid w:val="00620D08"/>
    <w:rsid w:val="006502D6"/>
    <w:rsid w:val="0065030D"/>
    <w:rsid w:val="00662307"/>
    <w:rsid w:val="006657ED"/>
    <w:rsid w:val="00665ADB"/>
    <w:rsid w:val="00681318"/>
    <w:rsid w:val="00681799"/>
    <w:rsid w:val="006830FE"/>
    <w:rsid w:val="006A4FDA"/>
    <w:rsid w:val="006C050B"/>
    <w:rsid w:val="006C5AC0"/>
    <w:rsid w:val="006C7935"/>
    <w:rsid w:val="006D3353"/>
    <w:rsid w:val="006D4604"/>
    <w:rsid w:val="006E0DBD"/>
    <w:rsid w:val="006F32D3"/>
    <w:rsid w:val="0071461B"/>
    <w:rsid w:val="00740DDC"/>
    <w:rsid w:val="00744A4A"/>
    <w:rsid w:val="00745EBE"/>
    <w:rsid w:val="007503D7"/>
    <w:rsid w:val="007565AE"/>
    <w:rsid w:val="00762F02"/>
    <w:rsid w:val="00781DF7"/>
    <w:rsid w:val="00784A94"/>
    <w:rsid w:val="00787E3F"/>
    <w:rsid w:val="00794F19"/>
    <w:rsid w:val="007967F5"/>
    <w:rsid w:val="007A42BC"/>
    <w:rsid w:val="007A4FC3"/>
    <w:rsid w:val="007B7DE1"/>
    <w:rsid w:val="007C4060"/>
    <w:rsid w:val="007D2079"/>
    <w:rsid w:val="007F58C9"/>
    <w:rsid w:val="00814DFF"/>
    <w:rsid w:val="008262FA"/>
    <w:rsid w:val="00830B88"/>
    <w:rsid w:val="008435D1"/>
    <w:rsid w:val="008546D4"/>
    <w:rsid w:val="008649E9"/>
    <w:rsid w:val="00872247"/>
    <w:rsid w:val="008744FF"/>
    <w:rsid w:val="0088203F"/>
    <w:rsid w:val="008C78A8"/>
    <w:rsid w:val="008D294C"/>
    <w:rsid w:val="008F603E"/>
    <w:rsid w:val="00904917"/>
    <w:rsid w:val="00922BF7"/>
    <w:rsid w:val="00961145"/>
    <w:rsid w:val="00965DE5"/>
    <w:rsid w:val="00974A97"/>
    <w:rsid w:val="00982944"/>
    <w:rsid w:val="00984EAD"/>
    <w:rsid w:val="0099666A"/>
    <w:rsid w:val="009C334F"/>
    <w:rsid w:val="009C6B6B"/>
    <w:rsid w:val="009D1911"/>
    <w:rsid w:val="009F75F3"/>
    <w:rsid w:val="00A123EA"/>
    <w:rsid w:val="00A3078C"/>
    <w:rsid w:val="00A5020A"/>
    <w:rsid w:val="00A66314"/>
    <w:rsid w:val="00A7477A"/>
    <w:rsid w:val="00A86AA3"/>
    <w:rsid w:val="00AA7032"/>
    <w:rsid w:val="00AB080E"/>
    <w:rsid w:val="00AB2F10"/>
    <w:rsid w:val="00AC0938"/>
    <w:rsid w:val="00AC1B9E"/>
    <w:rsid w:val="00AC284E"/>
    <w:rsid w:val="00AC7F25"/>
    <w:rsid w:val="00AE2F0A"/>
    <w:rsid w:val="00AE32A0"/>
    <w:rsid w:val="00AE332B"/>
    <w:rsid w:val="00AF3611"/>
    <w:rsid w:val="00B04E55"/>
    <w:rsid w:val="00B1319D"/>
    <w:rsid w:val="00B4475F"/>
    <w:rsid w:val="00B67018"/>
    <w:rsid w:val="00B739EE"/>
    <w:rsid w:val="00B821D6"/>
    <w:rsid w:val="00B85F99"/>
    <w:rsid w:val="00BB28A5"/>
    <w:rsid w:val="00BB34FF"/>
    <w:rsid w:val="00BB4F9B"/>
    <w:rsid w:val="00BF6410"/>
    <w:rsid w:val="00C00A6D"/>
    <w:rsid w:val="00C35A84"/>
    <w:rsid w:val="00C452B5"/>
    <w:rsid w:val="00C562CB"/>
    <w:rsid w:val="00C8078E"/>
    <w:rsid w:val="00C80ADE"/>
    <w:rsid w:val="00C8752F"/>
    <w:rsid w:val="00C90B7F"/>
    <w:rsid w:val="00CB7D2A"/>
    <w:rsid w:val="00CC20DE"/>
    <w:rsid w:val="00CC53F8"/>
    <w:rsid w:val="00CD4448"/>
    <w:rsid w:val="00CE2217"/>
    <w:rsid w:val="00CF4EA2"/>
    <w:rsid w:val="00D069EF"/>
    <w:rsid w:val="00D07EFA"/>
    <w:rsid w:val="00D15CE2"/>
    <w:rsid w:val="00D33035"/>
    <w:rsid w:val="00D34A22"/>
    <w:rsid w:val="00D65E88"/>
    <w:rsid w:val="00DA2B42"/>
    <w:rsid w:val="00DA7C5F"/>
    <w:rsid w:val="00DB40DF"/>
    <w:rsid w:val="00DC581A"/>
    <w:rsid w:val="00DC7028"/>
    <w:rsid w:val="00DF2C52"/>
    <w:rsid w:val="00E50A6B"/>
    <w:rsid w:val="00E703A9"/>
    <w:rsid w:val="00E7687F"/>
    <w:rsid w:val="00E87BEE"/>
    <w:rsid w:val="00E9797B"/>
    <w:rsid w:val="00EA1B63"/>
    <w:rsid w:val="00EA1E1D"/>
    <w:rsid w:val="00EB438C"/>
    <w:rsid w:val="00EB4C91"/>
    <w:rsid w:val="00EE69AE"/>
    <w:rsid w:val="00EF2892"/>
    <w:rsid w:val="00F466F1"/>
    <w:rsid w:val="00F501CC"/>
    <w:rsid w:val="00F5670E"/>
    <w:rsid w:val="00F969BE"/>
    <w:rsid w:val="00FC1457"/>
    <w:rsid w:val="00FE5B7D"/>
    <w:rsid w:val="00FF4791"/>
    <w:rsid w:val="017F741E"/>
    <w:rsid w:val="01BE7323"/>
    <w:rsid w:val="02117D9A"/>
    <w:rsid w:val="04E55498"/>
    <w:rsid w:val="05B547AE"/>
    <w:rsid w:val="09954E0D"/>
    <w:rsid w:val="09A11360"/>
    <w:rsid w:val="09F75AC8"/>
    <w:rsid w:val="0AFB3396"/>
    <w:rsid w:val="0FA93470"/>
    <w:rsid w:val="0FF46D31"/>
    <w:rsid w:val="16ED44DA"/>
    <w:rsid w:val="1768590F"/>
    <w:rsid w:val="183F48C2"/>
    <w:rsid w:val="1F5F584A"/>
    <w:rsid w:val="20C20786"/>
    <w:rsid w:val="224F6990"/>
    <w:rsid w:val="251F10C7"/>
    <w:rsid w:val="25B85CB3"/>
    <w:rsid w:val="26591245"/>
    <w:rsid w:val="29F319B0"/>
    <w:rsid w:val="2B7D3C27"/>
    <w:rsid w:val="2E0979F4"/>
    <w:rsid w:val="34E645EB"/>
    <w:rsid w:val="35856139"/>
    <w:rsid w:val="364C11C3"/>
    <w:rsid w:val="36BE55BE"/>
    <w:rsid w:val="3A3F4332"/>
    <w:rsid w:val="3D594F2A"/>
    <w:rsid w:val="3F5617F6"/>
    <w:rsid w:val="42E07CE0"/>
    <w:rsid w:val="43503578"/>
    <w:rsid w:val="46821C9A"/>
    <w:rsid w:val="47555600"/>
    <w:rsid w:val="490948F4"/>
    <w:rsid w:val="504D75C3"/>
    <w:rsid w:val="52044351"/>
    <w:rsid w:val="5220571B"/>
    <w:rsid w:val="53FB308C"/>
    <w:rsid w:val="565F5840"/>
    <w:rsid w:val="5B727A9D"/>
    <w:rsid w:val="6509385A"/>
    <w:rsid w:val="660A5ADC"/>
    <w:rsid w:val="6D1020A5"/>
    <w:rsid w:val="6F63625D"/>
    <w:rsid w:val="70954399"/>
    <w:rsid w:val="72DB0CEA"/>
    <w:rsid w:val="72FA0C86"/>
    <w:rsid w:val="74147B26"/>
    <w:rsid w:val="77E552FB"/>
    <w:rsid w:val="792032C1"/>
    <w:rsid w:val="7CD97B5E"/>
    <w:rsid w:val="7D5F3449"/>
    <w:rsid w:val="7F0215E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Autospacing="1" w:afterAutospacing="1"/>
      <w:jc w:val="left"/>
      <w:outlineLvl w:val="1"/>
    </w:pPr>
    <w:rPr>
      <w:rFonts w:hint="eastAsia" w:ascii="宋体" w:hAnsi="宋体" w:eastAsia="宋体" w:cs="Times New Roman"/>
      <w:b/>
      <w:bCs/>
      <w:kern w:val="0"/>
      <w:sz w:val="36"/>
      <w:szCs w:val="36"/>
    </w:rPr>
  </w:style>
  <w:style w:type="paragraph" w:styleId="3">
    <w:name w:val="heading 3"/>
    <w:basedOn w:val="1"/>
    <w:next w:val="1"/>
    <w:semiHidden/>
    <w:unhideWhenUsed/>
    <w:qFormat/>
    <w:uiPriority w:val="9"/>
    <w:pPr>
      <w:spacing w:beforeAutospacing="1" w:afterAutospacing="1"/>
      <w:jc w:val="left"/>
      <w:outlineLvl w:val="2"/>
    </w:pPr>
    <w:rPr>
      <w:rFonts w:hint="eastAsia" w:ascii="宋体" w:hAnsi="宋体" w:eastAsia="宋体" w:cs="Times New Roman"/>
      <w:b/>
      <w:bCs/>
      <w:kern w:val="0"/>
      <w:sz w:val="27"/>
      <w:szCs w:val="27"/>
    </w:rPr>
  </w:style>
  <w:style w:type="paragraph" w:styleId="4">
    <w:name w:val="heading 4"/>
    <w:basedOn w:val="1"/>
    <w:next w:val="1"/>
    <w:semiHidden/>
    <w:unhideWhenUsed/>
    <w:qFormat/>
    <w:uiPriority w:val="9"/>
    <w:pPr>
      <w:spacing w:beforeAutospacing="1" w:afterAutospacing="1"/>
      <w:jc w:val="left"/>
      <w:outlineLvl w:val="3"/>
    </w:pPr>
    <w:rPr>
      <w:rFonts w:hint="eastAsia" w:ascii="宋体" w:hAnsi="宋体" w:eastAsia="宋体" w:cs="Times New Roman"/>
      <w:b/>
      <w:bCs/>
      <w:kern w:val="0"/>
      <w:sz w:val="24"/>
      <w:szCs w:val="24"/>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0"/>
    <w:semiHidden/>
    <w:unhideWhenUsed/>
    <w:qFormat/>
    <w:uiPriority w:val="99"/>
    <w:rPr>
      <w:sz w:val="18"/>
      <w:szCs w:val="18"/>
    </w:rPr>
  </w:style>
  <w:style w:type="paragraph" w:styleId="6">
    <w:name w:val="footer"/>
    <w:basedOn w:val="1"/>
    <w:link w:val="29"/>
    <w:unhideWhenUsed/>
    <w:qFormat/>
    <w:uiPriority w:val="99"/>
    <w:pPr>
      <w:tabs>
        <w:tab w:val="center" w:pos="4153"/>
        <w:tab w:val="right" w:pos="8306"/>
      </w:tabs>
      <w:snapToGrid w:val="0"/>
      <w:jc w:val="left"/>
    </w:pPr>
    <w:rPr>
      <w:sz w:val="18"/>
      <w:szCs w:val="18"/>
    </w:rPr>
  </w:style>
  <w:style w:type="paragraph" w:styleId="7">
    <w:name w:val="header"/>
    <w:basedOn w:val="1"/>
    <w:link w:val="19"/>
    <w:unhideWhenUsed/>
    <w:qFormat/>
    <w:uiPriority w:val="99"/>
    <w:pP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Autospacing="1" w:afterAutospacing="1"/>
      <w:jc w:val="left"/>
    </w:pPr>
    <w:rPr>
      <w:rFonts w:cs="Times New Roman"/>
      <w:kern w:val="0"/>
      <w:sz w:val="24"/>
    </w:rPr>
  </w:style>
  <w:style w:type="table" w:styleId="10">
    <w:name w:val="Table Grid"/>
    <w:basedOn w:val="9"/>
    <w:qFormat/>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12">
    <w:name w:val="Strong"/>
    <w:basedOn w:val="11"/>
    <w:qFormat/>
    <w:uiPriority w:val="22"/>
    <w:rPr>
      <w:b/>
    </w:rPr>
  </w:style>
  <w:style w:type="character" w:styleId="13">
    <w:name w:val="Hyperlink"/>
    <w:unhideWhenUsed/>
    <w:qFormat/>
    <w:uiPriority w:val="99"/>
    <w:rPr>
      <w:color w:val="0563C1" w:themeColor="hyperlink"/>
      <w:u w:val="single"/>
      <w14:textFill>
        <w14:solidFill>
          <w14:schemeClr w14:val="hlink"/>
        </w14:solidFill>
      </w14:textFill>
    </w:rPr>
  </w:style>
  <w:style w:type="paragraph" w:customStyle="1" w:styleId="14">
    <w:name w:val="표준 단락"/>
    <w:qFormat/>
    <w:uiPriority w:val="0"/>
    <w:pPr>
      <w:widowControl w:val="0"/>
      <w:spacing w:line="320" w:lineRule="atLeast"/>
      <w:jc w:val="both"/>
    </w:pPr>
    <w:rPr>
      <w:rFonts w:ascii="Batang" w:hAnsi="Batang" w:eastAsia="Batang" w:cs="Batang"/>
      <w:color w:val="000000"/>
      <w:u w:color="000000"/>
      <w:lang w:val="en-US" w:eastAsia="en-US" w:bidi="ar-SA"/>
    </w:rPr>
  </w:style>
  <w:style w:type="paragraph" w:customStyle="1" w:styleId="15">
    <w:name w:val="_Style 14"/>
    <w:basedOn w:val="1"/>
    <w:next w:val="1"/>
    <w:qFormat/>
    <w:uiPriority w:val="0"/>
    <w:pPr>
      <w:pBdr>
        <w:bottom w:val="single" w:color="auto" w:sz="6" w:space="1"/>
      </w:pBdr>
      <w:jc w:val="center"/>
    </w:pPr>
    <w:rPr>
      <w:rFonts w:ascii="Arial" w:eastAsia="宋体"/>
      <w:vanish/>
      <w:sz w:val="16"/>
    </w:rPr>
  </w:style>
  <w:style w:type="paragraph" w:customStyle="1" w:styleId="16">
    <w:name w:val="paragraph"/>
    <w:qFormat/>
    <w:uiPriority w:val="0"/>
    <w:pPr>
      <w:spacing w:before="100" w:beforeAutospacing="1" w:after="100" w:afterAutospacing="1"/>
    </w:pPr>
    <w:rPr>
      <w:rFonts w:ascii="宋体" w:hAnsi="宋体" w:eastAsia="宋体" w:cs="宋体"/>
      <w:sz w:val="24"/>
      <w:szCs w:val="24"/>
      <w:lang w:val="en-US" w:eastAsia="zh-CN" w:bidi="ar-SA"/>
    </w:rPr>
  </w:style>
  <w:style w:type="paragraph" w:customStyle="1" w:styleId="17">
    <w:name w:val="修订1"/>
    <w:hidden/>
    <w:semiHidden/>
    <w:qFormat/>
    <w:uiPriority w:val="99"/>
    <w:rPr>
      <w:rFonts w:asciiTheme="minorHAnsi" w:hAnsiTheme="minorHAnsi" w:eastAsiaTheme="minorEastAsia" w:cstheme="minorBidi"/>
      <w:kern w:val="2"/>
      <w:sz w:val="21"/>
      <w:szCs w:val="22"/>
      <w:lang w:val="en-US" w:eastAsia="zh-CN" w:bidi="ar-SA"/>
    </w:rPr>
  </w:style>
  <w:style w:type="paragraph" w:styleId="18">
    <w:name w:val="List Paragraph"/>
    <w:qFormat/>
    <w:uiPriority w:val="34"/>
    <w:pPr>
      <w:widowControl w:val="0"/>
      <w:ind w:firstLine="420" w:firstLineChars="200"/>
      <w:jc w:val="both"/>
    </w:pPr>
    <w:rPr>
      <w:rFonts w:ascii="Calibri" w:hAnsi="Calibri" w:eastAsia="宋体" w:cs="Times New Roman"/>
      <w:kern w:val="2"/>
      <w:sz w:val="21"/>
      <w:szCs w:val="22"/>
      <w:lang w:val="en-US" w:eastAsia="zh-CN" w:bidi="ar-SA"/>
    </w:rPr>
  </w:style>
  <w:style w:type="character" w:customStyle="1" w:styleId="19">
    <w:name w:val="页眉 字符"/>
    <w:basedOn w:val="11"/>
    <w:link w:val="7"/>
    <w:qFormat/>
    <w:uiPriority w:val="99"/>
    <w:rPr>
      <w:sz w:val="18"/>
      <w:szCs w:val="18"/>
    </w:rPr>
  </w:style>
  <w:style w:type="character" w:customStyle="1" w:styleId="20">
    <w:name w:val="批注框文本 字符"/>
    <w:basedOn w:val="11"/>
    <w:link w:val="5"/>
    <w:semiHidden/>
    <w:qFormat/>
    <w:uiPriority w:val="99"/>
    <w:rPr>
      <w:sz w:val="18"/>
      <w:szCs w:val="18"/>
    </w:rPr>
  </w:style>
  <w:style w:type="character" w:customStyle="1" w:styleId="21">
    <w:name w:val="melo-codeblock-Base-theme-char"/>
    <w:qFormat/>
    <w:uiPriority w:val="0"/>
    <w:rPr>
      <w:rFonts w:ascii="Monaco" w:hAnsi="Monaco" w:eastAsia="Monaco" w:cs="Monaco"/>
      <w:color w:val="000000"/>
      <w:sz w:val="21"/>
    </w:rPr>
  </w:style>
  <w:style w:type="table" w:customStyle="1" w:styleId="22">
    <w:name w:val="Doc Table Band 1st"/>
    <w:basedOn w:val="10"/>
    <w:uiPriority w:val="49"/>
    <w:tblStylePr w:type="firstRow">
      <w:rPr>
        <w:b/>
        <w:bCs/>
        <w:color w:val="FFFFFF"/>
      </w:rPr>
      <w:tcPr>
        <w:shd w:val="clear" w:color="auto" w:fill="485368"/>
      </w:tcPr>
    </w:tblStylePr>
    <w:tblStylePr w:type="band2Horz">
      <w:tcPr>
        <w:shd w:val="clear" w:color="auto" w:fill="F3F5F7"/>
      </w:tcPr>
    </w:tblStylePr>
  </w:style>
  <w:style w:type="table" w:customStyle="1" w:styleId="23">
    <w:name w:val="Doc Table Band 5th"/>
    <w:basedOn w:val="10"/>
    <w:uiPriority w:val="49"/>
    <w:tblStylePr w:type="firstRow">
      <w:rPr>
        <w:b/>
        <w:bCs/>
        <w:color w:val="FFFFFF"/>
      </w:rPr>
      <w:tcPr>
        <w:shd w:val="clear" w:color="auto" w:fill="00A3F5"/>
      </w:tcPr>
    </w:tblStylePr>
    <w:tblStylePr w:type="band2Horz">
      <w:tcPr>
        <w:shd w:val="clear" w:color="auto" w:fill="E5F6FF"/>
      </w:tcPr>
    </w:tblStylePr>
  </w:style>
  <w:style w:type="paragraph" w:customStyle="1" w:styleId="24">
    <w:name w:val="melo-codeblock-Base-theme-para"/>
    <w:basedOn w:val="1"/>
    <w:qFormat/>
    <w:uiPriority w:val="0"/>
    <w:pPr>
      <w:spacing w:line="360" w:lineRule="auto"/>
    </w:pPr>
    <w:rPr>
      <w:rFonts w:ascii="Monaco" w:hAnsi="Monaco" w:eastAsia="Monaco" w:cs="Monaco"/>
      <w:color w:val="000000"/>
    </w:rPr>
  </w:style>
  <w:style w:type="paragraph" w:customStyle="1" w:styleId="25">
    <w:name w:val="_Style 15"/>
    <w:basedOn w:val="1"/>
    <w:next w:val="1"/>
    <w:qFormat/>
    <w:uiPriority w:val="0"/>
    <w:pPr>
      <w:pBdr>
        <w:top w:val="single" w:color="auto" w:sz="6" w:space="1"/>
      </w:pBdr>
      <w:jc w:val="center"/>
    </w:pPr>
    <w:rPr>
      <w:rFonts w:ascii="Arial" w:eastAsia="宋体"/>
      <w:vanish/>
      <w:sz w:val="16"/>
    </w:rPr>
  </w:style>
  <w:style w:type="table" w:customStyle="1" w:styleId="26">
    <w:name w:val="Doc Table Band 2nd"/>
    <w:basedOn w:val="10"/>
    <w:uiPriority w:val="49"/>
    <w:tblStylePr w:type="firstRow">
      <w:rPr>
        <w:b/>
        <w:bCs/>
        <w:color w:val="FFFFFF"/>
      </w:rPr>
      <w:tcPr>
        <w:shd w:val="clear" w:color="auto" w:fill="2972F4"/>
      </w:tcPr>
    </w:tblStylePr>
    <w:tblStylePr w:type="band2Horz">
      <w:tcPr>
        <w:shd w:val="clear" w:color="auto" w:fill="E5EFFF"/>
      </w:tcPr>
    </w:tblStylePr>
  </w:style>
  <w:style w:type="paragraph" w:customStyle="1" w:styleId="27">
    <w:name w:val="paragraph11"/>
    <w:qFormat/>
    <w:uiPriority w:val="0"/>
    <w:pPr>
      <w:widowControl/>
      <w:spacing w:before="100" w:beforeAutospacing="1" w:after="100" w:afterAutospacing="1"/>
      <w:jc w:val="left"/>
    </w:pPr>
    <w:rPr>
      <w:rFonts w:ascii="宋体" w:hAnsi="宋体" w:eastAsia="宋体" w:cs="宋体"/>
      <w:kern w:val="0"/>
      <w:sz w:val="24"/>
      <w:szCs w:val="24"/>
      <w:lang w:val="en-US" w:eastAsia="zh-CN" w:bidi="ar-SA"/>
    </w:rPr>
  </w:style>
  <w:style w:type="paragraph" w:customStyle="1" w:styleId="28">
    <w:name w:val="paragraph1"/>
    <w:qFormat/>
    <w:uiPriority w:val="0"/>
    <w:pPr>
      <w:spacing w:before="100" w:beforeAutospacing="1" w:after="100" w:afterAutospacing="1"/>
    </w:pPr>
    <w:rPr>
      <w:rFonts w:ascii="宋体" w:hAnsi="宋体" w:eastAsia="宋体" w:cs="宋体"/>
      <w:sz w:val="24"/>
      <w:szCs w:val="24"/>
      <w:lang w:val="en-US" w:eastAsia="zh-CN" w:bidi="ar-SA"/>
    </w:rPr>
  </w:style>
  <w:style w:type="character" w:customStyle="1" w:styleId="29">
    <w:name w:val="页脚 字符"/>
    <w:basedOn w:val="11"/>
    <w:link w:val="6"/>
    <w:qFormat/>
    <w:uiPriority w:val="99"/>
    <w:rPr>
      <w:sz w:val="18"/>
      <w:szCs w:val="18"/>
    </w:rPr>
  </w:style>
  <w:style w:type="table" w:customStyle="1" w:styleId="30">
    <w:name w:val="Doc Table Band 4th"/>
    <w:basedOn w:val="10"/>
    <w:qFormat/>
    <w:uiPriority w:val="49"/>
    <w:tblStylePr w:type="firstRow">
      <w:rPr>
        <w:b/>
        <w:bCs/>
        <w:color w:val="FFFFFF"/>
      </w:rPr>
      <w:tcPr>
        <w:shd w:val="clear" w:color="auto" w:fill="F88825"/>
      </w:tcPr>
    </w:tblStylePr>
    <w:tblStylePr w:type="band2Horz">
      <w:tcPr>
        <w:shd w:val="clear" w:color="auto" w:fill="FFF3EB"/>
      </w:tcPr>
    </w:tblStylePr>
  </w:style>
  <w:style w:type="paragraph" w:customStyle="1" w:styleId="31">
    <w:name w:val="石墨文档正文"/>
    <w:qFormat/>
    <w:uiPriority w:val="0"/>
    <w:rPr>
      <w:rFonts w:ascii="微软雅黑" w:hAnsi="微软雅黑" w:eastAsia="微软雅黑" w:cs="微软雅黑"/>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Office_12.1.0.16417_F1E327BC-269C-435d-A152-05C5408002CA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2024-04-01T11:00:00Z</dcterms:created>
  <dc:creator>Administrator</dc:creator>
  <cp:lastModifiedBy>灵</cp:lastModifiedBy>
  <dcterms:modified xsi:type="dcterms:W3CDTF">2024-04-01T03:02:15Z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9D938CF1407A45A693C56637CA7E7484_12</vt:lpwstr>
  </property>
</Properties>
</file>