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20369B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5C57A569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03EF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39471624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1B0CF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5F920BC5">
            <w:pPr>
              <w:pStyle w:val="11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552F74A6"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1F8FC26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083FFBD9">
      <w:pPr>
        <w:spacing w:line="276" w:lineRule="auto"/>
        <w:jc w:val="center"/>
      </w:pPr>
      <w:r>
        <w:t>Институт искусственного интеллекта</w:t>
      </w:r>
    </w:p>
    <w:p w14:paraId="530D62D4">
      <w:pPr>
        <w:spacing w:line="276" w:lineRule="auto"/>
        <w:jc w:val="center"/>
      </w:pPr>
      <w:r>
        <w:t>Кафедра проблем управления</w:t>
      </w:r>
    </w:p>
    <w:p w14:paraId="2EE4453E">
      <w:pPr>
        <w:spacing w:line="276" w:lineRule="auto"/>
        <w:jc w:val="center"/>
      </w:pPr>
    </w:p>
    <w:p w14:paraId="4F702307">
      <w:pPr>
        <w:spacing w:line="276" w:lineRule="auto"/>
        <w:jc w:val="center"/>
      </w:pPr>
    </w:p>
    <w:p w14:paraId="3E9E527D">
      <w:pPr>
        <w:spacing w:line="276" w:lineRule="auto"/>
        <w:jc w:val="center"/>
      </w:pPr>
    </w:p>
    <w:p w14:paraId="2C150205">
      <w:pPr>
        <w:spacing w:line="360" w:lineRule="auto"/>
        <w:jc w:val="center"/>
        <w:rPr>
          <w:b/>
        </w:rPr>
      </w:pPr>
      <w:r>
        <w:rPr>
          <w:b/>
        </w:rPr>
        <w:t>ЛАБОРАТОРНАЯ РАБОТА №1</w:t>
      </w:r>
    </w:p>
    <w:p w14:paraId="79E021F8"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b/>
          <w:lang w:val="ru-RU"/>
        </w:rPr>
        <w:t>Теория</w:t>
      </w:r>
      <w:bookmarkStart w:id="0" w:name="_GoBack"/>
      <w:bookmarkEnd w:id="0"/>
      <w:r>
        <w:rPr>
          <w:rFonts w:hint="default"/>
          <w:b/>
          <w:lang w:val="ru-RU"/>
        </w:rPr>
        <w:t xml:space="preserve"> автоматического</w:t>
      </w:r>
      <w:r>
        <w:rPr>
          <w:rFonts w:hint="default"/>
          <w:lang w:val="ru-RU"/>
        </w:rPr>
        <w:t xml:space="preserve"> </w:t>
      </w:r>
      <w:r>
        <w:rPr>
          <w:b/>
        </w:rPr>
        <w:t>управления</w:t>
      </w:r>
    </w:p>
    <w:p w14:paraId="0D5350D1">
      <w:pPr>
        <w:spacing w:line="360" w:lineRule="auto"/>
        <w:ind w:left="-567"/>
        <w:rPr>
          <w:b/>
        </w:rPr>
      </w:pPr>
    </w:p>
    <w:p w14:paraId="6421D6DA">
      <w:pPr>
        <w:spacing w:line="360" w:lineRule="auto"/>
        <w:ind w:left="-567"/>
        <w:rPr>
          <w:b/>
        </w:rPr>
      </w:pPr>
    </w:p>
    <w:p w14:paraId="43B12647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Тема лабораторной работы: «</w:t>
      </w:r>
      <w:r>
        <w:rPr>
          <w:rFonts w:hint="default"/>
          <w:highlight w:val="none"/>
        </w:rPr>
        <w:t>Исследование релейной САУ методом фазовой плоскости</w:t>
      </w:r>
      <w:r>
        <w:t>»</w:t>
      </w:r>
    </w:p>
    <w:p w14:paraId="11D61BC3">
      <w:pPr>
        <w:spacing w:line="360" w:lineRule="auto"/>
        <w:ind w:left="-567"/>
      </w:pPr>
    </w:p>
    <w:p w14:paraId="358F0E9C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538C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35" w:hRule="atLeast"/>
        </w:trPr>
        <w:tc>
          <w:tcPr>
            <w:tcW w:w="4145" w:type="dxa"/>
            <w:vAlign w:val="center"/>
          </w:tcPr>
          <w:p w14:paraId="54723985"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270902D0"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rFonts w:hint="default"/>
                <w:highlight w:val="none"/>
                <w:lang w:val="ru-RU"/>
              </w:rPr>
              <w:t xml:space="preserve"> А.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58E39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17E94118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573D133F">
            <w:pPr>
              <w:spacing w:line="360" w:lineRule="auto"/>
              <w:ind w:left="-567" w:leftChars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val="ru-RU" w:eastAsia="ru-RU" w:bidi="ar-SA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А</w:t>
            </w:r>
            <w:r>
              <w:rPr>
                <w:highlight w:val="none"/>
              </w:rPr>
              <w:t xml:space="preserve">.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37DB3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06969974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shd w:val="clear"/>
            <w:vAlign w:val="center"/>
          </w:tcPr>
          <w:p w14:paraId="5876C003">
            <w:pPr>
              <w:spacing w:line="360" w:lineRule="auto"/>
              <w:ind w:left="-567" w:leftChars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none"/>
                <w:lang w:val="ru-RU" w:eastAsia="ru-RU" w:bidi="ar-SA"/>
              </w:rPr>
            </w:pPr>
            <w:r>
              <w:rPr>
                <w:rFonts w:hint="default"/>
                <w:highlight w:val="none"/>
                <w:lang w:val="ru-RU"/>
              </w:rPr>
              <w:t>Гришаев А</w:t>
            </w:r>
            <w:r>
              <w:rPr>
                <w:highlight w:val="none"/>
              </w:rPr>
              <w:t>.</w:t>
            </w:r>
            <w:r>
              <w:rPr>
                <w:rFonts w:hint="default"/>
                <w:highlight w:val="none"/>
                <w:lang w:val="ru-RU"/>
              </w:rPr>
              <w:t xml:space="preserve"> К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 w14:paraId="47C39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4D032F26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6350EAB6"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>к</w:t>
            </w:r>
            <w:r>
              <w:rPr>
                <w:rFonts w:hint="default"/>
                <w:highlight w:val="none"/>
                <w:lang w:val="ru-RU"/>
              </w:rPr>
              <w:t xml:space="preserve">. т. н. 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Быковцев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Ю</w:t>
            </w:r>
            <w:r>
              <w:rPr>
                <w:highlight w:val="none"/>
              </w:rPr>
              <w:t xml:space="preserve">. А.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 w14:paraId="2AABC612">
      <w:pPr>
        <w:spacing w:line="360" w:lineRule="auto"/>
        <w:ind w:left="-567"/>
        <w:rPr>
          <w:b/>
        </w:rPr>
      </w:pPr>
    </w:p>
    <w:p w14:paraId="19096BE6">
      <w:pPr>
        <w:spacing w:line="360" w:lineRule="auto"/>
      </w:pPr>
    </w:p>
    <w:p w14:paraId="29AF5360">
      <w:pPr>
        <w:spacing w:line="360" w:lineRule="auto"/>
        <w:ind w:left="-567"/>
      </w:pPr>
    </w:p>
    <w:p w14:paraId="73077102">
      <w:pPr>
        <w:spacing w:line="360" w:lineRule="auto"/>
        <w:ind w:left="-567"/>
      </w:pPr>
    </w:p>
    <w:p w14:paraId="673B68C1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58F56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120728F1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5EED0B1D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590488F6">
      <w:pPr>
        <w:spacing w:after="200" w:line="276" w:lineRule="auto"/>
      </w:pPr>
    </w:p>
    <w:p w14:paraId="7D2802AD">
      <w:pPr>
        <w:spacing w:after="200" w:line="276" w:lineRule="auto"/>
      </w:pPr>
    </w:p>
    <w:p w14:paraId="1B891ECC"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 w14:paraId="3B7C6623"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 w14:paraId="78003FBB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Освоение методики применения метода фазовой плоскости для исследования процессов в релейных системах автоматического управления. Работа выполняется с использованием программного комплекса «Анализ систем».</w:t>
      </w:r>
    </w:p>
    <w:p w14:paraId="3F26DA81">
      <w:pPr>
        <w:pStyle w:val="2"/>
      </w:pPr>
      <w:r>
        <w:rPr>
          <w:rFonts w:ascii="Times New Roman" w:hAnsi="Times New Roman"/>
          <w:b/>
          <w:sz w:val="28"/>
        </w:rPr>
        <w:t>2. Задание</w:t>
      </w:r>
    </w:p>
    <w:p w14:paraId="0F91AC6A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Исследуется замкнутая система автоматического управления, структурная схема которой содержит нелинейный элемент (НЭ) и линейную часть (ЛЧ). В качестве нелинейного элемента рассматривается идеальное реле.</w:t>
      </w:r>
    </w:p>
    <w:p w14:paraId="0327FB6D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Передаточная функция линейной части имеет вид:</w:t>
      </w:r>
    </w:p>
    <w:p w14:paraId="02DE67F1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W(s) = k / (T²s² + 2ξTs + 1)</w:t>
      </w:r>
    </w:p>
    <w:p w14:paraId="0E0376A4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Построить модель нелинейной САУ по уравнениям, представив линейную часть в нормальной форме Коши. Принять значение величины управления нелинейного элемента a = ±1. Коэффициент усиления линейной части k = 1.</w:t>
      </w:r>
    </w:p>
    <w:p w14:paraId="76CF163C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Построить фазовый портрет системы и переходные процессы при a1 = a2 = 0, b = 1 и начальных условиях x(0) = (1 0)ᵀ, x(0) = (2 0)ᵀ, x(0) = (3 0)ᵀ.</w:t>
      </w:r>
    </w:p>
    <w:p w14:paraId="61352BAC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Рассчитать коэффициенты a1 и a2 по данным табл. 1 (вариант 1: T=1, ξ=0.1). При найденных значениях параметров и b = 1 построить фазовый портрет и временные характеристики при тех же начальных условиях.</w:t>
      </w:r>
    </w:p>
    <w:p w14:paraId="09F4F4D3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Повторить п.2 при половинном значении Т, удвоенном Т, при половинном и удвоенном значениях ξ.</w:t>
      </w:r>
    </w:p>
    <w:p w14:paraId="3F76B113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При величине управления НЭ a, близкой к 0, построить ФП системы и временные характеристики при начальных условиях из п.2.</w:t>
      </w:r>
    </w:p>
    <w:p w14:paraId="6578C111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При величине управления НЭ a &gt; 1 построить ФП системы и временные характеристики при начальных условиях из п.2.</w:t>
      </w:r>
    </w:p>
    <w:p w14:paraId="1EDEF02C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Ввести в обратную связь звено с передаточной функцией Woc = koc(TocS + 1). Рассчитать параметры koc и Toc, обеспечивающие апериодической режим в нелинейной системе при любых начальных условиях или входных воздействиях.</w:t>
      </w:r>
    </w:p>
    <w:p w14:paraId="4327C861"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 w14:paraId="5CD4AA55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Метод фазовой плоскости наиболее удобен для исследования САУ с кусочно-постоянными характеристиками нелинейного элемента и, в частности, для релейных систем. Для описания данного метода рассмотрим передаточную функцию линейной части:</w:t>
      </w:r>
    </w:p>
    <w:p w14:paraId="7992E585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Wлч = kлч / [s(s + a1)]</w:t>
      </w:r>
    </w:p>
    <w:p w14:paraId="70A5B66F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которую преобразуем к нормальной форме Коши (каноническая форма наблюдаемости):</w:t>
      </w:r>
    </w:p>
    <w:p w14:paraId="1F34F7B5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dx₁/dt = x₂</w:t>
      </w:r>
    </w:p>
    <w:p w14:paraId="1E826688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dx₂/dt = -a₁x₂ + kлч·u(t)</w:t>
      </w:r>
    </w:p>
    <w:p w14:paraId="70A21A30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y = x₁</w:t>
      </w:r>
    </w:p>
    <w:p w14:paraId="6151EF4D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Изображающая точка в пространстве состояний описывает фазовую траекторию. Фазовая плоскость представляет собой координатную плоскость (x₁, x₂).</w:t>
      </w:r>
    </w:p>
    <w:p w14:paraId="7FC43427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Уравнение трехпозиционного реле (идеальное реле с зоной нечувствительности) с порогами срабатывания a и -a:</w:t>
      </w:r>
    </w:p>
    <w:p w14:paraId="75C65006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/>
          <w:sz w:val="24"/>
        </w:rPr>
        <w:t>u(e) = c при e &gt; a; 0 при -a ≤ e ≤ a; -c при e &lt; -a</w:t>
      </w:r>
    </w:p>
    <w:p w14:paraId="500709D5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где e = g - y = -x₁ — ошибка регулирования.</w:t>
      </w:r>
    </w:p>
    <w:p w14:paraId="1E4D2FCA"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 w14:paraId="6FEA79C5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Структурная схема исследуемой нелинейной САУ</w:t>
      </w:r>
    </w:p>
    <w:p w14:paraId="444DE228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Структурная схема системы с идеальным реле и линейной частью второго порядка представлена на рисунке 1. Нелинейный элемент формирует управляющий сигнал u(t) в зависимости от ошибки e(t).</w:t>
      </w:r>
    </w:p>
    <w:p w14:paraId="6FC7566E">
      <w:pPr>
        <w:jc w:val="center"/>
      </w:pPr>
      <w:r>
        <w:drawing>
          <wp:inline distT="0" distB="0" distL="114300" distR="114300">
            <wp:extent cx="4319905" cy="267843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E7E9">
      <w:pPr>
        <w:jc w:val="center"/>
      </w:pPr>
      <w:r>
        <w:rPr>
          <w:rFonts w:ascii="Times New Roman" w:hAnsi="Times New Roman"/>
          <w:i/>
          <w:sz w:val="24"/>
        </w:rPr>
        <w:t>Рисунок 1 – Структурная схема нелинейной САУ с идеальным реле</w:t>
      </w:r>
    </w:p>
    <w:p w14:paraId="3AC32E27"/>
    <w:p w14:paraId="5C32D020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Исследование системы при a₁ = a₂ = 0, b = 1</w:t>
      </w:r>
    </w:p>
    <w:p w14:paraId="6A21810C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начальных условий x(0) = (1 0)ᵀ, (2 0)ᵀ, (3 0)ᵀ получены фазовые портреты и переходные процессы. Графики представлены на рисунках 2–7.</w:t>
      </w:r>
    </w:p>
    <w:p w14:paraId="6739BA8A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D4F0">
      <w:pPr>
        <w:jc w:val="center"/>
      </w:pPr>
      <w:r>
        <w:rPr>
          <w:rFonts w:ascii="Times New Roman" w:hAnsi="Times New Roman"/>
          <w:i/>
          <w:sz w:val="24"/>
        </w:rPr>
        <w:t xml:space="preserve">Рисунок 2 – </w:t>
      </w:r>
      <w:r>
        <w:rPr>
          <w:i/>
          <w:sz w:val="24"/>
          <w:lang w:val="ru-RU"/>
        </w:rPr>
        <w:t>П</w:t>
      </w:r>
      <w:r>
        <w:rPr>
          <w:rFonts w:ascii="Times New Roman" w:hAnsi="Times New Roman"/>
          <w:i/>
          <w:sz w:val="24"/>
        </w:rPr>
        <w:t>ереходной процесс при a₁=a₂=0, x(0)=(1 0)ᵀ</w:t>
      </w:r>
    </w:p>
    <w:p w14:paraId="5EDBA224"/>
    <w:p w14:paraId="532763ED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F0A0">
      <w:pPr>
        <w:jc w:val="center"/>
      </w:pPr>
      <w:r>
        <w:rPr>
          <w:rFonts w:ascii="Times New Roman" w:hAnsi="Times New Roman"/>
          <w:i/>
          <w:sz w:val="24"/>
        </w:rPr>
        <w:t xml:space="preserve">Рисунок 3 – </w:t>
      </w:r>
      <w:r>
        <w:rPr>
          <w:i/>
          <w:sz w:val="24"/>
          <w:lang w:val="ru-RU"/>
        </w:rPr>
        <w:t>П</w:t>
      </w:r>
      <w:r>
        <w:rPr>
          <w:rFonts w:ascii="Times New Roman" w:hAnsi="Times New Roman"/>
          <w:i/>
          <w:sz w:val="24"/>
        </w:rPr>
        <w:t>ереходной процесс, x(0)=(2 0)ᵀ</w:t>
      </w:r>
    </w:p>
    <w:p w14:paraId="7E083D61"/>
    <w:p w14:paraId="242225BE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5656">
      <w:pPr>
        <w:jc w:val="center"/>
      </w:pPr>
      <w:r>
        <w:rPr>
          <w:rFonts w:ascii="Times New Roman" w:hAnsi="Times New Roman"/>
          <w:i/>
          <w:sz w:val="24"/>
        </w:rPr>
        <w:t xml:space="preserve">Рисунок 4 – </w:t>
      </w:r>
      <w:r>
        <w:rPr>
          <w:i/>
          <w:sz w:val="24"/>
          <w:lang w:val="ru-RU"/>
        </w:rPr>
        <w:t>П</w:t>
      </w:r>
      <w:r>
        <w:rPr>
          <w:rFonts w:ascii="Times New Roman" w:hAnsi="Times New Roman"/>
          <w:i/>
          <w:sz w:val="24"/>
        </w:rPr>
        <w:t>ереходной процесс, x(0)=(3 0)ᵀ</w:t>
      </w:r>
    </w:p>
    <w:p w14:paraId="1423960D"/>
    <w:p w14:paraId="714C51F3">
      <w:pPr>
        <w:jc w:val="center"/>
      </w:pPr>
      <w:r>
        <w:drawing>
          <wp:inline distT="0" distB="0" distL="114300" distR="114300">
            <wp:extent cx="4319905" cy="3942080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99D9">
      <w:pPr>
        <w:jc w:val="center"/>
      </w:pPr>
      <w:r>
        <w:rPr>
          <w:rFonts w:ascii="Times New Roman" w:hAnsi="Times New Roman"/>
          <w:i/>
          <w:sz w:val="24"/>
        </w:rPr>
        <w:t>Рисунок 5 – Фазовый портрет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i/>
          <w:sz w:val="24"/>
          <w:lang w:val="ru-RU"/>
        </w:rPr>
        <w:t>при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ascii="Times New Roman" w:hAnsi="Times New Roman"/>
          <w:i/>
          <w:sz w:val="24"/>
        </w:rPr>
        <w:t xml:space="preserve"> x(0)=(1 0)ᵀ</w:t>
      </w:r>
    </w:p>
    <w:p w14:paraId="52564007"/>
    <w:p w14:paraId="4CBC0AC8">
      <w:pPr>
        <w:jc w:val="center"/>
      </w:pPr>
      <w:r>
        <w:drawing>
          <wp:inline distT="0" distB="0" distL="114300" distR="114300">
            <wp:extent cx="4319905" cy="3770630"/>
            <wp:effectExtent l="0" t="0" r="444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7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D6BE">
      <w:pPr>
        <w:jc w:val="center"/>
      </w:pPr>
      <w:r>
        <w:rPr>
          <w:rFonts w:ascii="Times New Roman" w:hAnsi="Times New Roman"/>
          <w:i/>
          <w:sz w:val="24"/>
        </w:rPr>
        <w:t>Рисунок 6 – Фазовый портрет, x(0)=(2 0)ᵀ</w:t>
      </w:r>
    </w:p>
    <w:p w14:paraId="7E49DCE8"/>
    <w:p w14:paraId="1945C8BB">
      <w:pPr>
        <w:jc w:val="center"/>
      </w:pPr>
      <w:r>
        <w:drawing>
          <wp:inline distT="0" distB="0" distL="114300" distR="114300">
            <wp:extent cx="4319905" cy="3914775"/>
            <wp:effectExtent l="0" t="0" r="444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2044">
      <w:pPr>
        <w:jc w:val="center"/>
      </w:pPr>
      <w:r>
        <w:rPr>
          <w:rFonts w:ascii="Times New Roman" w:hAnsi="Times New Roman"/>
          <w:i/>
          <w:sz w:val="24"/>
        </w:rPr>
        <w:t>Рисунок 7 – Фазовый портрет, x(0)=(3 0)ᵀ</w:t>
      </w:r>
    </w:p>
    <w:p w14:paraId="447A09A6"/>
    <w:p w14:paraId="5E8E8FE8"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4.3. Исследование системы с рассчитанными коэффициентами a₁ и a₂ (вариант 1: T=1, ξ=0.1)</w:t>
      </w:r>
    </w:p>
    <w:p w14:paraId="17D38E83"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4FDAF975">
      <w:pPr>
        <w:jc w:val="left"/>
      </w:pPr>
      <w:r>
        <w:rPr>
          <w:rFonts w:ascii="Times New Roman" w:hAnsi="Times New Roman"/>
          <w:b w:val="0"/>
          <w:sz w:val="24"/>
        </w:rPr>
        <w:t>Таблица 1 – Параметры линейной части по вариантам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14:paraId="28B8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</w:tcPr>
          <w:p w14:paraId="3F40447C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Номер варианта</w:t>
            </w:r>
          </w:p>
        </w:tc>
        <w:tc>
          <w:tcPr>
            <w:tcW w:w="850" w:type="dxa"/>
          </w:tcPr>
          <w:p w14:paraId="37F1E1E1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37E75D49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50" w:type="dxa"/>
          </w:tcPr>
          <w:p w14:paraId="02B15513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850" w:type="dxa"/>
          </w:tcPr>
          <w:p w14:paraId="47C1FC01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0" w:type="dxa"/>
          </w:tcPr>
          <w:p w14:paraId="2D40944C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850" w:type="dxa"/>
          </w:tcPr>
          <w:p w14:paraId="11034B2A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0" w:type="dxa"/>
          </w:tcPr>
          <w:p w14:paraId="02B65732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850" w:type="dxa"/>
          </w:tcPr>
          <w:p w14:paraId="3E257C64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850" w:type="dxa"/>
          </w:tcPr>
          <w:p w14:paraId="1525826D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850" w:type="dxa"/>
          </w:tcPr>
          <w:p w14:paraId="11796E9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w14:paraId="1E69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78168001">
            <w:pPr>
              <w:jc w:val="center"/>
            </w:pPr>
            <w:r>
              <w:rPr>
                <w:rFonts w:ascii="Times New Roman" w:hAnsi="Times New Roman"/>
                <w:sz w:val="20"/>
              </w:rPr>
              <w:t>T</w:t>
            </w:r>
          </w:p>
        </w:tc>
        <w:tc>
          <w:tcPr>
            <w:tcW w:w="850" w:type="dxa"/>
          </w:tcPr>
          <w:p w14:paraId="000F92AE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1693DA19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w="850" w:type="dxa"/>
          </w:tcPr>
          <w:p w14:paraId="2DB02D8B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850" w:type="dxa"/>
          </w:tcPr>
          <w:p w14:paraId="5B67FC75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w="850" w:type="dxa"/>
          </w:tcPr>
          <w:p w14:paraId="6631955E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850" w:type="dxa"/>
          </w:tcPr>
          <w:p w14:paraId="5904ACC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w="850" w:type="dxa"/>
          </w:tcPr>
          <w:p w14:paraId="56316A58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w="850" w:type="dxa"/>
          </w:tcPr>
          <w:p w14:paraId="0790622A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850" w:type="dxa"/>
          </w:tcPr>
          <w:p w14:paraId="4DD465A7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850" w:type="dxa"/>
          </w:tcPr>
          <w:p w14:paraId="21F3D07D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</w:t>
            </w:r>
          </w:p>
        </w:tc>
      </w:tr>
      <w:tr w14:paraId="402E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F0C8BD0">
            <w:pPr>
              <w:jc w:val="center"/>
            </w:pPr>
            <w:r>
              <w:rPr>
                <w:rFonts w:ascii="Times New Roman" w:hAnsi="Times New Roman"/>
                <w:sz w:val="20"/>
              </w:rPr>
              <w:t>ξ</w:t>
            </w:r>
          </w:p>
        </w:tc>
        <w:tc>
          <w:tcPr>
            <w:tcW w:w="850" w:type="dxa"/>
          </w:tcPr>
          <w:p w14:paraId="37FDAA17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w="850" w:type="dxa"/>
          </w:tcPr>
          <w:p w14:paraId="6BA1CA17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850" w:type="dxa"/>
          </w:tcPr>
          <w:p w14:paraId="14DA027B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w="850" w:type="dxa"/>
          </w:tcPr>
          <w:p w14:paraId="4ADC9A1E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0,3</w:t>
            </w:r>
          </w:p>
        </w:tc>
        <w:tc>
          <w:tcPr>
            <w:tcW w:w="850" w:type="dxa"/>
          </w:tcPr>
          <w:p w14:paraId="5FDACA1F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w="850" w:type="dxa"/>
          </w:tcPr>
          <w:p w14:paraId="526A017C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w="850" w:type="dxa"/>
          </w:tcPr>
          <w:p w14:paraId="40FA78A1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w="850" w:type="dxa"/>
          </w:tcPr>
          <w:p w14:paraId="541CBB95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w="850" w:type="dxa"/>
          </w:tcPr>
          <w:p w14:paraId="671F23F1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850" w:type="dxa"/>
          </w:tcPr>
          <w:p w14:paraId="10069A91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</w:t>
            </w:r>
          </w:p>
        </w:tc>
      </w:tr>
    </w:tbl>
    <w:p w14:paraId="68AA1FDB"/>
    <w:p w14:paraId="452D6E5B">
      <w:pPr>
        <w:spacing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Для варианта </w:t>
      </w:r>
      <w:r>
        <w:rPr>
          <w:rFonts w:hint="default"/>
          <w:b w:val="0"/>
          <w:i w:val="0"/>
          <w:sz w:val="24"/>
          <w:lang w:val="ru-RU"/>
        </w:rPr>
        <w:t>3</w:t>
      </w:r>
      <w:r>
        <w:rPr>
          <w:rFonts w:ascii="Times New Roman" w:hAnsi="Times New Roman"/>
          <w:b w:val="0"/>
          <w:i w:val="0"/>
          <w:sz w:val="24"/>
        </w:rPr>
        <w:t xml:space="preserve"> (T = </w:t>
      </w:r>
      <w:r>
        <w:rPr>
          <w:rFonts w:ascii="Times New Roman" w:hAnsi="Times New Roman"/>
          <w:sz w:val="20"/>
        </w:rPr>
        <w:t>0,6</w:t>
      </w:r>
      <w:r>
        <w:rPr>
          <w:rFonts w:ascii="Times New Roman" w:hAnsi="Times New Roman"/>
          <w:b w:val="0"/>
          <w:i w:val="0"/>
          <w:sz w:val="24"/>
        </w:rPr>
        <w:t xml:space="preserve">, ξ = </w:t>
      </w:r>
      <w:r>
        <w:rPr>
          <w:rFonts w:ascii="Times New Roman" w:hAnsi="Times New Roman"/>
          <w:sz w:val="20"/>
        </w:rPr>
        <w:t>0,4</w:t>
      </w:r>
      <w:r>
        <w:rPr>
          <w:rFonts w:ascii="Times New Roman" w:hAnsi="Times New Roman"/>
          <w:b w:val="0"/>
          <w:i w:val="0"/>
          <w:sz w:val="24"/>
        </w:rPr>
        <w:t xml:space="preserve">) </w:t>
      </w:r>
      <w:r>
        <w:rPr>
          <w:b w:val="0"/>
          <w:i w:val="0"/>
          <w:sz w:val="24"/>
          <w:lang w:val="ru-RU"/>
        </w:rPr>
        <w:t>построены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b w:val="0"/>
          <w:i w:val="0"/>
          <w:sz w:val="24"/>
          <w:lang w:val="ru-RU"/>
        </w:rPr>
        <w:t>ф</w:t>
      </w:r>
      <w:r>
        <w:rPr>
          <w:rFonts w:ascii="Times New Roman" w:hAnsi="Times New Roman"/>
          <w:b w:val="0"/>
          <w:i w:val="0"/>
          <w:sz w:val="24"/>
        </w:rPr>
        <w:t>азовые портреты и переходные процессы для трёх начальных условий показаны на рисунках 8–10</w:t>
      </w:r>
      <w:r>
        <w:rPr>
          <w:rFonts w:hint="default"/>
          <w:b w:val="0"/>
          <w:i w:val="0"/>
          <w:sz w:val="24"/>
          <w:lang w:val="ru-RU"/>
        </w:rPr>
        <w:t xml:space="preserve"> и 35-37.</w:t>
      </w:r>
    </w:p>
    <w:p w14:paraId="399A260D">
      <w:pPr>
        <w:jc w:val="center"/>
      </w:pPr>
      <w:r>
        <w:drawing>
          <wp:inline distT="0" distB="0" distL="114300" distR="114300">
            <wp:extent cx="4319905" cy="3637280"/>
            <wp:effectExtent l="0" t="0" r="444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AAC5">
      <w:pPr>
        <w:jc w:val="center"/>
      </w:pPr>
      <w:r>
        <w:rPr>
          <w:rFonts w:ascii="Times New Roman" w:hAnsi="Times New Roman"/>
          <w:i/>
          <w:sz w:val="24"/>
        </w:rPr>
        <w:t>Рисунок 8 – Фазовый портрет, x(0)=(1 0)ᵀ</w:t>
      </w:r>
    </w:p>
    <w:p w14:paraId="252D8938"/>
    <w:p w14:paraId="26FA9A9A">
      <w:pPr>
        <w:jc w:val="center"/>
      </w:pPr>
      <w:r>
        <w:drawing>
          <wp:inline distT="0" distB="0" distL="114300" distR="114300">
            <wp:extent cx="4319905" cy="3963035"/>
            <wp:effectExtent l="0" t="0" r="444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B0F6">
      <w:pPr>
        <w:jc w:val="center"/>
      </w:pPr>
      <w:r>
        <w:rPr>
          <w:rFonts w:ascii="Times New Roman" w:hAnsi="Times New Roman"/>
          <w:i/>
          <w:sz w:val="24"/>
        </w:rPr>
        <w:t>Рисунок 9 – Фазовый портрет, x(0)=(2 0)ᵀ</w:t>
      </w:r>
    </w:p>
    <w:p w14:paraId="5EDAE497"/>
    <w:p w14:paraId="2641C6F0">
      <w:pPr>
        <w:jc w:val="center"/>
      </w:pPr>
      <w:r>
        <w:drawing>
          <wp:inline distT="0" distB="0" distL="114300" distR="114300">
            <wp:extent cx="4319905" cy="3832225"/>
            <wp:effectExtent l="0" t="0" r="4445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836">
      <w:pPr>
        <w:jc w:val="center"/>
      </w:pPr>
      <w:r>
        <w:rPr>
          <w:rFonts w:ascii="Times New Roman" w:hAnsi="Times New Roman"/>
          <w:i/>
          <w:sz w:val="24"/>
        </w:rPr>
        <w:t>Рисунок 10 – Фазовый портрет, x(0)=(3 0)ᵀ</w:t>
      </w:r>
    </w:p>
    <w:p w14:paraId="1F90E999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6BB">
      <w:pPr>
        <w:jc w:val="center"/>
      </w:pPr>
      <w:r>
        <w:rPr>
          <w:rFonts w:ascii="Times New Roman" w:hAnsi="Times New Roman"/>
          <w:i/>
          <w:sz w:val="24"/>
        </w:rPr>
        <w:t>Рисунок 35 – T=T₀, ξ=ξ₀, x(0)=(1 0)ᵀ</w:t>
      </w:r>
    </w:p>
    <w:p w14:paraId="696C959B"/>
    <w:p w14:paraId="547AE3FA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9AD3">
      <w:pPr>
        <w:jc w:val="center"/>
      </w:pPr>
      <w:r>
        <w:rPr>
          <w:rFonts w:ascii="Times New Roman" w:hAnsi="Times New Roman"/>
          <w:i/>
          <w:sz w:val="24"/>
        </w:rPr>
        <w:t>Рисунок 36 – T=T₀, ξ=ξ₀, x(0)=(2 0)ᵀ</w:t>
      </w:r>
    </w:p>
    <w:p w14:paraId="6B495F82"/>
    <w:p w14:paraId="731EEC84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4100">
      <w:pPr>
        <w:jc w:val="center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i/>
          <w:sz w:val="24"/>
        </w:rPr>
        <w:t>Рисунок 37 – T=T₀, ξ=ξ₀, x(0)=(3 0)ᵀ</w:t>
      </w:r>
    </w:p>
    <w:p w14:paraId="7F977A14"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76BCF77C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Исследование влияния изменения параметров T и ξ</w:t>
      </w:r>
    </w:p>
    <w:p w14:paraId="366B1C79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4.4.1. Влияние изменения постоянной времени T</w:t>
      </w:r>
    </w:p>
    <w:p w14:paraId="2328EB60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При половинном значении T (T = 0,5) получены </w:t>
      </w:r>
      <w:r>
        <w:rPr>
          <w:b w:val="0"/>
          <w:i w:val="0"/>
          <w:sz w:val="24"/>
          <w:lang w:val="ru-RU"/>
        </w:rPr>
        <w:t>Фазовые</w:t>
      </w:r>
      <w:r>
        <w:rPr>
          <w:rFonts w:hint="default"/>
          <w:b w:val="0"/>
          <w:i w:val="0"/>
          <w:sz w:val="24"/>
          <w:lang w:val="ru-RU"/>
        </w:rPr>
        <w:t xml:space="preserve"> портреты и переходные характеристики </w:t>
      </w:r>
      <w:r>
        <w:rPr>
          <w:rFonts w:ascii="Times New Roman" w:hAnsi="Times New Roman"/>
          <w:b w:val="0"/>
          <w:i w:val="0"/>
          <w:sz w:val="24"/>
        </w:rPr>
        <w:t>(рисунки 11–16).</w:t>
      </w:r>
    </w:p>
    <w:p w14:paraId="2606D051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E5C4">
      <w:pPr>
        <w:jc w:val="center"/>
      </w:pPr>
      <w:r>
        <w:rPr>
          <w:rFonts w:ascii="Times New Roman" w:hAnsi="Times New Roman"/>
          <w:i/>
          <w:sz w:val="24"/>
        </w:rPr>
        <w:t>Рисунок 11 – Фазовый портрет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ascii="Times New Roman" w:hAnsi="Times New Roman"/>
          <w:i/>
          <w:sz w:val="24"/>
        </w:rPr>
        <w:t>T=0,5T₀, x(0)=(1 0)ᵀ</w:t>
      </w:r>
    </w:p>
    <w:p w14:paraId="5594F448"/>
    <w:p w14:paraId="43397715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83C9">
      <w:pPr>
        <w:jc w:val="center"/>
      </w:pPr>
      <w:r>
        <w:rPr>
          <w:rFonts w:ascii="Times New Roman" w:hAnsi="Times New Roman"/>
          <w:i/>
          <w:sz w:val="24"/>
        </w:rPr>
        <w:t>Рисунок 12 – Фазовый портрет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ascii="Times New Roman" w:hAnsi="Times New Roman"/>
          <w:i/>
          <w:sz w:val="24"/>
        </w:rPr>
        <w:t>T=0,5T₀, x(0)=(2 0)ᵀ</w:t>
      </w:r>
    </w:p>
    <w:p w14:paraId="35DA3075"/>
    <w:p w14:paraId="60EA9D2F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9248">
      <w:pPr>
        <w:jc w:val="center"/>
      </w:pPr>
      <w:r>
        <w:rPr>
          <w:rFonts w:ascii="Times New Roman" w:hAnsi="Times New Roman"/>
          <w:i/>
          <w:sz w:val="24"/>
        </w:rPr>
        <w:t>Рисунок 13 – Фазовый портрет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ascii="Times New Roman" w:hAnsi="Times New Roman"/>
          <w:i/>
          <w:sz w:val="24"/>
        </w:rPr>
        <w:t>T=0,5T₀, x(0)=(3 0)ᵀ</w:t>
      </w:r>
    </w:p>
    <w:p w14:paraId="3E8E7DFF"/>
    <w:p w14:paraId="66ABD445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EFE6">
      <w:pPr>
        <w:jc w:val="center"/>
      </w:pPr>
      <w:r>
        <w:rPr>
          <w:rFonts w:ascii="Times New Roman" w:hAnsi="Times New Roman"/>
          <w:i/>
          <w:sz w:val="24"/>
        </w:rPr>
        <w:t xml:space="preserve">Рисунок 14 – </w:t>
      </w:r>
      <w:r>
        <w:rPr>
          <w:i/>
          <w:sz w:val="24"/>
          <w:lang w:val="ru-RU"/>
        </w:rPr>
        <w:t>П</w:t>
      </w:r>
      <w:r>
        <w:rPr>
          <w:rFonts w:ascii="Times New Roman" w:hAnsi="Times New Roman"/>
          <w:i/>
          <w:sz w:val="24"/>
        </w:rPr>
        <w:t>ереходной процесс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ascii="Times New Roman" w:hAnsi="Times New Roman"/>
          <w:i/>
          <w:sz w:val="24"/>
        </w:rPr>
        <w:t>T=0,5T₀, x(0)=(1 0)ᵀ</w:t>
      </w:r>
    </w:p>
    <w:p w14:paraId="027E7CA3"/>
    <w:p w14:paraId="4CF00A95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48E4">
      <w:pPr>
        <w:jc w:val="center"/>
      </w:pPr>
      <w:r>
        <w:rPr>
          <w:rFonts w:ascii="Times New Roman" w:hAnsi="Times New Roman"/>
          <w:i/>
          <w:sz w:val="24"/>
        </w:rPr>
        <w:t xml:space="preserve">Рисунок 15 – </w:t>
      </w:r>
      <w:r>
        <w:rPr>
          <w:i/>
          <w:sz w:val="24"/>
          <w:lang w:val="ru-RU"/>
        </w:rPr>
        <w:t>П</w:t>
      </w:r>
      <w:r>
        <w:rPr>
          <w:rFonts w:ascii="Times New Roman" w:hAnsi="Times New Roman"/>
          <w:i/>
          <w:sz w:val="24"/>
        </w:rPr>
        <w:t>ереходной процесс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ascii="Times New Roman" w:hAnsi="Times New Roman"/>
          <w:i/>
          <w:sz w:val="24"/>
        </w:rPr>
        <w:t>T=0,5T₀, x(0)=(2 0)ᵀ</w:t>
      </w:r>
    </w:p>
    <w:p w14:paraId="02A16F47"/>
    <w:p w14:paraId="5D43DE9B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8795">
      <w:pPr>
        <w:jc w:val="center"/>
      </w:pPr>
      <w:r>
        <w:rPr>
          <w:rFonts w:ascii="Times New Roman" w:hAnsi="Times New Roman"/>
          <w:i/>
          <w:sz w:val="24"/>
        </w:rPr>
        <w:t xml:space="preserve">Рисунок 16 – </w:t>
      </w:r>
      <w:r>
        <w:rPr>
          <w:i/>
          <w:sz w:val="24"/>
          <w:lang w:val="ru-RU"/>
        </w:rPr>
        <w:t>П</w:t>
      </w:r>
      <w:r>
        <w:rPr>
          <w:rFonts w:ascii="Times New Roman" w:hAnsi="Times New Roman"/>
          <w:i/>
          <w:sz w:val="24"/>
        </w:rPr>
        <w:t>ереходной процесс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ascii="Times New Roman" w:hAnsi="Times New Roman"/>
          <w:i/>
          <w:sz w:val="24"/>
        </w:rPr>
        <w:t>T=0,5T₀, x(0)=(3 0)ᵀ</w:t>
      </w:r>
    </w:p>
    <w:p w14:paraId="49E07C7A"/>
    <w:p w14:paraId="01122294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удвоенном значении T (T = 2) получены графики на рисунках 17–22.</w:t>
      </w:r>
    </w:p>
    <w:p w14:paraId="2693398A">
      <w:pPr>
        <w:jc w:val="center"/>
      </w:pPr>
      <w:r>
        <w:drawing>
          <wp:inline distT="0" distB="0" distL="114300" distR="114300">
            <wp:extent cx="4319905" cy="3634740"/>
            <wp:effectExtent l="0" t="0" r="444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3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CD15">
      <w:pPr>
        <w:jc w:val="center"/>
      </w:pPr>
      <w:r>
        <w:rPr>
          <w:rFonts w:ascii="Times New Roman" w:hAnsi="Times New Roman"/>
          <w:i/>
          <w:sz w:val="24"/>
        </w:rPr>
        <w:t>Рисунок 17 – T=2T₀, x(0)=(1 0)ᵀ</w:t>
      </w:r>
    </w:p>
    <w:p w14:paraId="44FAA6AA"/>
    <w:p w14:paraId="797D755E">
      <w:pPr>
        <w:jc w:val="center"/>
      </w:pPr>
      <w:r>
        <w:drawing>
          <wp:inline distT="0" distB="0" distL="114300" distR="114300">
            <wp:extent cx="4319905" cy="3720465"/>
            <wp:effectExtent l="0" t="0" r="4445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D99">
      <w:pPr>
        <w:jc w:val="center"/>
      </w:pPr>
      <w:r>
        <w:rPr>
          <w:rFonts w:ascii="Times New Roman" w:hAnsi="Times New Roman"/>
          <w:i/>
          <w:sz w:val="24"/>
        </w:rPr>
        <w:t>Рисунок 18 – T=2T₀, x(0)=(2 0)ᵀ</w:t>
      </w:r>
    </w:p>
    <w:p w14:paraId="4D30CD73"/>
    <w:p w14:paraId="269F8823">
      <w:pPr>
        <w:jc w:val="center"/>
      </w:pPr>
      <w:r>
        <w:drawing>
          <wp:inline distT="0" distB="0" distL="114300" distR="114300">
            <wp:extent cx="4319905" cy="3696970"/>
            <wp:effectExtent l="0" t="0" r="4445" b="177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EF1">
      <w:pPr>
        <w:jc w:val="center"/>
      </w:pPr>
      <w:r>
        <w:rPr>
          <w:rFonts w:ascii="Times New Roman" w:hAnsi="Times New Roman"/>
          <w:i/>
          <w:sz w:val="24"/>
        </w:rPr>
        <w:t>Рисунок 19 – T=2T₀, x(0)=(3 0)ᵀ</w:t>
      </w:r>
    </w:p>
    <w:p w14:paraId="2F0471ED"/>
    <w:p w14:paraId="2F051B66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8F8">
      <w:pPr>
        <w:jc w:val="center"/>
      </w:pPr>
      <w:r>
        <w:rPr>
          <w:rFonts w:ascii="Times New Roman" w:hAnsi="Times New Roman"/>
          <w:i/>
          <w:sz w:val="24"/>
        </w:rPr>
        <w:t>Рисунок 20 – T=2T₀, x(0)=(1 0)ᵀ (другой вид)</w:t>
      </w:r>
    </w:p>
    <w:p w14:paraId="7DEC822D"/>
    <w:p w14:paraId="76F3AB04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5E13">
      <w:pPr>
        <w:jc w:val="center"/>
      </w:pPr>
      <w:r>
        <w:rPr>
          <w:rFonts w:ascii="Times New Roman" w:hAnsi="Times New Roman"/>
          <w:i/>
          <w:sz w:val="24"/>
        </w:rPr>
        <w:t>Рисунок 21 – T=2T₀, x(0)=(2 0)ᵀ</w:t>
      </w:r>
    </w:p>
    <w:p w14:paraId="1301A645"/>
    <w:p w14:paraId="6BA1AD93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D7E5">
      <w:pPr>
        <w:jc w:val="center"/>
      </w:pPr>
      <w:r>
        <w:rPr>
          <w:rFonts w:ascii="Times New Roman" w:hAnsi="Times New Roman"/>
          <w:i/>
          <w:sz w:val="24"/>
        </w:rPr>
        <w:t>Рисунок 22 – T=2T₀, x(0)=(3 0)ᵀ</w:t>
      </w:r>
    </w:p>
    <w:p w14:paraId="5CF70AD0"/>
    <w:p w14:paraId="672562C6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4.4.2. Влияние изменения коэффициента демпфирования ξ</w:t>
      </w:r>
    </w:p>
    <w:p w14:paraId="2DA19EF8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половинном значении ξ  получены графики на рисунках 23–28.</w:t>
      </w:r>
    </w:p>
    <w:p w14:paraId="5344392E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11F6">
      <w:pPr>
        <w:jc w:val="center"/>
      </w:pPr>
      <w:r>
        <w:rPr>
          <w:rFonts w:ascii="Times New Roman" w:hAnsi="Times New Roman"/>
          <w:i/>
          <w:sz w:val="24"/>
        </w:rPr>
        <w:t>Рисунок 23 – ξ=0,5ξ₀, x(0)=(1 0)ᵀ</w:t>
      </w:r>
    </w:p>
    <w:p w14:paraId="6D0B34FA"/>
    <w:p w14:paraId="2D125128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0FBA">
      <w:pPr>
        <w:jc w:val="center"/>
      </w:pPr>
      <w:r>
        <w:rPr>
          <w:rFonts w:ascii="Times New Roman" w:hAnsi="Times New Roman"/>
          <w:i/>
          <w:sz w:val="24"/>
        </w:rPr>
        <w:t>Рисунок 24 – ξ=0,5ξ₀, x(0)=(2 0)ᵀ</w:t>
      </w:r>
    </w:p>
    <w:p w14:paraId="0C7970A7"/>
    <w:p w14:paraId="14588637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00C9">
      <w:pPr>
        <w:jc w:val="center"/>
      </w:pPr>
      <w:r>
        <w:rPr>
          <w:rFonts w:ascii="Times New Roman" w:hAnsi="Times New Roman"/>
          <w:i/>
          <w:sz w:val="24"/>
        </w:rPr>
        <w:t>Рисунок 25 – ξ=0,5ξ₀, x(0)=(3 0)ᵀ</w:t>
      </w:r>
    </w:p>
    <w:p w14:paraId="7978B610"/>
    <w:p w14:paraId="0EA42387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496B">
      <w:pPr>
        <w:jc w:val="center"/>
      </w:pPr>
      <w:r>
        <w:rPr>
          <w:rFonts w:ascii="Times New Roman" w:hAnsi="Times New Roman"/>
          <w:i/>
          <w:sz w:val="24"/>
        </w:rPr>
        <w:t>Рисунок 26 – ξ=0,5ξ₀, x(0)=(1 0)ᵀ (другой вид)</w:t>
      </w:r>
    </w:p>
    <w:p w14:paraId="4233CC84"/>
    <w:p w14:paraId="08DB3B34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B59B">
      <w:pPr>
        <w:jc w:val="center"/>
      </w:pPr>
      <w:r>
        <w:rPr>
          <w:rFonts w:ascii="Times New Roman" w:hAnsi="Times New Roman"/>
          <w:i/>
          <w:sz w:val="24"/>
        </w:rPr>
        <w:t>Рисунок 27 – ξ=0,5ξ₀, x(0)=(2 0)ᵀ</w:t>
      </w:r>
    </w:p>
    <w:p w14:paraId="1170FC33"/>
    <w:p w14:paraId="4F49C37A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1B03">
      <w:pPr>
        <w:jc w:val="center"/>
      </w:pPr>
      <w:r>
        <w:rPr>
          <w:rFonts w:ascii="Times New Roman" w:hAnsi="Times New Roman"/>
          <w:i/>
          <w:sz w:val="24"/>
        </w:rPr>
        <w:t>Рисунок 28 – ξ=0,5ξ₀, x(0)=(3 0)ᵀ</w:t>
      </w:r>
    </w:p>
    <w:p w14:paraId="6F7B6F3D"/>
    <w:p w14:paraId="4F62342D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удвоенном значении ξ  получены графики на рисунках 29–34.</w:t>
      </w:r>
    </w:p>
    <w:p w14:paraId="1C1E8E57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9A48">
      <w:pPr>
        <w:jc w:val="center"/>
      </w:pPr>
      <w:r>
        <w:rPr>
          <w:rFonts w:ascii="Times New Roman" w:hAnsi="Times New Roman"/>
          <w:i/>
          <w:sz w:val="24"/>
        </w:rPr>
        <w:t>Рисунок 29 – ξ=2ξ₀, x(0)=(1 0)ᵀ</w:t>
      </w:r>
    </w:p>
    <w:p w14:paraId="0F8C40AB"/>
    <w:p w14:paraId="718DF7FA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9203">
      <w:pPr>
        <w:jc w:val="center"/>
      </w:pPr>
      <w:r>
        <w:rPr>
          <w:rFonts w:ascii="Times New Roman" w:hAnsi="Times New Roman"/>
          <w:i/>
          <w:sz w:val="24"/>
        </w:rPr>
        <w:t>Рисунок 30 – ξ=2ξ₀, x(0)=(2 0)ᵀ</w:t>
      </w:r>
    </w:p>
    <w:p w14:paraId="2765C3A1"/>
    <w:p w14:paraId="3FE89EEE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2565">
      <w:pPr>
        <w:jc w:val="center"/>
      </w:pPr>
      <w:r>
        <w:rPr>
          <w:rFonts w:ascii="Times New Roman" w:hAnsi="Times New Roman"/>
          <w:i/>
          <w:sz w:val="24"/>
        </w:rPr>
        <w:t>Рисунок 31 – ξ=2ξ₀, x(0)=(3 0)ᵀ</w:t>
      </w:r>
    </w:p>
    <w:p w14:paraId="7F5379BD"/>
    <w:p w14:paraId="7155DFFD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C59A">
      <w:pPr>
        <w:jc w:val="center"/>
      </w:pPr>
      <w:r>
        <w:rPr>
          <w:rFonts w:ascii="Times New Roman" w:hAnsi="Times New Roman"/>
          <w:i/>
          <w:sz w:val="24"/>
        </w:rPr>
        <w:t>Рисунок 32 – ξ=2ξ₀, x(0)=(1 0)ᵀ (другой вид)</w:t>
      </w:r>
    </w:p>
    <w:p w14:paraId="5FD8C03F"/>
    <w:p w14:paraId="3383DD4A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99C4">
      <w:pPr>
        <w:jc w:val="center"/>
      </w:pPr>
      <w:r>
        <w:rPr>
          <w:rFonts w:ascii="Times New Roman" w:hAnsi="Times New Roman"/>
          <w:i/>
          <w:sz w:val="24"/>
        </w:rPr>
        <w:t>Рисунок 33 – ξ=2ξ₀, x(0)=(2 0)ᵀ</w:t>
      </w:r>
    </w:p>
    <w:p w14:paraId="32502F0E"/>
    <w:p w14:paraId="629578FE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4D2C">
      <w:pPr>
        <w:jc w:val="center"/>
      </w:pPr>
      <w:r>
        <w:rPr>
          <w:rFonts w:ascii="Times New Roman" w:hAnsi="Times New Roman"/>
          <w:i/>
          <w:sz w:val="24"/>
        </w:rPr>
        <w:t>Рисунок 34 – ξ=2ξ₀, x(0)=(3 0)ᵀ</w:t>
      </w:r>
    </w:p>
    <w:p w14:paraId="7AA0DCCC"/>
    <w:p w14:paraId="42FC80C0"/>
    <w:p w14:paraId="568F35C5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4.5. Исследование при величине управления НЭ a, близкой к 0</w:t>
      </w:r>
    </w:p>
    <w:p w14:paraId="48B00624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a → 0 характеристика реле приближается к идеальному двухпозиционному реле без зоны нечувствительности. Результаты показаны на рисунках 38–40.</w:t>
      </w:r>
    </w:p>
    <w:p w14:paraId="0348D2F6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434F">
      <w:pPr>
        <w:jc w:val="center"/>
      </w:pPr>
      <w:r>
        <w:rPr>
          <w:rFonts w:ascii="Times New Roman" w:hAnsi="Times New Roman"/>
          <w:i/>
          <w:sz w:val="24"/>
        </w:rPr>
        <w:t>Рисунок 38 – a → 0, x(0)=(1 0)ᵀ</w:t>
      </w:r>
    </w:p>
    <w:p w14:paraId="67E1E9A0"/>
    <w:p w14:paraId="17F5482B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7FF3">
      <w:pPr>
        <w:jc w:val="center"/>
      </w:pPr>
      <w:r>
        <w:rPr>
          <w:rFonts w:ascii="Times New Roman" w:hAnsi="Times New Roman"/>
          <w:i/>
          <w:sz w:val="24"/>
        </w:rPr>
        <w:t>Рисунок 39 – a → 0, x(0)=(2 0)ᵀ</w:t>
      </w:r>
    </w:p>
    <w:p w14:paraId="41F996B5"/>
    <w:p w14:paraId="1EEDD73D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0CA4">
      <w:pPr>
        <w:jc w:val="center"/>
      </w:pPr>
      <w:r>
        <w:rPr>
          <w:rFonts w:ascii="Times New Roman" w:hAnsi="Times New Roman"/>
          <w:i/>
          <w:sz w:val="24"/>
        </w:rPr>
        <w:t>Рисунок 40 – a → 0, x(0)=(3 0)ᵀ</w:t>
      </w:r>
    </w:p>
    <w:p w14:paraId="7864CA4B"/>
    <w:p w14:paraId="328F948B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4.6. Исследование при величине управления НЭ a &gt; 1</w:t>
      </w:r>
    </w:p>
    <w:p w14:paraId="4B594ECE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a = 2 (увеличенная зона нечувствительности) получены графики на рисунках 41–46.</w:t>
      </w:r>
    </w:p>
    <w:p w14:paraId="7F0189B1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1ECE">
      <w:pPr>
        <w:jc w:val="center"/>
      </w:pPr>
      <w:r>
        <w:rPr>
          <w:rFonts w:ascii="Times New Roman" w:hAnsi="Times New Roman"/>
          <w:i/>
          <w:sz w:val="24"/>
        </w:rPr>
        <w:t>Рисунок 41 – a=2, x(0)=(1 0)ᵀ</w:t>
      </w:r>
    </w:p>
    <w:p w14:paraId="5FA317F0"/>
    <w:p w14:paraId="21BF0EFC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F035">
      <w:pPr>
        <w:jc w:val="center"/>
      </w:pPr>
      <w:r>
        <w:rPr>
          <w:rFonts w:ascii="Times New Roman" w:hAnsi="Times New Roman"/>
          <w:i/>
          <w:sz w:val="24"/>
        </w:rPr>
        <w:t>Рисунок 42 – a=2, x(0)=(2 0)ᵀ</w:t>
      </w:r>
    </w:p>
    <w:p w14:paraId="7403A256"/>
    <w:p w14:paraId="711DCBD2">
      <w:pPr>
        <w:jc w:val="center"/>
      </w:pPr>
      <w:r>
        <w:drawing>
          <wp:inline distT="0" distB="0" distL="114300" distR="114300">
            <wp:extent cx="4319905" cy="3558540"/>
            <wp:effectExtent l="0" t="0" r="4445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3163">
      <w:pPr>
        <w:jc w:val="center"/>
      </w:pPr>
      <w:r>
        <w:rPr>
          <w:rFonts w:ascii="Times New Roman" w:hAnsi="Times New Roman"/>
          <w:i/>
          <w:sz w:val="24"/>
        </w:rPr>
        <w:t>Рисунок 43 – a=2, x(0)=(3 0)ᵀ</w:t>
      </w:r>
    </w:p>
    <w:p w14:paraId="3962409D"/>
    <w:p w14:paraId="414B0888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196">
      <w:pPr>
        <w:jc w:val="center"/>
      </w:pPr>
      <w:r>
        <w:rPr>
          <w:rFonts w:ascii="Times New Roman" w:hAnsi="Times New Roman"/>
          <w:i/>
          <w:sz w:val="24"/>
        </w:rPr>
        <w:t>Рисунок 44 – a=2, x(0)=(1 0)ᵀ</w:t>
      </w:r>
    </w:p>
    <w:p w14:paraId="03F3A51C"/>
    <w:p w14:paraId="721B27A9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4212">
      <w:pPr>
        <w:jc w:val="center"/>
      </w:pPr>
      <w:r>
        <w:rPr>
          <w:rFonts w:ascii="Times New Roman" w:hAnsi="Times New Roman"/>
          <w:i/>
          <w:sz w:val="24"/>
        </w:rPr>
        <w:t>Рисунок 45 – a=2, x(0)=(2 0)ᵀ</w:t>
      </w:r>
    </w:p>
    <w:p w14:paraId="4890989B"/>
    <w:p w14:paraId="21B80959">
      <w:pPr>
        <w:jc w:val="center"/>
      </w:pPr>
      <w:r>
        <w:drawing>
          <wp:inline distT="0" distB="0" distL="114300" distR="114300">
            <wp:extent cx="4319905" cy="3530600"/>
            <wp:effectExtent l="0" t="0" r="4445" b="1270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B9D0">
      <w:pPr>
        <w:jc w:val="center"/>
      </w:pPr>
      <w:r>
        <w:rPr>
          <w:rFonts w:ascii="Times New Roman" w:hAnsi="Times New Roman"/>
          <w:i/>
          <w:sz w:val="24"/>
        </w:rPr>
        <w:t>Рисунок 46 –a=2, x(0)=(3 0)ᵀ</w:t>
      </w:r>
    </w:p>
    <w:p w14:paraId="72DF3FD2"/>
    <w:p w14:paraId="68636CCD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4.7. Введение корректирующей обратной связи</w:t>
      </w:r>
    </w:p>
    <w:p w14:paraId="331B97D9"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Для обеспечения </w:t>
      </w:r>
      <w:r>
        <w:rPr>
          <w:b w:val="0"/>
          <w:i w:val="0"/>
          <w:sz w:val="24"/>
          <w:lang w:val="ru-RU"/>
        </w:rPr>
        <w:t>скользящего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режима в нелинейной системе вводится звено обратной связи с передаточной функцией Woc = koc(TocS + 1). Параметры обратной связи подбираются таким образом, чтобы </w:t>
      </w:r>
      <w:r>
        <w:rPr>
          <w:b w:val="0"/>
          <w:i w:val="0"/>
          <w:sz w:val="24"/>
          <w:lang w:val="ru-RU"/>
        </w:rPr>
        <w:t>выбрать</w:t>
      </w:r>
      <w:r>
        <w:rPr>
          <w:rFonts w:hint="default"/>
          <w:b w:val="0"/>
          <w:i w:val="0"/>
          <w:sz w:val="24"/>
          <w:lang w:val="ru-RU"/>
        </w:rPr>
        <w:t xml:space="preserve"> правильный угол наклона, обеспечивающий скользящий режим. Наклон линии переключения зависит только от -1</w:t>
      </w:r>
      <w:r>
        <w:rPr>
          <w:rFonts w:hint="default"/>
          <w:b w:val="0"/>
          <w:i w:val="0"/>
          <w:sz w:val="24"/>
          <w:lang w:val="en-US"/>
        </w:rPr>
        <w:t>/</w:t>
      </w:r>
      <w:r>
        <w:rPr>
          <w:rFonts w:ascii="Times New Roman" w:hAnsi="Times New Roman"/>
          <w:b w:val="0"/>
          <w:i w:val="0"/>
          <w:sz w:val="24"/>
        </w:rPr>
        <w:t>Toc</w:t>
      </w:r>
      <w:r>
        <w:rPr>
          <w:rFonts w:hint="default"/>
          <w:b w:val="0"/>
          <w:i w:val="0"/>
          <w:sz w:val="24"/>
          <w:lang w:val="ru-RU"/>
        </w:rPr>
        <w:t xml:space="preserve">. </w:t>
      </w:r>
      <w:r>
        <w:rPr>
          <w:rFonts w:ascii="Times New Roman" w:hAnsi="Times New Roman"/>
          <w:b w:val="0"/>
          <w:i w:val="0"/>
          <w:sz w:val="24"/>
        </w:rPr>
        <w:t xml:space="preserve">Для рассматриваемой системы с параметрами T = 1, ξ = 0,1, a = ±1, k = 1 подобраны параметры koc = </w:t>
      </w:r>
      <w:r>
        <w:rPr>
          <w:rFonts w:hint="default"/>
          <w:b w:val="0"/>
          <w:i w:val="0"/>
          <w:sz w:val="24"/>
          <w:lang w:val="en-US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, Toc = </w:t>
      </w:r>
      <w:r>
        <w:rPr>
          <w:rFonts w:hint="default"/>
          <w:b w:val="0"/>
          <w:i w:val="0"/>
          <w:sz w:val="24"/>
          <w:lang w:val="en-US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r>
        <w:rPr>
          <w:b w:val="0"/>
          <w:i w:val="0"/>
          <w:sz w:val="24"/>
          <w:lang w:val="ru-RU"/>
        </w:rPr>
        <w:t>Скользящий</w:t>
      </w:r>
      <w:r>
        <w:rPr>
          <w:rFonts w:hint="default"/>
          <w:b w:val="0"/>
          <w:i w:val="0"/>
          <w:sz w:val="24"/>
          <w:lang w:val="ru-RU"/>
        </w:rPr>
        <w:t xml:space="preserve"> режим </w:t>
      </w:r>
      <w:r>
        <w:rPr>
          <w:rFonts w:hint="default"/>
          <w:b w:val="0"/>
          <w:i w:val="0"/>
          <w:sz w:val="24"/>
          <w:lang w:val="en-US"/>
        </w:rPr>
        <w:t>при</w:t>
      </w:r>
      <w:r>
        <w:rPr>
          <w:rFonts w:hint="default"/>
          <w:b w:val="0"/>
          <w:i w:val="0"/>
          <w:sz w:val="24"/>
          <w:lang w:val="ru-RU"/>
        </w:rPr>
        <w:t xml:space="preserve"> начальных условиях </w:t>
      </w:r>
      <w:r>
        <w:rPr>
          <w:rFonts w:hint="default"/>
          <w:b w:val="0"/>
          <w:i w:val="0"/>
          <w:sz w:val="24"/>
          <w:lang w:val="en-US"/>
        </w:rPr>
        <w:t>x1 = -1</w:t>
      </w:r>
      <w:r>
        <w:rPr>
          <w:rFonts w:hint="default"/>
          <w:b w:val="0"/>
          <w:i w:val="0"/>
          <w:sz w:val="24"/>
          <w:lang w:val="ru-RU"/>
        </w:rPr>
        <w:t xml:space="preserve">, представлен на рисунке 47. На рисунках 48 и 49 </w:t>
      </w:r>
      <w:r>
        <w:rPr>
          <w:rFonts w:hint="default"/>
          <w:b w:val="0"/>
          <w:i w:val="0"/>
          <w:sz w:val="24"/>
          <w:lang w:val="en-US"/>
        </w:rPr>
        <w:t>представлены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hint="default"/>
          <w:b w:val="0"/>
          <w:i w:val="0"/>
          <w:sz w:val="24"/>
          <w:lang w:val="en-US"/>
        </w:rPr>
        <w:t>настройки</w:t>
      </w:r>
      <w:r>
        <w:rPr>
          <w:rFonts w:hint="default"/>
          <w:b w:val="0"/>
          <w:i w:val="0"/>
          <w:sz w:val="24"/>
          <w:lang w:val="ru-RU"/>
        </w:rPr>
        <w:t xml:space="preserve"> системы.</w:t>
      </w:r>
    </w:p>
    <w:p w14:paraId="37BA719C">
      <w:pPr>
        <w:spacing w:line="360" w:lineRule="auto"/>
        <w:jc w:val="both"/>
        <w:rPr>
          <w:rFonts w:hint="default" w:ascii="Times New Roman" w:hAnsi="Times New Roman"/>
          <w:b w:val="0"/>
          <w:i w:val="0"/>
          <w:sz w:val="24"/>
          <w:lang w:val="en-US"/>
        </w:rPr>
      </w:pPr>
      <w:r>
        <w:drawing>
          <wp:inline distT="0" distB="0" distL="114300" distR="114300">
            <wp:extent cx="5939155" cy="3489325"/>
            <wp:effectExtent l="0" t="0" r="4445" b="15875"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D136">
      <w:pPr>
        <w:jc w:val="center"/>
        <w:rPr>
          <w:rFonts w:hint="default"/>
          <w:lang w:val="ru-RU"/>
        </w:rPr>
      </w:pPr>
      <w:r>
        <w:rPr>
          <w:rFonts w:ascii="Times New Roman" w:hAnsi="Times New Roman"/>
          <w:i/>
          <w:sz w:val="24"/>
        </w:rPr>
        <w:t>Рисунок 4</w:t>
      </w:r>
      <w:r>
        <w:rPr>
          <w:rFonts w:hint="default"/>
          <w:i/>
          <w:sz w:val="24"/>
          <w:lang w:val="ru-RU"/>
        </w:rPr>
        <w:t>7</w:t>
      </w:r>
      <w:r>
        <w:rPr>
          <w:rFonts w:ascii="Times New Roman" w:hAnsi="Times New Roman"/>
          <w:i/>
          <w:sz w:val="24"/>
        </w:rPr>
        <w:t xml:space="preserve"> – </w:t>
      </w:r>
      <w:r>
        <w:rPr>
          <w:i/>
          <w:sz w:val="24"/>
          <w:lang w:val="ru-RU"/>
        </w:rPr>
        <w:t>Скользящий</w:t>
      </w:r>
      <w:r>
        <w:rPr>
          <w:rFonts w:hint="default"/>
          <w:i/>
          <w:sz w:val="24"/>
          <w:lang w:val="ru-RU"/>
        </w:rPr>
        <w:t xml:space="preserve"> режим.</w:t>
      </w:r>
    </w:p>
    <w:p w14:paraId="0B669B9E">
      <w:pPr>
        <w:spacing w:line="360" w:lineRule="auto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 w:ascii="Times New Roman" w:hAnsi="Times New Roman"/>
          <w:b w:val="0"/>
          <w:i w:val="0"/>
          <w:sz w:val="24"/>
          <w:lang w:val="ru-RU"/>
        </w:rPr>
        <w:drawing>
          <wp:inline distT="0" distB="0" distL="114300" distR="114300">
            <wp:extent cx="5938520" cy="3185160"/>
            <wp:effectExtent l="0" t="0" r="5080" b="15240"/>
            <wp:docPr id="50" name="Picture 50" descr="Screenshot from 2026-04-03 22-31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Screenshot from 2026-04-03 22-31-3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79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8520" cy="3185160"/>
            <wp:effectExtent l="0" t="0" r="5080" b="15240"/>
            <wp:docPr id="51" name="Picture 51" descr="Screenshot from 2026-04-03 22-31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Screenshot from 2026-04-03 22-31-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A543">
      <w:pPr>
        <w:pStyle w:val="2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5. Выводы по работе</w:t>
      </w:r>
    </w:p>
    <w:p w14:paraId="3626E68C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была исследована нелинейная система автоматического управления с релейным элементом. Основные результаты:</w:t>
      </w:r>
    </w:p>
    <w:p w14:paraId="7DF2F684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Метод фазовой плоскости является эффективным инструментом для анализа систем второго порядка с кусочно-линейными характеристиками.</w:t>
      </w:r>
    </w:p>
    <w:p w14:paraId="4FDB033B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Изменение параметров линейной части (T и ξ) существенно влияет на характер переходных процессов: уменьшение T увеличивает быстродействие, но может привести к росту перерегулирования; увеличение ξ уменьшает колебательность.</w:t>
      </w:r>
    </w:p>
    <w:p w14:paraId="38BFE014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Зона нечувствительности реле (параметр a) влияет на точность и динамику системы: увеличение a снижает частоту переключений, но увеличивает статическую ошибку.</w:t>
      </w:r>
    </w:p>
    <w:p w14:paraId="0E31DE4F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Введение корректирующей обратной связи позволяет изменить динамику системы и обеспечить апериодический переходный процесс, что подтверждает возможность синтеза систем с желаемыми свойствами.</w:t>
      </w:r>
    </w:p>
    <w:p w14:paraId="4BB73CD2"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Полученные результаты соответствуют теоретическим положениям метода фазовой плоскости и подтверждают корректность моделирования в программном комплексе «Анализ систем».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 w14:paraId="40F22896">
        <w:pPr>
          <w:pStyle w:val="15"/>
          <w:jc w:val="right"/>
        </w:pPr>
      </w:p>
    </w:sdtContent>
  </w:sdt>
  <w:p w14:paraId="73199BBA"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EAC037F"/>
    <w:rsid w:val="343D6F56"/>
    <w:rsid w:val="3FDFA2CE"/>
    <w:rsid w:val="4B87D2EC"/>
    <w:rsid w:val="5FAF350A"/>
    <w:rsid w:val="652037FF"/>
    <w:rsid w:val="7A7BE20E"/>
    <w:rsid w:val="7AC6A482"/>
    <w:rsid w:val="7D7C6993"/>
    <w:rsid w:val="7FE23265"/>
    <w:rsid w:val="8BFD9CBF"/>
    <w:rsid w:val="BF5EDCFE"/>
    <w:rsid w:val="DEDF592C"/>
    <w:rsid w:val="DFAB4F80"/>
    <w:rsid w:val="DFF5C766"/>
    <w:rsid w:val="F3F42611"/>
    <w:rsid w:val="F77F23E2"/>
    <w:rsid w:val="FFEFA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Body Text"/>
    <w:basedOn w:val="1"/>
    <w:link w:val="22"/>
    <w:qFormat/>
    <w:uiPriority w:val="0"/>
    <w:rPr>
      <w:sz w:val="28"/>
    </w:rPr>
  </w:style>
  <w:style w:type="paragraph" w:styleId="12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3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8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11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5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7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7" Type="http://schemas.openxmlformats.org/officeDocument/2006/relationships/fontTable" Target="fontTable.xml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1113</Words>
  <Characters>5928</Characters>
  <Lines>4</Lines>
  <Paragraphs>1</Paragraphs>
  <TotalTime>15</TotalTime>
  <ScaleCrop>false</ScaleCrop>
  <LinksUpToDate>false</LinksUpToDate>
  <CharactersWithSpaces>6908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moody</dc:creator>
  <cp:lastModifiedBy>Alexander Grachev</cp:lastModifiedBy>
  <dcterms:modified xsi:type="dcterms:W3CDTF">2026-04-03T20:24:49Z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97CC72389C6A47C6987C4A7891358E43_12</vt:lpwstr>
  </property>
</Properties>
</file>