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355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" w:hRule="atLeast"/>
        </w:trPr>
        <w:tc>
          <w:tcPr>
            <w:tcW w:w="9355" w:type="dxa"/>
            <w:shd w:val="clear" w:color="auto" w:fill="auto"/>
          </w:tcPr>
          <w:p>
            <w:pPr>
              <w:jc w:val="center"/>
              <w:rPr>
                <w:caps/>
              </w:rPr>
            </w:pPr>
            <w:r>
              <w:drawing>
                <wp:inline distT="0" distB="0" distL="0" distR="0">
                  <wp:extent cx="890905" cy="1009015"/>
                  <wp:effectExtent l="0" t="0" r="0" b="0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905" cy="100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" w:hRule="atLeast"/>
        </w:trPr>
        <w:tc>
          <w:tcPr>
            <w:tcW w:w="9355" w:type="dxa"/>
            <w:shd w:val="clear" w:color="auto" w:fill="auto"/>
          </w:tcPr>
          <w:p>
            <w:pPr>
              <w:spacing w:before="60" w:after="60"/>
              <w:jc w:val="center"/>
              <w:rPr>
                <w:caps/>
              </w:rPr>
            </w:pPr>
            <w:r>
              <w:rPr>
                <w:caps/>
              </w:rPr>
              <w:t>МИНОБРНАУКИ РОССИИ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" w:hRule="atLeast"/>
        </w:trPr>
        <w:tc>
          <w:tcPr>
            <w:tcW w:w="9355" w:type="dxa"/>
            <w:shd w:val="clear" w:color="auto" w:fill="auto"/>
          </w:tcPr>
          <w:p>
            <w:pPr>
              <w:pStyle w:val="6"/>
              <w:jc w:val="center"/>
            </w:pPr>
            <w:r>
              <w:t>Федеральное государственное бюджетное образовательное учреждение</w:t>
            </w:r>
            <w:r>
              <w:br w:type="textWrapping"/>
            </w:r>
            <w:r>
              <w:t>высшего образования</w:t>
            </w:r>
          </w:p>
          <w:p>
            <w:pPr>
              <w:pStyle w:val="6"/>
              <w:jc w:val="center"/>
              <w:rPr>
                <w:b/>
                <w:sz w:val="20"/>
              </w:rPr>
            </w:pPr>
            <w:r>
              <w:rPr>
                <w:b/>
              </w:rPr>
              <w:t>«МИРЭА – Российский технологический университет»</w:t>
            </w:r>
          </w:p>
          <w:p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РТУ МИРЭА</w:t>
            </w:r>
          </w:p>
        </w:tc>
      </w:tr>
    </w:tbl>
    <w:p>
      <w:pPr>
        <w:spacing w:line="276" w:lineRule="auto"/>
        <w:jc w:val="center"/>
      </w:pPr>
      <w:r>
        <w:t>Институт искусственного интеллекта</w:t>
      </w:r>
    </w:p>
    <w:p>
      <w:pPr>
        <w:spacing w:line="276" w:lineRule="auto"/>
        <w:jc w:val="center"/>
      </w:pPr>
      <w:r>
        <w:t>Кафедра проблем управления</w:t>
      </w:r>
    </w:p>
    <w:p>
      <w:pPr>
        <w:spacing w:line="276" w:lineRule="auto"/>
        <w:jc w:val="center"/>
      </w:pPr>
    </w:p>
    <w:p>
      <w:pPr>
        <w:spacing w:line="276" w:lineRule="auto"/>
        <w:jc w:val="center"/>
      </w:pPr>
    </w:p>
    <w:p>
      <w:pPr>
        <w:spacing w:line="276" w:lineRule="auto"/>
        <w:jc w:val="center"/>
      </w:pPr>
    </w:p>
    <w:p>
      <w:pPr>
        <w:spacing w:line="360" w:lineRule="auto"/>
        <w:jc w:val="center"/>
        <w:rPr>
          <w:rFonts w:hint="default"/>
          <w:b/>
          <w:highlight w:val="none"/>
          <w:lang w:val="ru-RU"/>
        </w:rPr>
      </w:pPr>
      <w:r>
        <w:rPr>
          <w:b/>
          <w:highlight w:val="none"/>
          <w:lang w:val="ru-RU"/>
        </w:rPr>
        <w:t>ПРАКТИЧЕСКАЯ</w:t>
      </w:r>
      <w:r>
        <w:rPr>
          <w:rFonts w:hint="default"/>
          <w:b/>
          <w:highlight w:val="none"/>
          <w:lang w:val="ru-RU"/>
        </w:rPr>
        <w:t xml:space="preserve"> </w:t>
      </w:r>
      <w:r>
        <w:rPr>
          <w:b/>
          <w:highlight w:val="none"/>
        </w:rPr>
        <w:t>РАБОТА №</w:t>
      </w:r>
      <w:r>
        <w:rPr>
          <w:rFonts w:hint="default"/>
          <w:b/>
          <w:highlight w:val="none"/>
          <w:lang w:val="ru-RU"/>
        </w:rPr>
        <w:t>5</w:t>
      </w:r>
      <w:bookmarkStart w:id="0" w:name="_GoBack"/>
      <w:bookmarkEnd w:id="0"/>
    </w:p>
    <w:p>
      <w:pPr>
        <w:spacing w:line="360" w:lineRule="auto"/>
        <w:ind w:left="-567"/>
        <w:jc w:val="center"/>
        <w:rPr>
          <w:rFonts w:hint="default"/>
          <w:sz w:val="20"/>
          <w:lang w:val="ru-RU"/>
        </w:rPr>
      </w:pPr>
      <w:r>
        <w:t xml:space="preserve">по </w:t>
      </w:r>
      <w:r>
        <w:rPr>
          <w:lang w:val="ru-RU"/>
        </w:rPr>
        <w:t>курсу</w:t>
      </w:r>
      <w:r>
        <w:rPr>
          <w:rFonts w:hint="default"/>
          <w:lang w:val="ru-RU"/>
        </w:rPr>
        <w:t xml:space="preserve"> элитной подготовки </w:t>
      </w:r>
      <w:r>
        <w:rPr>
          <w:rFonts w:hint="default"/>
          <w:b/>
          <w:bCs/>
          <w:lang w:val="ru-RU"/>
        </w:rPr>
        <w:t>Предиктивные технологии в умном производстве</w:t>
      </w:r>
    </w:p>
    <w:p>
      <w:pPr>
        <w:spacing w:line="360" w:lineRule="auto"/>
        <w:ind w:left="-567"/>
        <w:rPr>
          <w:b/>
        </w:rPr>
      </w:pPr>
    </w:p>
    <w:p>
      <w:pPr>
        <w:spacing w:line="360" w:lineRule="auto"/>
        <w:ind w:left="-567"/>
        <w:rPr>
          <w:b/>
        </w:rPr>
      </w:pPr>
    </w:p>
    <w:p>
      <w:pPr>
        <w:spacing w:line="360" w:lineRule="auto"/>
        <w:ind w:left="-567"/>
        <w:rPr>
          <w:color w:val="000000"/>
          <w:sz w:val="27"/>
          <w:szCs w:val="27"/>
        </w:rPr>
      </w:pPr>
      <w:r>
        <w:rPr>
          <w:b/>
        </w:rPr>
        <w:t xml:space="preserve">Тема </w:t>
      </w:r>
      <w:r>
        <w:rPr>
          <w:b/>
          <w:lang w:val="ru-RU"/>
        </w:rPr>
        <w:t>практической</w:t>
      </w:r>
      <w:r>
        <w:rPr>
          <w:rFonts w:hint="default"/>
          <w:b/>
          <w:lang w:val="ru-RU"/>
        </w:rPr>
        <w:t xml:space="preserve"> </w:t>
      </w:r>
      <w:r>
        <w:rPr>
          <w:b/>
        </w:rPr>
        <w:t>работы: «</w:t>
      </w:r>
      <w:r>
        <w:rPr>
          <w:rFonts w:hint="default"/>
        </w:rPr>
        <w:t>Построение и воспроизведение траектории на TFT с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синхронным управлением двухосевым шаговым приводом (ILI9341 + A4988</w:t>
      </w:r>
      <w:r>
        <w:rPr>
          <w:rFonts w:hint="default"/>
          <w:lang w:val="en-US"/>
        </w:rPr>
        <w:t>)</w:t>
      </w:r>
      <w:r>
        <w:t>»</w:t>
      </w: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tbl>
      <w:tblPr>
        <w:tblStyle w:val="15"/>
        <w:tblW w:w="0" w:type="auto"/>
        <w:tblInd w:w="-6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5"/>
        <w:gridCol w:w="599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4145" w:type="dxa"/>
            <w:vAlign w:val="center"/>
          </w:tcPr>
          <w:p>
            <w:pPr>
              <w:spacing w:line="360" w:lineRule="auto"/>
            </w:pPr>
            <w:r>
              <w:rPr>
                <w:b/>
                <w:highlight w:val="none"/>
              </w:rPr>
              <w:t xml:space="preserve">Студент группы: </w:t>
            </w:r>
            <w:r>
              <w:rPr>
                <w:highlight w:val="none"/>
              </w:rPr>
              <w:t>КРБО-03-23</w:t>
            </w:r>
          </w:p>
        </w:tc>
        <w:tc>
          <w:tcPr>
            <w:tcW w:w="5991" w:type="dxa"/>
            <w:vAlign w:val="center"/>
          </w:tcPr>
          <w:p>
            <w:pPr>
              <w:spacing w:line="360" w:lineRule="auto"/>
              <w:ind w:left="-567" w:leftChars="0"/>
              <w:jc w:val="right"/>
              <w:rPr>
                <w:b/>
              </w:rPr>
            </w:pPr>
            <w:r>
              <w:rPr>
                <w:highlight w:val="none"/>
                <w:lang w:val="ru-RU"/>
              </w:rPr>
              <w:t>Зенина</w:t>
            </w:r>
            <w:r>
              <w:rPr>
                <w:rFonts w:hint="default"/>
                <w:highlight w:val="none"/>
                <w:lang w:val="ru-RU"/>
              </w:rPr>
              <w:t xml:space="preserve"> </w:t>
            </w:r>
            <w:r>
              <w:rPr>
                <w:highlight w:val="none"/>
                <w:lang w:val="ru-RU"/>
              </w:rPr>
              <w:t>А</w:t>
            </w:r>
            <w:r>
              <w:rPr>
                <w:highlight w:val="none"/>
              </w:rPr>
              <w:t>.</w:t>
            </w:r>
            <w:r>
              <w:rPr>
                <w:highlight w:val="none"/>
                <w:lang w:val="ru-RU"/>
              </w:rPr>
              <w:t>А</w:t>
            </w:r>
            <w:r>
              <w:rPr>
                <w:highlight w:val="none"/>
              </w:rPr>
              <w:t xml:space="preserve">.   </w:t>
            </w:r>
            <w:r>
              <w:rPr>
                <w:b/>
                <w:highlight w:val="none"/>
              </w:rPr>
              <w:t>_______________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5" w:type="dxa"/>
            <w:vAlign w:val="center"/>
          </w:tcPr>
          <w:p>
            <w:pPr>
              <w:spacing w:line="360" w:lineRule="auto"/>
              <w:rPr>
                <w:b/>
              </w:rPr>
            </w:pPr>
            <w:r>
              <w:rPr>
                <w:b/>
                <w:highlight w:val="none"/>
              </w:rPr>
              <w:t>Преподаватель:</w:t>
            </w:r>
          </w:p>
        </w:tc>
        <w:tc>
          <w:tcPr>
            <w:tcW w:w="5991" w:type="dxa"/>
            <w:vAlign w:val="center"/>
          </w:tcPr>
          <w:p>
            <w:pPr>
              <w:spacing w:line="360" w:lineRule="auto"/>
              <w:jc w:val="right"/>
            </w:pPr>
            <w:r>
              <w:rPr>
                <w:rFonts w:hint="default"/>
                <w:highlight w:val="none"/>
                <w:lang w:val="ru-RU"/>
              </w:rPr>
              <w:t xml:space="preserve">К.т.н. доцент </w:t>
            </w:r>
            <w:r>
              <w:rPr>
                <w:highlight w:val="none"/>
                <w:lang w:val="ru-RU"/>
              </w:rPr>
              <w:t>Благовещенский</w:t>
            </w:r>
            <w:r>
              <w:rPr>
                <w:highlight w:val="none"/>
              </w:rPr>
              <w:t xml:space="preserve"> </w:t>
            </w:r>
            <w:r>
              <w:rPr>
                <w:highlight w:val="none"/>
                <w:lang w:val="ru-RU"/>
              </w:rPr>
              <w:t>В</w:t>
            </w:r>
            <w:r>
              <w:rPr>
                <w:highlight w:val="none"/>
              </w:rPr>
              <w:t>.</w:t>
            </w:r>
            <w:r>
              <w:rPr>
                <w:highlight w:val="none"/>
                <w:lang w:val="ru-RU"/>
              </w:rPr>
              <w:t>Г</w:t>
            </w:r>
            <w:r>
              <w:rPr>
                <w:rFonts w:hint="default"/>
                <w:highlight w:val="none"/>
                <w:lang w:val="ru-RU"/>
              </w:rPr>
              <w:t>.</w:t>
            </w:r>
            <w:r>
              <w:rPr>
                <w:highlight w:val="none"/>
              </w:rPr>
              <w:t xml:space="preserve">   </w:t>
            </w:r>
            <w:r>
              <w:rPr>
                <w:b/>
                <w:highlight w:val="none"/>
              </w:rPr>
              <w:t>_______________</w:t>
            </w:r>
          </w:p>
        </w:tc>
      </w:tr>
    </w:tbl>
    <w:p>
      <w:pPr>
        <w:spacing w:line="360" w:lineRule="auto"/>
        <w:ind w:left="-567"/>
        <w:rPr>
          <w:b/>
        </w:rPr>
      </w:pP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tbl>
      <w:tblPr>
        <w:tblStyle w:val="15"/>
        <w:tblW w:w="0" w:type="auto"/>
        <w:tblInd w:w="-6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5"/>
        <w:gridCol w:w="513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8" w:hRule="atLeast"/>
        </w:trPr>
        <w:tc>
          <w:tcPr>
            <w:tcW w:w="4785" w:type="dxa"/>
            <w:vAlign w:val="center"/>
          </w:tcPr>
          <w:p>
            <w:pPr>
              <w:spacing w:line="360" w:lineRule="auto"/>
            </w:pPr>
            <w:r>
              <w:t xml:space="preserve">Работа представлена к защите: </w:t>
            </w:r>
          </w:p>
        </w:tc>
        <w:tc>
          <w:tcPr>
            <w:tcW w:w="5138" w:type="dxa"/>
            <w:vAlign w:val="center"/>
          </w:tcPr>
          <w:p>
            <w:pPr>
              <w:spacing w:line="360" w:lineRule="auto"/>
              <w:ind w:left="-567"/>
              <w:jc w:val="right"/>
              <w:rPr>
                <w:b/>
              </w:rPr>
            </w:pPr>
            <w:r>
              <w:t>«___» ___________ 2025 г.</w:t>
            </w:r>
          </w:p>
        </w:tc>
      </w:tr>
    </w:tbl>
    <w:p>
      <w:pPr>
        <w:spacing w:after="200" w:line="276" w:lineRule="auto"/>
      </w:pPr>
    </w:p>
    <w:p>
      <w:pPr>
        <w:spacing w:after="200" w:line="276" w:lineRule="auto"/>
      </w:pPr>
    </w:p>
    <w:p>
      <w:pPr>
        <w:spacing w:after="200" w:line="276" w:lineRule="auto"/>
        <w:jc w:val="center"/>
      </w:pPr>
      <w:r>
        <w:t>Москва 2025</w:t>
      </w:r>
    </w:p>
    <w:p>
      <w:pPr>
        <w:spacing w:after="200" w:line="276" w:lineRule="auto"/>
      </w:pPr>
    </w:p>
    <w:p>
      <w:r>
        <w:br w:type="page"/>
      </w:r>
    </w:p>
    <w:p>
      <w:pPr>
        <w:pStyle w:val="2"/>
      </w:pPr>
      <w:r>
        <w:rPr>
          <w:rFonts w:ascii="Times New Roman" w:hAnsi="Times New Roman"/>
          <w:b/>
          <w:sz w:val="32"/>
        </w:rPr>
        <w:t>1. Цель работы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Освоить связку "интерфейс + графика + приводы": нарисовать на TFT-дисплее (ILI9341) пользовательскую траекторию, сохранить опорные точки и воспроизвести путь по алгоритму Брезенхэма, синхронно управляя двумя шаговыми двигателями через драйверы A4988.</w:t>
      </w:r>
    </w:p>
    <w:p>
      <w:pPr>
        <w:pStyle w:val="2"/>
      </w:pPr>
      <w:r>
        <w:rPr>
          <w:rFonts w:ascii="Times New Roman" w:hAnsi="Times New Roman"/>
          <w:b/>
          <w:sz w:val="32"/>
        </w:rPr>
        <w:t>2. Задачи работы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1. Инициализировать SPI и минимальный драйвер ILI9341; вывести динамический курсор и статические сегменты пути.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2. Реализовать чтение аналоговых входов (A0, A1) и отображение положения курсора на экране с ограничением в границах экрана.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3. Организовать UI: кнопка SAVE добавляет точку и дорисовывает жёлтый сегмент, PLAY запускает «заметание» пути зелёным с одновременной подачей шагов по осям X/Y.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 Синхронизировать шаги X/Y по алгоритму Брезенхэма (равномерный пиксельный ход) и выдерживать скорость подачи (задержка на пиксель).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5. Включать/выключать драйверы (STEPPERS_EN) и аккуратно перерисовывать курсор без «следов» поверх сохранённого пути.</w:t>
      </w:r>
    </w:p>
    <w:p>
      <w:pPr>
        <w:pStyle w:val="2"/>
      </w:pPr>
      <w:r>
        <w:rPr>
          <w:rFonts w:ascii="Times New Roman" w:hAnsi="Times New Roman"/>
          <w:b/>
          <w:sz w:val="32"/>
        </w:rPr>
        <w:t>3. Теоретические сведения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В данной лабораторной работе реализована система построения и воспроизведения траекторий с использованием TFT-дисплея ILI9341 и шаговых двигателей, управляемых через драйверы A4988.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Основные компоненты системы: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• STM32 Nucleo-C031C6 - управляющая плата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• ILI9341 - TFT-дисплей с разрешением 240x320 пикселей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• A4988 - драйверы шаговых двигателей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• Потенциометры - для задания координат X и Y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• Кнопки - для сохранения точек и запуска воспроизведения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Алгоритм Брезенхэма используется для растеризации отрезков прямой линии. Этот алгоритм эффективно определяет, какие пиксели должны быть закрашены для аппроксимации прямой линии между двумя точками. Основные преимущества алгоритма: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• Использует только целочисленные операции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• Обеспечивает высокую скорость вычислений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• Гарантирует непрерывность линии без разрывов</w:t>
      </w:r>
    </w:p>
    <w:p>
      <w:pPr>
        <w:spacing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 w:val="0"/>
          <w:i w:val="0"/>
          <w:sz w:val="24"/>
        </w:rPr>
        <w:t>• Минимизирует ошибку аппроксимации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/>
          <w:sz w:val="32"/>
        </w:rPr>
        <w:t>4. Расчетно-графическая часть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Для реализации системы были использованы следующие параметры: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Таблица 1 – Параметры системы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7"/>
        <w:gridCol w:w="46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7" w:type="dxa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Разрешение дисплея</w:t>
            </w:r>
          </w:p>
        </w:tc>
        <w:tc>
          <w:tcPr>
            <w:tcW w:w="4677" w:type="dxa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240 × 320 пикселей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7" w:type="dxa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Количество точек траектории</w:t>
            </w:r>
          </w:p>
        </w:tc>
        <w:tc>
          <w:tcPr>
            <w:tcW w:w="4677" w:type="dxa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до 200 точек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7" w:type="dxa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Скорость подачи (FEED_DELAY)</w:t>
            </w:r>
          </w:p>
        </w:tc>
        <w:tc>
          <w:tcPr>
            <w:tcW w:w="4677" w:type="dxa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5-40 мкс (регулируется потенциометром)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677" w:type="dxa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Длительность импульса STEP</w:t>
            </w:r>
          </w:p>
        </w:tc>
        <w:tc>
          <w:tcPr>
            <w:tcW w:w="4677" w:type="dxa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4 мкс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7" w:type="dxa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Разнос шагов при диагонали</w:t>
            </w:r>
          </w:p>
        </w:tc>
        <w:tc>
          <w:tcPr>
            <w:tcW w:w="4677" w:type="dxa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400 мкс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7" w:type="dxa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Размер сетки</w:t>
            </w:r>
          </w:p>
        </w:tc>
        <w:tc>
          <w:tcPr>
            <w:tcW w:w="4677" w:type="dxa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16 пикселей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7" w:type="dxa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Размер курсора</w:t>
            </w:r>
          </w:p>
        </w:tc>
        <w:tc>
          <w:tcPr>
            <w:tcW w:w="4677" w:type="dxa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5 × 5 пикселей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677" w:type="dxa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Цвет фона</w:t>
            </w:r>
          </w:p>
        </w:tc>
        <w:tc>
          <w:tcPr>
            <w:tcW w:w="4677" w:type="dxa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Черный (RGB: 0,0,0)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7" w:type="dxa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Цвет траектории</w:t>
            </w:r>
          </w:p>
        </w:tc>
        <w:tc>
          <w:tcPr>
            <w:tcW w:w="4677" w:type="dxa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Желтый (RGB: 255,255,0)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7" w:type="dxa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Цвет воспроизведения</w:t>
            </w:r>
          </w:p>
        </w:tc>
        <w:tc>
          <w:tcPr>
            <w:tcW w:w="4677" w:type="dxa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Зеленый (RGB: 0,255,0)</w:t>
            </w:r>
          </w:p>
        </w:tc>
      </w:tr>
    </w:tbl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Основные функции системы, реализованные в программе: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• drawSegment() - Отрисовка сегмента между двумя точками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• playSegmentBresenham() - Воспроизведение сегмента с использованием алгоритма Брезенхэма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• playAll() - Воспроизведение всей траектории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• playAllReverse() - Обратное воспроизведение траектории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• drawGrid() - Отрисовка координатной сетки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• snapToGrid() - Привязка координат к сетке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• redrawScene() - Перерисовка всей сцены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• clearAll() - Очистка всей траектории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Алгоритм работы системы: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1. Инициализация дисплея и периферии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2. Отрисовка сетки и начального курсора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3. Опрос потенциометров для определения положения курсора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 Привязка координат к сетке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5. Обработка нажатий кнопок SAVE, PLAY, CLEAR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6. Сохранение точек траектории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7. Воспроизведение траектории с синхронным управлением шаговыми двигателями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Результат работы системы показан на рисунке 2.</w:t>
      </w:r>
    </w:p>
    <w:p>
      <w:pPr>
        <w:jc w:val="center"/>
      </w:pPr>
      <w:r>
        <w:drawing>
          <wp:inline distT="0" distB="0" distL="114300" distR="114300">
            <wp:extent cx="4319905" cy="2699385"/>
            <wp:effectExtent l="0" t="0" r="4445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1 – Результат работы системы построения и воспроизведения траектории</w:t>
      </w:r>
    </w:p>
    <w:p>
      <w:pPr>
        <w:spacing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На рисунке 2 показана траектория, построенная пользователем (желтые линии), и процесс ее воспроизведения (зеленые линии). Курсор отображает текущее положение, а сетка помогает точному позиционированию. Система демонстрирует точную синхронизацию графического отображения и физического движения шаговых двигателей.</w:t>
      </w:r>
    </w:p>
    <w:p>
      <w:pPr>
        <w:pStyle w:val="2"/>
      </w:pPr>
      <w:r>
        <w:rPr>
          <w:rFonts w:ascii="Times New Roman" w:hAnsi="Times New Roman"/>
          <w:b/>
          <w:sz w:val="32"/>
        </w:rPr>
        <w:t>5. Выводы по работе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1. Разработана и реализована система построения и воспроизведения траекторий с использованием TFT-дисплея и шаговых двигателей.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2. Обеспечена синхронизация графического отображения и физического движения механических компонентов.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3. Реализован алгоритм Брезенхэма для плавного и точного перемещения по заданной траектории.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 Создан удобный пользовательский интерфейс с возможностью интерактивного построения траектории.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5. Добавлены дополнительные функции: привязка к сетке, регулировка скорости, обратное воспроизведение.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6. Система демонстрирует эффективное взаимодействие программных алгоритмов и аппаратных компонентов.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7. Достигнута цель работы - освоена связка "интерфейс + графика + приводы" для построения и воспроизведения траекторий.</w:t>
      </w:r>
    </w:p>
    <w:sectPr>
      <w:footerReference r:id="rId5" w:type="default"/>
      <w:pgSz w:w="11906" w:h="16838"/>
      <w:pgMar w:top="1134" w:right="850" w:bottom="1134" w:left="1701" w:header="708" w:footer="708" w:gutter="0"/>
      <w:pgNumType w:start="2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00007A87" w:usb1="80000000" w:usb2="00000008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Calibri">
    <w:altName w:val="Trebuchet M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Calibri">
    <w:altName w:val="Trebuchet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altName w:val="DejaVu Sans"/>
    <w:panose1 w:val="020B0604030504040204"/>
    <w:charset w:val="00"/>
    <w:family w:val="swiss"/>
    <w:pitch w:val="default"/>
    <w:sig w:usb0="00000000" w:usb1="00000000" w:usb2="00000029" w:usb3="00000000" w:csb0="000101F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637150440"/>
      <w:docPartObj>
        <w:docPartGallery w:val="autotext"/>
      </w:docPartObj>
    </w:sdtPr>
    <w:sdtContent>
      <w:p>
        <w:pPr>
          <w:pStyle w:val="10"/>
          <w:jc w:val="right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3</w:t>
        </w:r>
        <w:r>
          <w:fldChar w:fldCharType="end"/>
        </w:r>
      </w:p>
    </w:sdtContent>
  </w:sdt>
  <w:p>
    <w:pPr>
      <w:pStyle w:val="1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20E7"/>
    <w:rsid w:val="00032BBF"/>
    <w:rsid w:val="00043CE8"/>
    <w:rsid w:val="00060E2F"/>
    <w:rsid w:val="00061613"/>
    <w:rsid w:val="0008086C"/>
    <w:rsid w:val="000820E7"/>
    <w:rsid w:val="00097525"/>
    <w:rsid w:val="000C2C58"/>
    <w:rsid w:val="000D7D8F"/>
    <w:rsid w:val="000E058D"/>
    <w:rsid w:val="00122914"/>
    <w:rsid w:val="00173AE2"/>
    <w:rsid w:val="001B51FE"/>
    <w:rsid w:val="001E4CE0"/>
    <w:rsid w:val="001E7668"/>
    <w:rsid w:val="001F5E68"/>
    <w:rsid w:val="00234AB4"/>
    <w:rsid w:val="00236CBA"/>
    <w:rsid w:val="002851A5"/>
    <w:rsid w:val="002943A8"/>
    <w:rsid w:val="002B183B"/>
    <w:rsid w:val="002F041C"/>
    <w:rsid w:val="002F0581"/>
    <w:rsid w:val="00311BDE"/>
    <w:rsid w:val="003A6665"/>
    <w:rsid w:val="003C37D5"/>
    <w:rsid w:val="003F071B"/>
    <w:rsid w:val="003F476B"/>
    <w:rsid w:val="004108A8"/>
    <w:rsid w:val="004517B9"/>
    <w:rsid w:val="0046483D"/>
    <w:rsid w:val="00480125"/>
    <w:rsid w:val="004D148B"/>
    <w:rsid w:val="004E2DDA"/>
    <w:rsid w:val="00515273"/>
    <w:rsid w:val="00516AD6"/>
    <w:rsid w:val="005216A2"/>
    <w:rsid w:val="005246BC"/>
    <w:rsid w:val="00527863"/>
    <w:rsid w:val="00554D4F"/>
    <w:rsid w:val="00570C52"/>
    <w:rsid w:val="00591256"/>
    <w:rsid w:val="005E3FE2"/>
    <w:rsid w:val="00655725"/>
    <w:rsid w:val="00675E00"/>
    <w:rsid w:val="006C4344"/>
    <w:rsid w:val="00703220"/>
    <w:rsid w:val="00716C80"/>
    <w:rsid w:val="007217DD"/>
    <w:rsid w:val="007379CC"/>
    <w:rsid w:val="00741305"/>
    <w:rsid w:val="00747D91"/>
    <w:rsid w:val="00773156"/>
    <w:rsid w:val="0077779C"/>
    <w:rsid w:val="007A3637"/>
    <w:rsid w:val="007E66F9"/>
    <w:rsid w:val="007F7E84"/>
    <w:rsid w:val="00806341"/>
    <w:rsid w:val="00826A5C"/>
    <w:rsid w:val="00826CE0"/>
    <w:rsid w:val="008340B3"/>
    <w:rsid w:val="00846C15"/>
    <w:rsid w:val="00861FCF"/>
    <w:rsid w:val="0088345A"/>
    <w:rsid w:val="008B5622"/>
    <w:rsid w:val="008C0749"/>
    <w:rsid w:val="008C3E6D"/>
    <w:rsid w:val="008F38AE"/>
    <w:rsid w:val="009002B3"/>
    <w:rsid w:val="00901517"/>
    <w:rsid w:val="00903150"/>
    <w:rsid w:val="00950D7E"/>
    <w:rsid w:val="00952A58"/>
    <w:rsid w:val="00961F75"/>
    <w:rsid w:val="0096297F"/>
    <w:rsid w:val="0097423B"/>
    <w:rsid w:val="009849D0"/>
    <w:rsid w:val="009A1A72"/>
    <w:rsid w:val="009C35AC"/>
    <w:rsid w:val="009D64F7"/>
    <w:rsid w:val="00A008F4"/>
    <w:rsid w:val="00A2214A"/>
    <w:rsid w:val="00A27627"/>
    <w:rsid w:val="00A36814"/>
    <w:rsid w:val="00A4797F"/>
    <w:rsid w:val="00A549DC"/>
    <w:rsid w:val="00A556D9"/>
    <w:rsid w:val="00A84BC4"/>
    <w:rsid w:val="00A94464"/>
    <w:rsid w:val="00A96B75"/>
    <w:rsid w:val="00B20E81"/>
    <w:rsid w:val="00B26D97"/>
    <w:rsid w:val="00B528B7"/>
    <w:rsid w:val="00B87095"/>
    <w:rsid w:val="00B91E3B"/>
    <w:rsid w:val="00BA2D0F"/>
    <w:rsid w:val="00BA30FB"/>
    <w:rsid w:val="00BD15DC"/>
    <w:rsid w:val="00BD545B"/>
    <w:rsid w:val="00C15DDF"/>
    <w:rsid w:val="00C53367"/>
    <w:rsid w:val="00C55A1B"/>
    <w:rsid w:val="00C61185"/>
    <w:rsid w:val="00C904FC"/>
    <w:rsid w:val="00CA35B9"/>
    <w:rsid w:val="00CB7E0F"/>
    <w:rsid w:val="00D27F35"/>
    <w:rsid w:val="00D345C6"/>
    <w:rsid w:val="00D748CC"/>
    <w:rsid w:val="00D90E5A"/>
    <w:rsid w:val="00DB37DE"/>
    <w:rsid w:val="00DE00BD"/>
    <w:rsid w:val="00DF0111"/>
    <w:rsid w:val="00E139E8"/>
    <w:rsid w:val="00E41781"/>
    <w:rsid w:val="00E451A1"/>
    <w:rsid w:val="00EB28B5"/>
    <w:rsid w:val="00EF0CF6"/>
    <w:rsid w:val="00F10BE1"/>
    <w:rsid w:val="00F21334"/>
    <w:rsid w:val="00F22597"/>
    <w:rsid w:val="00F42EF9"/>
    <w:rsid w:val="00F56908"/>
    <w:rsid w:val="00FA10A1"/>
    <w:rsid w:val="00FB0472"/>
    <w:rsid w:val="00FB172E"/>
    <w:rsid w:val="00FC79DE"/>
    <w:rsid w:val="00FE220A"/>
    <w:rsid w:val="00FF32CB"/>
    <w:rsid w:val="3F6F42D8"/>
    <w:rsid w:val="4FFF805E"/>
    <w:rsid w:val="7F1E3769"/>
    <w:rsid w:val="7FF74DF7"/>
    <w:rsid w:val="8FDEC891"/>
    <w:rsid w:val="D747836B"/>
    <w:rsid w:val="DFF79F69"/>
    <w:rsid w:val="EBFF32C0"/>
    <w:rsid w:val="F8E725CE"/>
    <w:rsid w:val="FD9FC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styleId="2">
    <w:name w:val="heading 1"/>
    <w:basedOn w:val="1"/>
    <w:next w:val="1"/>
    <w:link w:val="19"/>
    <w:qFormat/>
    <w:uiPriority w:val="0"/>
    <w:pPr>
      <w:keepNext/>
      <w:widowControl w:val="0"/>
      <w:autoSpaceDE w:val="0"/>
      <w:autoSpaceDN w:val="0"/>
      <w:adjustRightInd w:val="0"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21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6">
    <w:name w:val="Body Text"/>
    <w:basedOn w:val="1"/>
    <w:link w:val="22"/>
    <w:qFormat/>
    <w:uiPriority w:val="0"/>
    <w:rPr>
      <w:sz w:val="28"/>
    </w:rPr>
  </w:style>
  <w:style w:type="character" w:styleId="7">
    <w:name w:val="annotation reference"/>
    <w:basedOn w:val="3"/>
    <w:semiHidden/>
    <w:unhideWhenUsed/>
    <w:qFormat/>
    <w:uiPriority w:val="99"/>
    <w:rPr>
      <w:sz w:val="16"/>
      <w:szCs w:val="16"/>
    </w:rPr>
  </w:style>
  <w:style w:type="paragraph" w:styleId="8">
    <w:name w:val="annotation text"/>
    <w:basedOn w:val="1"/>
    <w:link w:val="26"/>
    <w:semiHidden/>
    <w:unhideWhenUsed/>
    <w:qFormat/>
    <w:uiPriority w:val="99"/>
    <w:rPr>
      <w:sz w:val="20"/>
      <w:szCs w:val="20"/>
    </w:rPr>
  </w:style>
  <w:style w:type="paragraph" w:styleId="9">
    <w:name w:val="annotation subject"/>
    <w:basedOn w:val="8"/>
    <w:next w:val="8"/>
    <w:link w:val="27"/>
    <w:semiHidden/>
    <w:unhideWhenUsed/>
    <w:qFormat/>
    <w:uiPriority w:val="99"/>
    <w:rPr>
      <w:b/>
      <w:bCs/>
    </w:rPr>
  </w:style>
  <w:style w:type="paragraph" w:styleId="10">
    <w:name w:val="footer"/>
    <w:basedOn w:val="1"/>
    <w:link w:val="25"/>
    <w:unhideWhenUsed/>
    <w:qFormat/>
    <w:uiPriority w:val="99"/>
    <w:pPr>
      <w:tabs>
        <w:tab w:val="center" w:pos="4677"/>
        <w:tab w:val="right" w:pos="9355"/>
      </w:tabs>
    </w:pPr>
  </w:style>
  <w:style w:type="paragraph" w:styleId="11">
    <w:name w:val="header"/>
    <w:basedOn w:val="1"/>
    <w:link w:val="24"/>
    <w:unhideWhenUsed/>
    <w:qFormat/>
    <w:uiPriority w:val="99"/>
    <w:pPr>
      <w:tabs>
        <w:tab w:val="center" w:pos="4677"/>
        <w:tab w:val="right" w:pos="9355"/>
      </w:tabs>
    </w:pPr>
  </w:style>
  <w:style w:type="paragraph" w:styleId="12">
    <w:name w:val="HTML Preformatted"/>
    <w:basedOn w:val="1"/>
    <w:link w:val="28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en-US"/>
    </w:rPr>
  </w:style>
  <w:style w:type="character" w:styleId="13">
    <w:name w:val="Hyperlink"/>
    <w:basedOn w:val="3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Normal (Web)"/>
    <w:basedOn w:val="1"/>
    <w:semiHidden/>
    <w:unhideWhenUsed/>
    <w:qFormat/>
    <w:uiPriority w:val="99"/>
    <w:pPr>
      <w:spacing w:before="100" w:beforeAutospacing="1" w:after="100" w:afterAutospacing="1"/>
    </w:pPr>
  </w:style>
  <w:style w:type="table" w:styleId="15">
    <w:name w:val="Table Grid"/>
    <w:basedOn w:val="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6">
    <w:name w:val="toc 1"/>
    <w:basedOn w:val="1"/>
    <w:next w:val="1"/>
    <w:unhideWhenUsed/>
    <w:qFormat/>
    <w:uiPriority w:val="39"/>
    <w:pPr>
      <w:spacing w:after="100" w:line="276" w:lineRule="auto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paragraph" w:styleId="17">
    <w:name w:val="toc 2"/>
    <w:basedOn w:val="1"/>
    <w:next w:val="1"/>
    <w:unhideWhenUsed/>
    <w:qFormat/>
    <w:uiPriority w:val="39"/>
    <w:pPr>
      <w:spacing w:after="100" w:line="276" w:lineRule="auto"/>
      <w:ind w:left="220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paragraph" w:styleId="18">
    <w:name w:val="toc 3"/>
    <w:basedOn w:val="1"/>
    <w:next w:val="1"/>
    <w:unhideWhenUsed/>
    <w:qFormat/>
    <w:uiPriority w:val="39"/>
    <w:pPr>
      <w:spacing w:after="100" w:line="276" w:lineRule="auto"/>
      <w:ind w:left="440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character" w:customStyle="1" w:styleId="19">
    <w:name w:val="Заголовок 1 Знак"/>
    <w:basedOn w:val="3"/>
    <w:link w:val="2"/>
    <w:qFormat/>
    <w:uiPriority w:val="0"/>
    <w:rPr>
      <w:rFonts w:ascii="Arial" w:hAnsi="Arial" w:eastAsia="Times New Roman" w:cs="Arial"/>
      <w:b/>
      <w:bCs/>
      <w:kern w:val="32"/>
      <w:sz w:val="32"/>
      <w:szCs w:val="32"/>
      <w:lang w:eastAsia="ru-RU"/>
    </w:rPr>
  </w:style>
  <w:style w:type="paragraph" w:styleId="20">
    <w:name w:val="List Paragraph"/>
    <w:basedOn w:val="1"/>
    <w:qFormat/>
    <w:uiPriority w:val="34"/>
    <w:pPr>
      <w:ind w:left="720"/>
      <w:contextualSpacing/>
    </w:pPr>
  </w:style>
  <w:style w:type="character" w:customStyle="1" w:styleId="21">
    <w:name w:val="Текст выноски Знак"/>
    <w:basedOn w:val="3"/>
    <w:link w:val="5"/>
    <w:semiHidden/>
    <w:qFormat/>
    <w:uiPriority w:val="99"/>
    <w:rPr>
      <w:rFonts w:ascii="Tahoma" w:hAnsi="Tahoma" w:eastAsia="Times New Roman" w:cs="Tahoma"/>
      <w:sz w:val="16"/>
      <w:szCs w:val="16"/>
      <w:lang w:eastAsia="ru-RU"/>
    </w:rPr>
  </w:style>
  <w:style w:type="character" w:customStyle="1" w:styleId="22">
    <w:name w:val="Основной текст Знак"/>
    <w:basedOn w:val="3"/>
    <w:link w:val="6"/>
    <w:qFormat/>
    <w:uiPriority w:val="0"/>
    <w:rPr>
      <w:rFonts w:ascii="Times New Roman" w:hAnsi="Times New Roman" w:eastAsia="Times New Roman" w:cs="Times New Roman"/>
      <w:sz w:val="28"/>
      <w:szCs w:val="24"/>
      <w:lang w:eastAsia="ru-RU"/>
    </w:rPr>
  </w:style>
  <w:style w:type="paragraph" w:customStyle="1" w:styleId="23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HAnsi"/>
      <w:color w:val="000000"/>
      <w:sz w:val="24"/>
      <w:szCs w:val="24"/>
      <w:lang w:val="ru-RU" w:eastAsia="en-US" w:bidi="ar-SA"/>
    </w:rPr>
  </w:style>
  <w:style w:type="character" w:customStyle="1" w:styleId="24">
    <w:name w:val="Верхний колонтитул Знак"/>
    <w:basedOn w:val="3"/>
    <w:link w:val="11"/>
    <w:qFormat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25">
    <w:name w:val="Нижний колонтитул Знак"/>
    <w:basedOn w:val="3"/>
    <w:link w:val="10"/>
    <w:qFormat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26">
    <w:name w:val="Текст примечания Знак"/>
    <w:basedOn w:val="3"/>
    <w:link w:val="8"/>
    <w:semiHidden/>
    <w:qFormat/>
    <w:uiPriority w:val="99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customStyle="1" w:styleId="27">
    <w:name w:val="Тема примечания Знак"/>
    <w:basedOn w:val="26"/>
    <w:link w:val="9"/>
    <w:semiHidden/>
    <w:qFormat/>
    <w:uiPriority w:val="99"/>
    <w:rPr>
      <w:rFonts w:ascii="Times New Roman" w:hAnsi="Times New Roman" w:eastAsia="Times New Roman" w:cs="Times New Roman"/>
      <w:b/>
      <w:bCs/>
      <w:sz w:val="20"/>
      <w:szCs w:val="20"/>
      <w:lang w:eastAsia="ru-RU"/>
    </w:rPr>
  </w:style>
  <w:style w:type="character" w:customStyle="1" w:styleId="28">
    <w:name w:val="Стандартный HTML Знак"/>
    <w:basedOn w:val="3"/>
    <w:link w:val="12"/>
    <w:semiHidden/>
    <w:qFormat/>
    <w:uiPriority w:val="99"/>
    <w:rPr>
      <w:rFonts w:ascii="Courier New" w:hAnsi="Courier New" w:eastAsia="Times New Roman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98</Words>
  <Characters>560</Characters>
  <Lines>4</Lines>
  <Paragraphs>1</Paragraphs>
  <TotalTime>5</TotalTime>
  <ScaleCrop>false</ScaleCrop>
  <LinksUpToDate>false</LinksUpToDate>
  <CharactersWithSpaces>657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2024-02-24T10:30:00Z</dcterms:created>
  <dc:creator>Даниил</dc:creator>
  <cp:lastModifiedBy>banana-killer</cp:lastModifiedBy>
  <dcterms:modified xsi:type="dcterms:W3CDTF">2025-11-20T00:19:12Z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