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360" w:lineRule="auto"/>
        <w:jc w:val="center"/>
        <w:rPr>
          <w:rFonts w:hint="default"/>
          <w:b/>
          <w:lang w:val="ru-RU"/>
        </w:rPr>
      </w:pPr>
      <w:r>
        <w:rPr>
          <w:b/>
        </w:rPr>
        <w:t>ЛАБОРАТОРНАЯ РАБОТА №</w:t>
      </w:r>
      <w:r>
        <w:rPr>
          <w:rFonts w:hint="default"/>
          <w:b/>
          <w:lang w:val="ru-RU"/>
        </w:rPr>
        <w:t>4</w:t>
      </w:r>
    </w:p>
    <w:p>
      <w:pPr>
        <w:spacing w:line="360" w:lineRule="auto"/>
        <w:ind w:left="-567"/>
        <w:jc w:val="center"/>
        <w:rPr>
          <w:rFonts w:hint="default"/>
          <w:sz w:val="20"/>
          <w:lang w:val="ru-RU"/>
        </w:rPr>
      </w:pPr>
      <w:r>
        <w:t xml:space="preserve">по дисциплине </w:t>
      </w:r>
      <w:r>
        <w:rPr>
          <w:b/>
          <w:bCs/>
          <w:lang w:val="ru-RU"/>
        </w:rPr>
        <w:t>Теория</w:t>
      </w:r>
      <w:r>
        <w:rPr>
          <w:rFonts w:hint="default"/>
          <w:b/>
          <w:bCs/>
          <w:lang w:val="ru-RU"/>
        </w:rPr>
        <w:t xml:space="preserve"> автоматического управления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b/>
        </w:rPr>
        <w:t>Тема лабораторной работы: «</w:t>
      </w:r>
      <w:r>
        <w:rPr>
          <w:rFonts w:hint="default"/>
          <w:b w:val="0"/>
          <w:bCs/>
        </w:rPr>
        <w:t>Исследование адаптивной САУ</w:t>
      </w:r>
      <w:r>
        <w:t>»</w:t>
      </w: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77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</w:pPr>
            <w:r>
              <w:rPr>
                <w:b/>
              </w:rPr>
              <w:t xml:space="preserve">Студент группы: </w:t>
            </w:r>
            <w:r>
              <w:t>КРБО-03-23</w:t>
            </w: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rPr>
                <w:lang w:val="ru-RU"/>
              </w:rPr>
              <w:t>Зенина</w:t>
            </w:r>
            <w:r>
              <w:rPr>
                <w:rFonts w:hint="default"/>
                <w:lang w:val="ru-RU"/>
              </w:rPr>
              <w:t xml:space="preserve"> А.</w:t>
            </w:r>
            <w:bookmarkStart w:id="0" w:name="_GoBack"/>
            <w:bookmarkEnd w:id="0"/>
            <w:r>
              <w:rPr>
                <w:rFonts w:hint="default"/>
                <w:lang w:val="ru-RU"/>
              </w:rPr>
              <w:t>А.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ind w:left="-567" w:leftChars="0"/>
              <w:jc w:val="right"/>
              <w:rPr>
                <w:lang w:val="ru-RU"/>
              </w:rPr>
            </w:pPr>
            <w:r>
              <w:rPr>
                <w:rFonts w:hint="default"/>
                <w:lang w:val="ru-RU"/>
              </w:rPr>
              <w:t>Грачев А.В.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ind w:left="-567" w:leftChars="0"/>
              <w:jc w:val="right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Гришаев А.К.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  <w:r>
              <w:rPr>
                <w:b/>
              </w:rPr>
              <w:t>Преподаватель:</w:t>
            </w: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jc w:val="right"/>
            </w:pPr>
            <w:r>
              <w:rPr>
                <w:lang w:val="ru-RU"/>
              </w:rPr>
              <w:t>к</w:t>
            </w:r>
            <w:r>
              <w:rPr>
                <w:rFonts w:hint="default"/>
                <w:lang w:val="ru-RU"/>
              </w:rPr>
              <w:t>. т. н. Быковцев Ю.А.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</w:t>
            </w:r>
            <w:r>
              <w:rPr>
                <w:rFonts w:hint="default"/>
                <w:lang w:val="en-US"/>
              </w:rPr>
              <w:t>6</w:t>
            </w:r>
            <w:r>
              <w:t xml:space="preserve">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</w:pPr>
      <w:r>
        <w:t>Москва 202</w:t>
      </w:r>
      <w:r>
        <w:rPr>
          <w:rFonts w:hint="default"/>
          <w:lang w:val="en-US"/>
        </w:rPr>
        <w:t>6</w:t>
      </w:r>
    </w:p>
    <w:p>
      <w:pPr>
        <w:pStyle w:val="2"/>
        <w:rPr>
          <w:rFonts w:ascii="Times New Roman" w:hAnsi="Times New Roman"/>
          <w:b/>
          <w:sz w:val="28"/>
        </w:rPr>
        <w:sectPr>
          <w:footerReference r:id="rId5" w:type="default"/>
          <w:pgSz w:w="11906" w:h="16838"/>
          <w:pgMar w:top="1134" w:right="850" w:bottom="1134" w:left="1701" w:header="708" w:footer="708" w:gutter="0"/>
          <w:pgNumType w:start="2"/>
          <w:cols w:space="708" w:num="1"/>
          <w:titlePg/>
          <w:docGrid w:linePitch="360" w:charSpace="0"/>
        </w:sectPr>
      </w:pPr>
    </w:p>
    <w:p>
      <w:pPr>
        <w:pStyle w:val="2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Исследование алгоритма адаптивного управления с эталонной моделью на примере объекта первого порядка с априорно неизвестными параметрами.</w:t>
      </w:r>
    </w:p>
    <w:p>
      <w:pPr>
        <w:pStyle w:val="2"/>
      </w:pPr>
      <w:r>
        <w:rPr>
          <w:rFonts w:ascii="Times New Roman" w:hAnsi="Times New Roman"/>
          <w:b/>
          <w:sz w:val="28"/>
        </w:rPr>
        <w:t>2. Задание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Построить модель адаптивной САУ (рис. 16) с параметрами, представленными в табл. 4 при β = 1. Вычислить идеальные значения параметров регулятора k_y* и k_g* и задать их в схеме вместо сигналов алгоритма адаптации.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Построить переходные процессы при значении параметра a из варианта и его удвоенном значении. Подключить сигналы алгоритма адаптации и установить исходным значение параметра a.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При g = 1 и γ = 1 исследовать зависимость установившихся ошибок от начальных условий, принимая X(0) = (0 0 0 0), X(0) = (0.5 0 k_y* k_g*) и X(0) = (1 0 2k_y* 2k_g*).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При g = 1 и начальном условии X(0) = (0 0 k_y*/2 k_g*/2) исследовать зависимость скорости (времени) сходимости ошибки слежения e = y - y_m и величины установившихся параметрических ошибок Δk_y = k_y - k_y* и Δk_g = k_g - k_g* от коэффициента усиления γ, принимая последовательно γ = 1; 5; 10.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При γ = 10 и начальном условии X(0) = (0 0 k_y*/2 k_g*/2) исследовать зависимость величин установившихся параметрических ошибок и ошибки слежения от задающего воздействия, принимая g = 5; 10; sin(0.01t); sin(0.05t).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>Параметры варианта (Вариант 1):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Идеальное значение коэффициента регулятора k_y* = 0.5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Идеальное значение коэффициента регулятора k_g* = 0.1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Параметры эталонной модели: α = 5, β = 1</w:t>
      </w: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 xml:space="preserve">- Параметры объекта: a = 10, b = </w:t>
      </w:r>
      <w:r>
        <w:rPr>
          <w:rFonts w:hint="default"/>
          <w:b w:val="0"/>
          <w:i w:val="0"/>
          <w:sz w:val="24"/>
          <w:lang w:val="ru-RU"/>
        </w:rPr>
        <w:t>10</w:t>
      </w:r>
    </w:p>
    <w:p/>
    <w:p>
      <w:pPr>
        <w:pStyle w:val="2"/>
      </w:pPr>
      <w:r>
        <w:rPr>
          <w:rFonts w:ascii="Times New Roman" w:hAnsi="Times New Roman"/>
          <w:b/>
          <w:sz w:val="28"/>
        </w:rPr>
        <w:t>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Адаптивная система управления с эталонной моделью является исторически первым типом адаптивных систем, в которых используется прямой алгоритм адаптации. Потребность в такого рода системах управления возникла, когда, по мере развития и усложнения технологических процессов, стали появляться классы объектов с недостаточной априорной информацией и меняющимися в процессе функционирования характеристиками.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Принцип работы адаптивной системы с эталонной моделью заключается в непрерывном вычислении разности между сигналом с выхода объекта управления y и желаемым выходным сигналом y_m, на основе которого производится подстройка параметров регулятора с целью сведения ошибки слежения e_m = y - y_m к нулю.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>Для объекта первого порядка с априорно неизвестными параметрами уравнения имеют вид: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Уравнение объекта: ẏ + ay = bu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Уравнение эталонной модели: ẏ_m + αy_m = βg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>Алгоритм управления и адаптации: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u = k_y y + k_g g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k̇_y = -sign(b) y γ e_m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k̇_g = -sign(b) γ g e_m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>Идеальные значения параметров регулятора: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k_y* = (a - α)/b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k_g* = β/b</w:t>
      </w:r>
    </w:p>
    <w:p/>
    <w:p>
      <w:pPr>
        <w:pStyle w:val="2"/>
      </w:pPr>
      <w:r>
        <w:rPr>
          <w:rFonts w:ascii="Times New Roman" w:hAnsi="Times New Roman"/>
          <w:b/>
          <w:sz w:val="28"/>
        </w:rPr>
        <w:t>4. Расчетно-графическая часть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>Исходные данные по варианту 1: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Объект управления: a = 10, b = 9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Эталонная модель: α = 5, β = 1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>- Идеальные параметры регулятора: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k_y* = (a - α)/b = (10 - 5)/9 = 0.5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k_g* = β/b = 1/9 = 0.100 ≈ 0.1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Построение модели адаптивной САУ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Структурная схема адаптивной системы управления с эталонной моделью представлена на рисунке </w:t>
      </w:r>
      <w:r>
        <w:rPr>
          <w:rFonts w:hint="default"/>
          <w:b w:val="0"/>
          <w:i w:val="0"/>
          <w:sz w:val="24"/>
          <w:lang w:val="ru-RU"/>
        </w:rPr>
        <w:t>1</w:t>
      </w:r>
      <w:r>
        <w:rPr>
          <w:rFonts w:ascii="Times New Roman" w:hAnsi="Times New Roman"/>
          <w:b w:val="0"/>
          <w:i w:val="0"/>
          <w:sz w:val="24"/>
        </w:rPr>
        <w:t>. Система включает основной контур (объект управления и регулятор) и контур адаптации, который на основе ошибки слежения подстраивает параметры регулятора.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На рисунках </w:t>
      </w:r>
      <w:r>
        <w:rPr>
          <w:rFonts w:hint="default"/>
          <w:b w:val="0"/>
          <w:i w:val="0"/>
          <w:sz w:val="24"/>
          <w:lang w:val="en-US"/>
        </w:rPr>
        <w:t>2</w:t>
      </w:r>
      <w:r>
        <w:rPr>
          <w:rFonts w:ascii="Times New Roman" w:hAnsi="Times New Roman"/>
          <w:b w:val="0"/>
          <w:i w:val="0"/>
          <w:sz w:val="24"/>
        </w:rPr>
        <w:t xml:space="preserve"> и </w:t>
      </w:r>
      <w:r>
        <w:rPr>
          <w:rFonts w:hint="default"/>
          <w:b w:val="0"/>
          <w:i w:val="0"/>
          <w:sz w:val="24"/>
          <w:lang w:val="en-US"/>
        </w:rPr>
        <w:t>3</w:t>
      </w:r>
      <w:r>
        <w:rPr>
          <w:rFonts w:ascii="Times New Roman" w:hAnsi="Times New Roman"/>
          <w:b w:val="0"/>
          <w:i w:val="0"/>
          <w:sz w:val="24"/>
        </w:rPr>
        <w:t xml:space="preserve"> представлены идеальные переходные процессы в системе без адаптации при номинальном и удвоенном значениях параметра a. Видно, что при изменении параметров объекта качество переходного процесса существенно ухудшается</w:t>
      </w:r>
      <w:r>
        <w:rPr>
          <w:rFonts w:hint="default"/>
          <w:b w:val="0"/>
          <w:i w:val="0"/>
          <w:sz w:val="24"/>
          <w:lang w:val="ru-RU"/>
        </w:rPr>
        <w:t xml:space="preserve"> появляются периодические колебания</w:t>
      </w:r>
      <w:r>
        <w:rPr>
          <w:rFonts w:ascii="Times New Roman" w:hAnsi="Times New Roman"/>
          <w:b w:val="0"/>
          <w:i w:val="0"/>
          <w:sz w:val="24"/>
        </w:rPr>
        <w:t>, что подтверждает необходимость применения адаптации.</w:t>
      </w:r>
    </w:p>
    <w:p>
      <w:pPr>
        <w:jc w:val="center"/>
      </w:pPr>
      <w:r>
        <w:drawing>
          <wp:inline distT="0" distB="0" distL="114300" distR="114300">
            <wp:extent cx="5039995" cy="3073400"/>
            <wp:effectExtent l="0" t="0" r="825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7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 – Структурная схема адаптивной САУ с эталонной моделью</w:t>
      </w:r>
    </w:p>
    <w:p/>
    <w:p/>
    <w:p>
      <w:pPr>
        <w:jc w:val="center"/>
      </w:pPr>
      <w:r>
        <w:drawing>
          <wp:inline distT="0" distB="0" distL="114300" distR="114300">
            <wp:extent cx="6278880" cy="2503805"/>
            <wp:effectExtent l="0" t="0" r="762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 xml:space="preserve">Рисунок </w:t>
      </w:r>
      <w:r>
        <w:rPr>
          <w:rFonts w:hint="default"/>
          <w:i/>
          <w:sz w:val="24"/>
          <w:lang w:val="en-US"/>
        </w:rPr>
        <w:t>2</w:t>
      </w:r>
      <w:r>
        <w:rPr>
          <w:rFonts w:ascii="Times New Roman" w:hAnsi="Times New Roman"/>
          <w:i/>
          <w:sz w:val="24"/>
        </w:rPr>
        <w:t xml:space="preserve"> – Идеальный переходный процесс при a = a_эт (без адаптации)</w:t>
      </w:r>
    </w:p>
    <w:p/>
    <w:p/>
    <w:p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5980" cy="2752090"/>
            <wp:effectExtent l="0" t="0" r="7620" b="10160"/>
            <wp:docPr id="15" name="Picture 15" descr="Иделаьный_переходный_процесс_при_а=2а_э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Иделаьный_переходный_процесс_при_а=2а_эт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 xml:space="preserve">Рисунок </w:t>
      </w:r>
      <w:r>
        <w:rPr>
          <w:rFonts w:hint="default"/>
          <w:i/>
          <w:sz w:val="24"/>
          <w:lang w:val="en-US"/>
        </w:rPr>
        <w:t xml:space="preserve">3 </w:t>
      </w:r>
      <w:r>
        <w:rPr>
          <w:rFonts w:ascii="Times New Roman" w:hAnsi="Times New Roman"/>
          <w:i/>
          <w:sz w:val="24"/>
        </w:rPr>
        <w:t xml:space="preserve">– </w:t>
      </w:r>
      <w:r>
        <w:rPr>
          <w:i/>
          <w:sz w:val="24"/>
          <w:lang w:val="ru-RU"/>
        </w:rPr>
        <w:t>П</w:t>
      </w:r>
      <w:r>
        <w:rPr>
          <w:rFonts w:ascii="Times New Roman" w:hAnsi="Times New Roman"/>
          <w:i/>
          <w:sz w:val="24"/>
        </w:rPr>
        <w:t>роцесс при удвоенном значении параметра a</w:t>
      </w:r>
    </w:p>
    <w:p/>
    <w:p>
      <w:pPr>
        <w:spacing w:before="0" w:after="0"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 xml:space="preserve">На рисунках </w:t>
      </w:r>
      <w:r>
        <w:rPr>
          <w:rFonts w:hint="default"/>
          <w:b/>
          <w:i w:val="0"/>
          <w:sz w:val="24"/>
          <w:lang w:val="ru-RU"/>
        </w:rPr>
        <w:t>4</w:t>
      </w:r>
      <w:r>
        <w:rPr>
          <w:rFonts w:ascii="Times New Roman" w:hAnsi="Times New Roman"/>
          <w:b/>
          <w:i w:val="0"/>
          <w:sz w:val="24"/>
        </w:rPr>
        <w:t>-</w:t>
      </w:r>
      <w:r>
        <w:rPr>
          <w:rFonts w:hint="default"/>
          <w:b/>
          <w:i w:val="0"/>
          <w:sz w:val="24"/>
          <w:lang w:val="ru-RU"/>
        </w:rPr>
        <w:t>6</w:t>
      </w:r>
      <w:r>
        <w:rPr>
          <w:rFonts w:ascii="Times New Roman" w:hAnsi="Times New Roman"/>
          <w:b/>
          <w:i w:val="0"/>
          <w:sz w:val="24"/>
        </w:rPr>
        <w:t xml:space="preserve"> представлены переходные процессы при различных начальных условиях. Анализ графиков показывает, что:</w:t>
      </w: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 xml:space="preserve">- При нулевых начальных условиях </w:t>
      </w:r>
      <w:r>
        <w:rPr>
          <w:b w:val="0"/>
          <w:i w:val="0"/>
          <w:sz w:val="24"/>
          <w:lang w:val="ru-RU"/>
        </w:rPr>
        <w:t>переходный</w:t>
      </w:r>
      <w:r>
        <w:rPr>
          <w:rFonts w:hint="default"/>
          <w:b w:val="0"/>
          <w:i w:val="0"/>
          <w:sz w:val="24"/>
          <w:lang w:val="ru-RU"/>
        </w:rPr>
        <w:t xml:space="preserve"> процесс имеет апериодический характер.</w:t>
      </w: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 xml:space="preserve">- Начальные условия X(0) = (0.5 0 k_y* k_g*) приводят </w:t>
      </w:r>
      <w:r>
        <w:rPr>
          <w:b w:val="0"/>
          <w:i w:val="0"/>
          <w:sz w:val="24"/>
          <w:lang w:val="ru-RU"/>
        </w:rPr>
        <w:t>к</w:t>
      </w:r>
      <w:r>
        <w:rPr>
          <w:rFonts w:hint="default"/>
          <w:b w:val="0"/>
          <w:i w:val="0"/>
          <w:sz w:val="24"/>
          <w:lang w:val="ru-RU"/>
        </w:rPr>
        <w:t xml:space="preserve"> небольшому колебанию.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- Начальные условия X(0) = (1 0 2k_y* 2k_g*) </w:t>
      </w:r>
      <w:r>
        <w:rPr>
          <w:b w:val="0"/>
          <w:i w:val="0"/>
          <w:sz w:val="24"/>
          <w:lang w:val="ru-RU"/>
        </w:rPr>
        <w:t>приводят</w:t>
      </w:r>
      <w:r>
        <w:rPr>
          <w:rFonts w:hint="default"/>
          <w:b w:val="0"/>
          <w:i w:val="0"/>
          <w:sz w:val="24"/>
          <w:lang w:val="ru-RU"/>
        </w:rPr>
        <w:t xml:space="preserve"> к колебательному процессу.</w:t>
      </w:r>
    </w:p>
    <w:p/>
    <w:p>
      <w:pPr>
        <w:jc w:val="center"/>
      </w:pPr>
      <w:r>
        <w:drawing>
          <wp:inline distT="0" distB="0" distL="114300" distR="114300">
            <wp:extent cx="5039995" cy="2250440"/>
            <wp:effectExtent l="0" t="0" r="8255" b="165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 xml:space="preserve">Рисунок </w:t>
      </w:r>
      <w:r>
        <w:rPr>
          <w:rFonts w:hint="default"/>
          <w:i/>
          <w:sz w:val="24"/>
          <w:lang w:val="en-US"/>
        </w:rPr>
        <w:t>4</w:t>
      </w:r>
      <w:r>
        <w:rPr>
          <w:rFonts w:ascii="Times New Roman" w:hAnsi="Times New Roman"/>
          <w:i/>
          <w:sz w:val="24"/>
        </w:rPr>
        <w:t xml:space="preserve"> – Переходные процессы при нулевых начальных условиях</w:t>
      </w:r>
    </w:p>
    <w:p/>
    <w:p/>
    <w:p>
      <w:pPr>
        <w:jc w:val="center"/>
      </w:pPr>
      <w:r>
        <w:drawing>
          <wp:inline distT="0" distB="0" distL="114300" distR="114300">
            <wp:extent cx="5039995" cy="2142490"/>
            <wp:effectExtent l="0" t="0" r="8255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4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 xml:space="preserve">Рисунок </w:t>
      </w:r>
      <w:r>
        <w:rPr>
          <w:rFonts w:hint="default"/>
          <w:i/>
          <w:sz w:val="24"/>
          <w:lang w:val="en-US"/>
        </w:rPr>
        <w:t>5</w:t>
      </w:r>
      <w:r>
        <w:rPr>
          <w:rFonts w:ascii="Times New Roman" w:hAnsi="Times New Roman"/>
          <w:i/>
          <w:sz w:val="24"/>
        </w:rPr>
        <w:t xml:space="preserve"> – Переходные процессы при X(0) = (0.5 0 k_y* k_g*)</w:t>
      </w:r>
    </w:p>
    <w:p/>
    <w:p/>
    <w:p>
      <w:pPr>
        <w:jc w:val="center"/>
      </w:pPr>
      <w:r>
        <w:drawing>
          <wp:inline distT="0" distB="0" distL="114300" distR="114300">
            <wp:extent cx="5039995" cy="2392045"/>
            <wp:effectExtent l="0" t="0" r="825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9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 xml:space="preserve">Рисунок </w:t>
      </w:r>
      <w:r>
        <w:rPr>
          <w:rFonts w:hint="default"/>
          <w:i/>
          <w:sz w:val="24"/>
          <w:lang w:val="en-US"/>
        </w:rPr>
        <w:t>6</w:t>
      </w:r>
      <w:r>
        <w:rPr>
          <w:rFonts w:ascii="Times New Roman" w:hAnsi="Times New Roman"/>
          <w:i/>
          <w:sz w:val="24"/>
        </w:rPr>
        <w:t xml:space="preserve"> – Переходные процессы при X(0) = (1 0 2k_y* 2k_g*)</w:t>
      </w:r>
    </w:p>
    <w:p>
      <w:pPr>
        <w:spacing w:before="0" w:after="0" w:line="360" w:lineRule="auto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 xml:space="preserve">На рисунках </w:t>
      </w:r>
      <w:r>
        <w:rPr>
          <w:rFonts w:hint="default"/>
          <w:b/>
          <w:i w:val="0"/>
          <w:sz w:val="24"/>
          <w:lang w:val="en-US"/>
        </w:rPr>
        <w:t>4-6</w:t>
      </w:r>
      <w:r>
        <w:rPr>
          <w:rFonts w:ascii="Times New Roman" w:hAnsi="Times New Roman"/>
          <w:b/>
          <w:i w:val="0"/>
          <w:sz w:val="24"/>
        </w:rPr>
        <w:t xml:space="preserve"> представлены результаты моделирования при различных значениях коэффициента усиления γ алгоритма адаптации. Установлено, что: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При γ =</w:t>
      </w:r>
      <w:r>
        <w:rPr>
          <w:rFonts w:hint="default"/>
          <w:b w:val="0"/>
          <w:i w:val="0"/>
          <w:sz w:val="24"/>
          <w:lang w:val="ru-RU"/>
        </w:rPr>
        <w:t xml:space="preserve"> 1 </w:t>
      </w:r>
      <w:r>
        <w:rPr>
          <w:rFonts w:ascii="Times New Roman" w:hAnsi="Times New Roman"/>
          <w:b w:val="0"/>
          <w:i w:val="0"/>
          <w:sz w:val="24"/>
        </w:rPr>
        <w:t>процесс сходимости наиболее медленный, ошибка слежения уменьшается постепенно.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При γ = 5 скорость сходимости увеличивается, время переходного процесса сокращается примерно в 3-4 раза.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При γ = 10 наблюдается наиболее быстрая сходимость, однако появляются небольшие колебания в процессе адаптации.</w:t>
      </w: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Анализ параметрических ошибок Δk_y и Δk_g показывает, что увеличение γ приводит к более быстрой подстройке параметров регулятора к идеальным значениям.</w:t>
      </w:r>
    </w:p>
    <w:p/>
    <w:p/>
    <w:p>
      <w:pPr>
        <w:jc w:val="center"/>
      </w:pPr>
      <w:r>
        <w:drawing>
          <wp:inline distT="0" distB="0" distL="114300" distR="114300">
            <wp:extent cx="5039995" cy="1940560"/>
            <wp:effectExtent l="0" t="0" r="825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4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6 – Влияние γ на сходимость процесса (γ = 1)</w:t>
      </w:r>
    </w:p>
    <w:p/>
    <w:p/>
    <w:p>
      <w:pPr>
        <w:jc w:val="center"/>
      </w:pPr>
      <w:r>
        <w:drawing>
          <wp:inline distT="0" distB="0" distL="114300" distR="114300">
            <wp:extent cx="5039995" cy="2088515"/>
            <wp:effectExtent l="0" t="0" r="825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7 – Влияние γ на сходимость процесса (γ = 5)</w:t>
      </w:r>
    </w:p>
    <w:p/>
    <w:p/>
    <w:p>
      <w:pPr>
        <w:jc w:val="center"/>
      </w:pPr>
      <w:r>
        <w:drawing>
          <wp:inline distT="0" distB="0" distL="114300" distR="114300">
            <wp:extent cx="5039995" cy="2134870"/>
            <wp:effectExtent l="0" t="0" r="8255" b="177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3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8 – Влияние γ на сходимость процесса (γ = 10)</w:t>
      </w:r>
    </w:p>
    <w:p/>
    <w:p>
      <w:pPr>
        <w:spacing w:before="0" w:after="0"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>На рисунках 9-12 представлены результаты моделирования при различных задающих воздействиях:</w:t>
      </w: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- При постоянных воздействиях g = 5 и g = 10 система успешно отрабатывает задание, параметрические ошибки стремятся к нулю</w:t>
      </w:r>
      <w:r>
        <w:rPr>
          <w:rFonts w:hint="default"/>
          <w:b w:val="0"/>
          <w:i w:val="0"/>
          <w:sz w:val="24"/>
          <w:lang w:val="ru-RU"/>
        </w:rPr>
        <w:t>, но в начале есть высокочастотные колебания.</w:t>
      </w: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 xml:space="preserve">- При гармоническом воздействии g = sin(0.01t) </w:t>
      </w:r>
      <w:r>
        <w:rPr>
          <w:rFonts w:hint="default"/>
          <w:b w:val="0"/>
          <w:i w:val="0"/>
          <w:sz w:val="24"/>
          <w:lang w:val="ru-RU"/>
        </w:rPr>
        <w:t>- вырастает время регулирования в 5 - 10 раз, но частые колебания отсутсвуют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При гармоническом воздействии g = sin(0.05t)</w:t>
      </w:r>
      <w:r>
        <w:rPr>
          <w:rFonts w:hint="default"/>
          <w:b w:val="0"/>
          <w:i w:val="0"/>
          <w:sz w:val="24"/>
          <w:lang w:val="ru-RU"/>
        </w:rPr>
        <w:t xml:space="preserve"> - время регулрования уменьшается по сравнению с медленным синусом, форма кривых сохраняется такой же.</w:t>
      </w:r>
    </w:p>
    <w:p/>
    <w:p>
      <w:pPr>
        <w:jc w:val="center"/>
      </w:pPr>
      <w:r>
        <w:drawing>
          <wp:inline distT="0" distB="0" distL="114300" distR="114300">
            <wp:extent cx="5039995" cy="2353310"/>
            <wp:effectExtent l="0" t="0" r="8255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9 – Реакция системы на g = 5</w:t>
      </w:r>
    </w:p>
    <w:p/>
    <w:p/>
    <w:p>
      <w:pPr>
        <w:jc w:val="center"/>
      </w:pPr>
      <w:r>
        <w:drawing>
          <wp:inline distT="0" distB="0" distL="114300" distR="114300">
            <wp:extent cx="5039995" cy="2093595"/>
            <wp:effectExtent l="0" t="0" r="825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9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10 – Реакция системы на g = 10</w:t>
      </w:r>
    </w:p>
    <w:p/>
    <w:p/>
    <w:p>
      <w:pPr>
        <w:jc w:val="center"/>
      </w:pPr>
      <w:r>
        <w:drawing>
          <wp:inline distT="0" distB="0" distL="114300" distR="114300">
            <wp:extent cx="5039995" cy="2122805"/>
            <wp:effectExtent l="0" t="0" r="8255" b="1079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2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11 – Реакция системы на g = sin(0.01t)</w:t>
      </w:r>
    </w:p>
    <w:p/>
    <w:p/>
    <w:p>
      <w:pPr>
        <w:jc w:val="center"/>
      </w:pPr>
      <w:r>
        <w:drawing>
          <wp:inline distT="0" distB="0" distL="114300" distR="114300">
            <wp:extent cx="5039995" cy="2174875"/>
            <wp:effectExtent l="0" t="0" r="8255" b="158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7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12 – Реакция системы на g = sin(0.05t)</w:t>
      </w:r>
    </w:p>
    <w:p/>
    <w:p/>
    <w:p>
      <w:pPr>
        <w:pStyle w:val="2"/>
      </w:pPr>
      <w:r>
        <w:rPr>
          <w:rFonts w:ascii="Times New Roman" w:hAnsi="Times New Roman"/>
          <w:b/>
          <w:sz w:val="28"/>
        </w:rPr>
        <w:t>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лабораторной работы была исследована адаптивная система автоматического управления с эталонной моделью.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Построена модель адаптивной САУ для объекта первого порядка с априорно неизвестными параметрами. Рассчитаны идеальные значения параметров регулятора.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Экспериментально подтверждено, что изменение параметров объекта (увеличение a в 2 раза) приводит к существенному ухудшению качества переходных процессов при отсутствии адаптации.</w:t>
      </w: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 xml:space="preserve">3. Исследовано влияние начальных условий на качество переходных процессов. Показано, что система сохраняет устойчивость при различных начальных условиях, однако </w:t>
      </w:r>
      <w:r>
        <w:rPr>
          <w:b w:val="0"/>
          <w:i w:val="0"/>
          <w:sz w:val="24"/>
          <w:lang w:val="ru-RU"/>
        </w:rPr>
        <w:t>при</w:t>
      </w:r>
      <w:r>
        <w:rPr>
          <w:rFonts w:hint="default"/>
          <w:b w:val="0"/>
          <w:i w:val="0"/>
          <w:sz w:val="24"/>
          <w:lang w:val="ru-RU"/>
        </w:rPr>
        <w:t xml:space="preserve"> большом отклонении от терминальных условий появляются колебания.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Изучено влияние коэффициента усиления γ алгоритма адаптации на скорость сходимости. Установлено, что увеличение γ ускоряет процесс адаптации, но при слишком больших значениях может приводить к появлению колебаний. Оптимальным для исследованной системы является значение γ = 5.</w:t>
      </w:r>
    </w:p>
    <w:p>
      <w:pPr>
        <w:spacing w:before="0" w:after="0" w:line="360" w:lineRule="auto"/>
        <w:ind w:firstLine="567"/>
        <w:jc w:val="both"/>
        <w:rPr>
          <w:rFonts w:hint="default"/>
          <w:b w:val="0"/>
          <w:i w:val="0"/>
          <w:sz w:val="24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5. Исследована зависимость качества управления от вида задающего воздействия. Показано, что система успешно отрабатывает постоянные и низкочастотные гармонические сигналы. При увеличении частоты гармонического воздействия появляется отставание, однако система сохраняет работоспособност</w:t>
      </w:r>
      <w:r>
        <w:rPr>
          <w:rFonts w:hint="default"/>
          <w:b w:val="0"/>
          <w:i w:val="0"/>
          <w:sz w:val="24"/>
          <w:lang w:val="ru-RU"/>
        </w:rPr>
        <w:t>, а при увеличении значения постоянного сигнала появляются высокочастотные колебания в процессе адаптации системы.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6. Цель лабораторной работы достигнута: освоена методика исследования адаптивных систем управления с эталонной моделью, получены практические навыки моделирования и анализа таких систем.</w:t>
      </w:r>
    </w:p>
    <w:sectPr>
      <w:footerReference r:id="rId7" w:type="first"/>
      <w:footerReference r:id="rId6" w:type="default"/>
      <w:pgSz w:w="11906" w:h="16838"/>
      <w:pgMar w:top="1134" w:right="850" w:bottom="1134" w:left="1701" w:header="708" w:footer="708" w:gutter="0"/>
      <w:pgNumType w:fmt="decimal"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docPartObj>
        <w:docPartGallery w:val="autotext"/>
      </w:docPartObj>
    </w:sdtPr>
    <w:sdtContent>
      <w:p>
        <w:pPr>
          <w:pStyle w:val="10"/>
          <w:jc w:val="right"/>
        </w:pPr>
      </w:p>
    </w:sdtContent>
  </w:sdt>
  <w:p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right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CRXsHUIQIAAGI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id w:val="637150440"/>
        <w:docPartObj>
          <w:docPartGallery w:val="autotext"/>
        </w:docPartObj>
      </w:sdtPr>
      <w:sdtContent/>
    </w:sdt>
  </w:p>
  <w:p>
    <w:pPr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UXFTuIQIAAGI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394E18DB"/>
    <w:rsid w:val="397F1C0D"/>
    <w:rsid w:val="3FBC645D"/>
    <w:rsid w:val="3FBEC0CF"/>
    <w:rsid w:val="51FFFD35"/>
    <w:rsid w:val="5BFF94FB"/>
    <w:rsid w:val="5D3FC141"/>
    <w:rsid w:val="65E773B0"/>
    <w:rsid w:val="6F06115B"/>
    <w:rsid w:val="6F7F2E32"/>
    <w:rsid w:val="7BC6ACEF"/>
    <w:rsid w:val="7BFBB8F8"/>
    <w:rsid w:val="7EFF6A39"/>
    <w:rsid w:val="7F7E9A06"/>
    <w:rsid w:val="7FDFF699"/>
    <w:rsid w:val="B3FEC596"/>
    <w:rsid w:val="DE7B2A95"/>
    <w:rsid w:val="DEDF592C"/>
    <w:rsid w:val="DFAB4F80"/>
    <w:rsid w:val="DFF5C766"/>
    <w:rsid w:val="F9FFD324"/>
    <w:rsid w:val="FD5EB089"/>
    <w:rsid w:val="FF9F5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</Words>
  <Characters>557</Characters>
  <Lines>4</Lines>
  <Paragraphs>1</Paragraphs>
  <TotalTime>1</TotalTime>
  <ScaleCrop>false</ScaleCrop>
  <LinksUpToDate>false</LinksUpToDate>
  <CharactersWithSpaces>617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2024-02-24T07:30:00Z</dcterms:created>
  <dc:creator>moody</dc:creator>
  <cp:lastModifiedBy>banana-killer</cp:lastModifiedBy>
  <dcterms:modified xsi:type="dcterms:W3CDTF">2026-05-24T17:17:56Z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