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E9B9A">
      <w:pPr>
        <w:pStyle w:val="3"/>
        <w:rPr>
          <w:rFonts w:hint="default"/>
          <w:lang w:val="en-US"/>
        </w:rPr>
      </w:pPr>
      <w:bookmarkStart w:id="0" w:name="X4e85521998d2f88bff2f5db1f3e58c616b25c5b"/>
      <w:r>
        <w:t>1. Постановка задач кинематики в робототехнике</w:t>
      </w:r>
      <w:bookmarkEnd w:id="0"/>
    </w:p>
    <w:p w14:paraId="5BA29520">
      <w:r>
        <w:t xml:space="preserve">В теории управления манипуляционными роботами кинематический анализ является фундаментальным этапом. Он подразделяется на две основные задачи: </w:t>
      </w:r>
      <w:r>
        <w:rPr>
          <w:b/>
        </w:rPr>
        <w:t>прямую</w:t>
      </w:r>
      <w:r>
        <w:t xml:space="preserve"> и </w:t>
      </w:r>
      <w:r>
        <w:rPr>
          <w:b/>
        </w:rPr>
        <w:t>обратную</w:t>
      </w:r>
      <w:r>
        <w:t xml:space="preserve"> задачу кинематики.</w:t>
      </w:r>
    </w:p>
    <w:p w14:paraId="5A5AF1FC">
      <w:pPr>
        <w:numPr>
          <w:ilvl w:val="0"/>
          <w:numId w:val="7"/>
        </w:numPr>
      </w:pPr>
      <w:r>
        <w:rPr>
          <w:b/>
        </w:rPr>
        <w:t>Прямая задача кинематики (ПЗК)</w:t>
      </w:r>
      <w:r>
        <w:t xml:space="preserve"> заключается в определении положения и ориентации рабочего органа (энд-эффector) манипулятора по известным кинематической схеме (длинам звеньев) и значениям обобщённых координат (например, углов поворота в сочленениях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2</m:t>
            </m:r>
          </m:sub>
        </m:sSub>
        <m:r>
          <m:rPr/>
          <m:t>,…,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n</m:t>
            </m:r>
          </m:sub>
        </m:sSub>
      </m:oMath>
      <w:r>
        <w:t xml:space="preserve">, где </w:t>
      </w:r>
      <m:oMath>
        <m:r>
          <m:rPr/>
          <m:t>n</m:t>
        </m:r>
      </m:oMath>
      <w:r>
        <w:t xml:space="preserve"> — число степеней свободы).</w:t>
      </w:r>
    </w:p>
    <w:p w14:paraId="5212B3C9">
      <w:pPr>
        <w:numPr>
          <w:ilvl w:val="0"/>
          <w:numId w:val="7"/>
        </w:numPr>
      </w:pPr>
      <w:r>
        <w:rPr>
          <w:b/>
        </w:rPr>
        <w:t>Обратная задача кинематики (ОЗК)</w:t>
      </w:r>
      <w:r>
        <w:t xml:space="preserve"> заключается в определении значений обобщённых координат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2</m:t>
            </m:r>
          </m:sub>
        </m:sSub>
        <m:r>
          <m:rPr/>
          <m:t>,…,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n</m:t>
            </m:r>
          </m:sub>
        </m:sSub>
      </m:oMath>
      <w:r>
        <w:t>, которые обеспечивают заданное положение и ориентацию рабочего органа в пространстве.</w:t>
      </w:r>
    </w:p>
    <w:p w14:paraId="0CEB6D79">
      <w:r>
        <w:t>Таким образом, ПЗК отвечает на вопрос: «</w:t>
      </w:r>
      <w:r>
        <w:rPr>
          <w:b/>
        </w:rPr>
        <w:t>Где окажется рабочий орган при заданных углах в сочленениях?</w:t>
      </w:r>
      <w:r>
        <w:t>» В то время как ОЗК решает противоположную проблему: «</w:t>
      </w:r>
      <w:r>
        <w:rPr>
          <w:b/>
        </w:rPr>
        <w:t>Как должны быть установлены углы в сочленениях, чтобы рабочий орган достиг требуемого положения?</w:t>
      </w:r>
      <w:r>
        <w:t>»</w:t>
      </w:r>
    </w:p>
    <w:p w14:paraId="725E11C1">
      <w:pPr>
        <w:pStyle w:val="20"/>
      </w:pPr>
      <w:r>
        <w:t xml:space="preserve">Для задач планирования траектории и управления </w:t>
      </w:r>
      <w:r>
        <w:rPr>
          <w:b/>
        </w:rPr>
        <w:t>обратная задача кинематики</w:t>
      </w:r>
      <w:r>
        <w:t xml:space="preserve"> является более важной и распространённой на практике. Однако её решение сопряжено с фундаментальной сложностью — </w:t>
      </w:r>
      <w:r>
        <w:rPr>
          <w:b/>
        </w:rPr>
        <w:t>неоднозначностью</w:t>
      </w:r>
      <w:r>
        <w:t xml:space="preserve">. Если для любого набора углов </w:t>
      </w:r>
      <m:oMath>
        <m:r>
          <m:rPr/>
          <m:t>(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2</m:t>
            </m:r>
          </m:sub>
        </m:sSub>
        <m:r>
          <m:rPr/>
          <m:t>,…,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n</m:t>
            </m:r>
          </m:sub>
        </m:sSub>
        <m:r>
          <m:rPr/>
          <m:t>)</m:t>
        </m:r>
      </m:oMath>
      <w:r>
        <w:t xml:space="preserve"> существует единственное положение рабочего органа </w:t>
      </w:r>
      <m:oMath>
        <m:r>
          <m:rPr/>
          <m:t>(</m:t>
        </m:r>
        <m:r>
          <m:rPr/>
          <w:rPr>
            <w:rFonts w:hint="default" w:ascii="Cambria Math" w:hAnsi="Cambria Math"/>
            <w:lang w:val="en-US"/>
          </w:rPr>
          <m:t>x</m:t>
        </m:r>
        <m:r>
          <m:rPr/>
          <m:t>,</m:t>
        </m:r>
        <m:r>
          <m:rPr/>
          <w:rPr>
            <w:rFonts w:hint="default" w:ascii="Cambria Math" w:hAnsi="Cambria Math"/>
            <w:lang w:val="en-US"/>
          </w:rPr>
          <m:t>y</m:t>
        </m:r>
        <m:r>
          <m:rPr/>
          <m:t>,</m:t>
        </m:r>
        <m:r>
          <m:rPr/>
          <w:rPr>
            <w:rFonts w:hint="default" w:ascii="Cambria Math" w:hAnsi="Cambria Math"/>
            <w:lang w:val="en-US"/>
          </w:rPr>
          <m:t>z</m:t>
        </m:r>
        <m:r>
          <m:rPr/>
          <m:t>)</m:t>
        </m:r>
      </m:oMath>
      <w:r>
        <w:t xml:space="preserve"> (следствие определения ПЗК), то для заданного положения </w:t>
      </w:r>
      <m:oMath>
        <m:r>
          <m:rPr/>
          <m:t>(</m:t>
        </m:r>
        <m:r>
          <m:rPr/>
          <w:rPr>
            <w:rFonts w:hint="default" w:ascii="Cambria Math" w:hAnsi="Cambria Math"/>
            <w:lang w:val="en-US"/>
          </w:rPr>
          <m:t>x</m:t>
        </m:r>
        <m:r>
          <m:rPr/>
          <m:t>,</m:t>
        </m:r>
        <m:r>
          <m:rPr/>
          <w:rPr>
            <w:rFonts w:hint="default" w:ascii="Cambria Math" w:hAnsi="Cambria Math"/>
            <w:lang w:val="en-US"/>
          </w:rPr>
          <m:t>y</m:t>
        </m:r>
        <m:r>
          <m:rPr/>
          <m:t>,</m:t>
        </m:r>
        <m:r>
          <m:rPr/>
          <w:rPr>
            <w:rFonts w:hint="default" w:ascii="Cambria Math" w:hAnsi="Cambria Math"/>
            <w:lang w:val="en-US"/>
          </w:rPr>
          <m:t>z</m:t>
        </m:r>
        <m:r>
          <m:rPr/>
          <m:t>)</m:t>
        </m:r>
      </m:oMath>
      <w:r>
        <w:t xml:space="preserve"> может существовать несколько различных конфигураций манипулятора (наборов углов </w:t>
      </w:r>
      <m:oMath>
        <m:r>
          <m:rPr/>
          <m:t>(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1</m:t>
            </m:r>
          </m:sub>
        </m:sSub>
        <m:r>
          <m:rPr/>
          <m:t>′,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2</m:t>
            </m:r>
          </m:sub>
        </m:sSub>
        <m:r>
          <m:rPr/>
          <m:t>′,…,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n</m:t>
            </m:r>
          </m:sub>
        </m:sSub>
        <m:r>
          <m:rPr/>
          <m:t>′)</m:t>
        </m:r>
      </m:oMath>
      <w:r>
        <w:t>), обеспечивающих его достижение. При аналитическом решении ОЗК эта неоднозначность проявляется, например, через выбор знака при извлечении квадратного корня или через периодичность тригонометрических функций.</w:t>
      </w:r>
    </w:p>
    <w:p w14:paraId="5E03FA5E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CAC1CFC">
      <w:pPr>
        <w:pStyle w:val="3"/>
      </w:pPr>
      <w:bookmarkStart w:id="1" w:name="X8c6b25c08e3f3e65be1a7777ebf0d771fa4c240"/>
      <w:r>
        <w:t>2. Пример решения для плоского двухзвенного манипулятора</w:t>
      </w:r>
      <w:bookmarkEnd w:id="1"/>
    </w:p>
    <w:p w14:paraId="678CD408">
      <w:r>
        <w:t>Для иллюстрации рассмотрим классический пример — плоский двухзвенный манипулятор с двумя вращательными степенями свободы.</w:t>
      </w:r>
    </w:p>
    <w:p w14:paraId="518BD782">
      <w:pPr>
        <w:pStyle w:val="20"/>
      </w:pPr>
      <w:r>
        <w:rPr>
          <w:b/>
        </w:rPr>
        <w:t>Дано:</w:t>
      </w:r>
    </w:p>
    <w:p w14:paraId="618CFAC3">
      <w:pPr>
        <w:numPr>
          <w:ilvl w:val="0"/>
          <w:numId w:val="7"/>
        </w:numPr>
      </w:pPr>
      <w:r>
        <w:t xml:space="preserve">Длина первого звена (плеча):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l</m:t>
            </m:r>
          </m:e>
          <m:sub>
            <m:r>
              <m:rPr/>
              <m:t>1</m:t>
            </m:r>
          </m:sub>
        </m:sSub>
      </m:oMath>
    </w:p>
    <w:p w14:paraId="7865DD97">
      <w:pPr>
        <w:numPr>
          <w:ilvl w:val="0"/>
          <w:numId w:val="7"/>
        </w:numPr>
      </w:pPr>
      <w:r>
        <w:t xml:space="preserve">Длина второго звена (предплечья):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l</m:t>
            </m:r>
          </m:e>
          <m:sub>
            <m:r>
              <m:rPr/>
              <m:t>2</m:t>
            </m:r>
          </m:sub>
        </m:sSub>
      </m:oMath>
    </w:p>
    <w:p w14:paraId="7469C504">
      <w:pPr>
        <w:numPr>
          <w:ilvl w:val="0"/>
          <w:numId w:val="7"/>
        </w:numPr>
      </w:pPr>
      <w:r>
        <w:t xml:space="preserve">Угол поворота первого звена относительно основания: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1</m:t>
            </m:r>
          </m:sub>
        </m:sSub>
      </m:oMath>
    </w:p>
    <w:p w14:paraId="634211F8">
      <w:pPr>
        <w:numPr>
          <w:ilvl w:val="0"/>
          <w:numId w:val="7"/>
        </w:numPr>
      </w:pPr>
      <w:r>
        <w:t xml:space="preserve">Угол поворота второго звена относительно первого: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2</m:t>
            </m:r>
          </m:sub>
        </m:sSub>
      </m:oMath>
    </w:p>
    <w:p w14:paraId="13AE0791">
      <w:pPr>
        <w:numPr>
          <w:ilvl w:val="0"/>
          <w:numId w:val="7"/>
        </w:numPr>
      </w:pPr>
      <w:r>
        <w:t>Рабочий орган расположен на конце второго звена.</w:t>
      </w:r>
    </w:p>
    <w:p w14:paraId="1462D833">
      <w:pPr>
        <w:pStyle w:val="4"/>
      </w:pPr>
      <w:bookmarkStart w:id="2" w:name="решение-прямой-задачи-кинематики"/>
      <w:r>
        <w:t>2.1. Решение прямой задачи кинематики</w:t>
      </w:r>
      <w:bookmarkEnd w:id="2"/>
    </w:p>
    <w:p w14:paraId="2B49F59E">
      <w:r>
        <w:rPr>
          <w:b/>
        </w:rPr>
        <w:t>Цель:</w:t>
      </w:r>
      <w:r>
        <w:t xml:space="preserve"> Найти декартовы координаты </w:t>
      </w:r>
      <m:oMath>
        <m:r>
          <m:rPr/>
          <m:t>(</m:t>
        </m:r>
        <m:sSub>
          <m:sSubPr>
            <m:ctrlPr>
              <w:rPr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p</m:t>
            </m:r>
            <m:ctrlPr>
              <w:rPr>
                <w:i/>
              </w:rPr>
            </m:ctrlPr>
          </m:sub>
        </m:sSub>
        <m:r>
          <m:rPr/>
          <m:t>,</m:t>
        </m:r>
        <m:sSub>
          <m:sSubPr>
            <m:ctrlPr>
              <w:rPr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p</m:t>
            </m:r>
            <m:ctrlPr>
              <w:rPr>
                <w:i/>
              </w:rPr>
            </m:ctrlPr>
          </m:sub>
        </m:sSub>
        <m:r>
          <m:rPr/>
          <m:t>)</m:t>
        </m:r>
      </m:oMath>
      <w:r>
        <w:t xml:space="preserve"> рабочего органа.</w:t>
      </w:r>
    </w:p>
    <w:p w14:paraId="259273F1">
      <w:pPr>
        <w:pStyle w:val="20"/>
      </w:pPr>
      <w:r>
        <w:t xml:space="preserve">Положение точки сочленения между первым и вторым звеном </w:t>
      </w:r>
      <m:oMath>
        <m:r>
          <m:rPr/>
          <m:t>A</m:t>
        </m:r>
      </m:oMath>
      <w:r>
        <w:t xml:space="preserve"> в базовой системе координат </w:t>
      </w:r>
      <m:oMath>
        <m:r>
          <m:rPr/>
          <m:t>O</m:t>
        </m:r>
      </m:oMath>
      <w:r>
        <w:t xml:space="preserve"> определяется как:</w:t>
      </w:r>
    </w:p>
    <w:p w14:paraId="6EB177FA">
      <w:pPr>
        <w:pStyle w:val="20"/>
      </w:pPr>
      <m:oMathPara>
        <m:oMathParaPr>
          <m:jc m:val="center"/>
        </m:oMathParaPr>
        <m:oMath>
          <m:sSub>
            <m:sSubPr/>
            <m:e>
              <m:r>
                <m:rPr/>
                <m:t>x</m:t>
              </m:r>
            </m:e>
            <m:sub>
              <m:r>
                <m:rPr/>
                <m:t>A</m:t>
              </m:r>
            </m:sub>
          </m:sSub>
          <m:r>
            <m:rPr/>
            <m:t>=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1</m:t>
              </m: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cos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</m:oMath>
      </m:oMathPara>
    </w:p>
    <w:p w14:paraId="1893CE14">
      <m:oMathPara>
        <m:oMathParaPr>
          <m:jc m:val="center"/>
        </m:oMathParaPr>
        <m:oMath>
          <m:sSub>
            <m:sSubPr/>
            <m:e>
              <m:r>
                <m:rPr/>
                <m:t>y</m:t>
              </m:r>
            </m:e>
            <m:sub>
              <m:r>
                <m:rPr/>
                <m:t>A</m:t>
              </m:r>
            </m:sub>
          </m:sSub>
          <m:r>
            <m:rPr/>
            <m:t>=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1</m:t>
              </m: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sin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</m:oMath>
      </m:oMathPara>
    </w:p>
    <w:p w14:paraId="296EDCF6">
      <w:r>
        <w:t xml:space="preserve">Второе звено в базовой системе координат повёрнуто на угол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1</m:t>
            </m:r>
          </m:sub>
        </m:sSub>
        <m:r>
          <m:rPr/>
          <m:t>+</m:t>
        </m:r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2</m:t>
            </m:r>
          </m:sub>
        </m:sSub>
      </m:oMath>
      <w:r>
        <w:t xml:space="preserve">. Следовательно, проекции вектора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l</m:t>
            </m:r>
          </m:e>
          <m:sub>
            <m:r>
              <m:rPr/>
              <m:t>2</m:t>
            </m:r>
          </m:sub>
        </m:sSub>
      </m:oMath>
      <w:r>
        <w:t xml:space="preserve"> на оси координат равны:</w:t>
      </w:r>
    </w:p>
    <w:p w14:paraId="068BEDF1">
      <w:pPr>
        <w:pStyle w:val="20"/>
      </w:pPr>
      <m:oMathPara>
        <m:oMathParaPr>
          <m:jc m:val="center"/>
        </m:oMathParaPr>
        <m:oMath>
          <m:r>
            <m:rPr/>
            <m:t>x′=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2</m:t>
              </m: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cos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</w:p>
    <w:p w14:paraId="7C1E7D1D">
      <m:oMathPara>
        <m:oMathParaPr>
          <m:jc m:val="center"/>
        </m:oMathParaPr>
        <m:oMath>
          <m:r>
            <m:rPr/>
            <m:t>y′=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2</m:t>
              </m: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sin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</w:p>
    <w:p w14:paraId="4754AE02">
      <w:r>
        <w:t>Результирующие координаты рабочего органа находятся векторным сложением:</w:t>
      </w:r>
    </w:p>
    <w:p w14:paraId="265F4DDE">
      <w:pPr>
        <w:pStyle w:val="20"/>
      </w:pPr>
      <m:oMathPara>
        <m:oMathParaPr>
          <m:jc m:val="center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x</m:t>
              </m:r>
              <m:ctrlPr>
                <w:rPr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p</m:t>
              </m:r>
              <m:ctrlPr>
                <w:rPr>
                  <w:i/>
                </w:rPr>
              </m:ctrlPr>
            </m:sub>
          </m:sSub>
          <m:r>
            <m:rPr/>
            <m:t>=</m:t>
          </m:r>
          <m:sSub>
            <m:sSubPr/>
            <m:e>
              <m:r>
                <m:rPr/>
                <m:t>x</m:t>
              </m:r>
            </m:e>
            <m:sub>
              <m:r>
                <m:rPr/>
                <m:t>A</m:t>
              </m:r>
            </m:sub>
          </m:sSub>
          <m:r>
            <m:rPr/>
            <m:t>+x′=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cos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)+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2</m:t>
              </m: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cos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</w:p>
    <w:p w14:paraId="0169B2DF">
      <m:oMathPara>
        <m:oMathParaPr>
          <m:jc m:val="center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y</m:t>
              </m:r>
              <m:ctrlPr>
                <w:rPr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p</m:t>
              </m:r>
              <m:ctrlPr>
                <w:rPr>
                  <w:i/>
                </w:rPr>
              </m:ctrlPr>
            </m:sub>
          </m:sSub>
          <m:r>
            <m:rPr/>
            <m:t>=</m:t>
          </m:r>
          <m:sSub>
            <m:sSubPr/>
            <m:e>
              <m:r>
                <m:rPr/>
                <m:t>y</m:t>
              </m:r>
            </m:e>
            <m:sub>
              <m:r>
                <m:rPr/>
                <m:t>A</m:t>
              </m:r>
            </m:sub>
          </m:sSub>
          <m:r>
            <m:rPr/>
            <m:t>+y′=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1</m:t>
              </m: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sin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)+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2</m:t>
              </m:r>
            </m:sub>
          </m:sSub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sin</m:t>
          </m:r>
          <m:r>
            <m:rPr/>
            <m:t>(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</w:p>
    <w:p w14:paraId="50EF297E">
      <w:r>
        <w:t>Данная система уравнений представляет собой решение ПЗК для рассматриваемого манипулятора.</w:t>
      </w:r>
    </w:p>
    <w:p w14:paraId="66570745">
      <w:pPr>
        <w:rPr>
          <w:rFonts w:hint="default"/>
          <w:lang w:val="ru-RU"/>
        </w:rPr>
      </w:pPr>
      <w:r>
        <w:rPr>
          <w:rFonts w:hint="default"/>
          <w:lang w:val="ru-RU"/>
        </w:rPr>
        <w:t>На рисунке 1 представлено схематичное изображение манипулятора с 2 вращательными звеньями с обозначениями, соответствующими описанию решения ПЗК.</w:t>
      </w:r>
    </w:p>
    <w:p w14:paraId="2AD8A2DA">
      <w:pPr>
        <w:ind w:left="0" w:leftChars="0" w:firstLine="0" w:firstLineChars="0"/>
        <w:jc w:val="center"/>
      </w:pPr>
      <w:r>
        <w:drawing>
          <wp:inline distT="0" distB="0" distL="114300" distR="114300">
            <wp:extent cx="3078480" cy="3722370"/>
            <wp:effectExtent l="0" t="0" r="0" b="11430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3335">
      <w:pPr>
        <w:pStyle w:val="17"/>
        <w:bidi w:val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Рисунок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Фигура \* ARABIC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1</w:t>
      </w:r>
      <w:r>
        <w:rPr>
          <w:b w:val="0"/>
          <w:bCs w:val="0"/>
        </w:rPr>
        <w:fldChar w:fldCharType="end"/>
      </w:r>
      <w:r>
        <w:rPr>
          <w:b w:val="0"/>
          <w:bCs w:val="0"/>
          <w:lang w:val="ru-RU"/>
        </w:rPr>
        <w:t xml:space="preserve"> - Схематичное изображение манипулятора с 2 вращательными звеньями с обозначениями, соответствующими описанию решения ПЗК.</w:t>
      </w:r>
    </w:p>
    <w:p w14:paraId="0857FF35">
      <w:pPr>
        <w:rPr>
          <w:rFonts w:hint="default"/>
          <w:lang w:val="ru-RU"/>
        </w:rPr>
      </w:pPr>
    </w:p>
    <w:p w14:paraId="59750AC2">
      <w:pPr>
        <w:pStyle w:val="4"/>
      </w:pPr>
      <w:bookmarkStart w:id="3" w:name="решение-обратной-задачи-кинематики"/>
      <w:r>
        <w:t>2.2. Решение обратной задачи кинематики</w:t>
      </w:r>
      <w:bookmarkEnd w:id="3"/>
    </w:p>
    <w:p w14:paraId="05C82554">
      <w:r>
        <w:rPr>
          <w:b/>
        </w:rPr>
        <w:t>Цель:</w:t>
      </w:r>
      <w:r>
        <w:t xml:space="preserve"> По заданным координатам рабочего органа </w:t>
      </w:r>
      <m:oMath>
        <m:r>
          <m:rPr/>
          <m:t>(</m:t>
        </m:r>
        <m:sSub>
          <m:sSubPr>
            <m:ctrlPr>
              <w:rPr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p</m:t>
            </m:r>
            <m:ctrlPr>
              <w:rPr>
                <w:i/>
              </w:rPr>
            </m:ctrlPr>
          </m:sub>
        </m:sSub>
        <m:r>
          <m:rPr/>
          <m:t>,</m:t>
        </m:r>
        <m:sSub>
          <m:sSubPr>
            <m:ctrlPr>
              <w:rPr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p</m:t>
            </m:r>
            <m:ctrlPr>
              <w:rPr>
                <w:i/>
              </w:rPr>
            </m:ctrlPr>
          </m:sub>
        </m:sSub>
        <m:r>
          <m:rPr/>
          <m:t>)</m:t>
        </m:r>
      </m:oMath>
      <w:r>
        <w:t xml:space="preserve"> найти углы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1</m:t>
            </m:r>
          </m:sub>
        </m:sSub>
      </m:oMath>
      <w:r>
        <w:t xml:space="preserve"> и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q</m:t>
            </m:r>
          </m:e>
          <m:sub>
            <m:r>
              <m:rPr/>
              <m:t>2</m:t>
            </m:r>
          </m:sub>
        </m:sSub>
      </m:oMath>
      <w:r>
        <w:t>.</w:t>
      </w:r>
    </w:p>
    <w:p w14:paraId="5B513B44">
      <w:pPr>
        <w:pStyle w:val="20"/>
      </w:pPr>
      <w:r>
        <w:t>Введём вспомогательные величины:</w:t>
      </w:r>
    </w:p>
    <w:p w14:paraId="67FC80E1">
      <w:pPr>
        <w:numPr>
          <w:ilvl w:val="0"/>
          <w:numId w:val="7"/>
        </w:numPr>
      </w:pPr>
      <m:oMath>
        <m:r>
          <m:rPr/>
          <w:rPr>
            <w:rFonts w:hint="default" w:ascii="Cambria Math" w:hAnsi="Cambria Math"/>
            <w:lang w:val="en-US"/>
          </w:rPr>
          <m:t>b</m:t>
        </m:r>
        <m:r>
          <m:rPr/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>
            <m:ctrlPr>
              <w:rPr>
                <w:rFonts w:ascii="Cambria Math" w:hAnsi="Cambria Math"/>
                <w:i/>
                <w:iCs/>
              </w:rPr>
            </m:ctrlPr>
          </m:deg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</m:sSubSup>
            <m:r>
              <m:rPr/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</m:sSubSup>
            <m:ctrlPr>
              <w:rPr>
                <w:rFonts w:ascii="Cambria Math" w:hAnsi="Cambria Math"/>
                <w:i/>
                <w:iCs/>
              </w:rPr>
            </m:ctrlPr>
          </m:e>
        </m:rad>
      </m:oMath>
      <w:r>
        <w:t xml:space="preserve"> — расстояние от основания манипулятора до целевой точки.</w:t>
      </w:r>
    </w:p>
    <w:p w14:paraId="7FB6C51F">
      <w:pPr>
        <w:numPr>
          <w:ilvl w:val="0"/>
          <w:numId w:val="7"/>
        </w:numPr>
      </w:pPr>
      <m:oMath>
        <m:sSub>
          <m:sSubPr/>
          <m:e>
            <m:r>
              <m:rPr/>
              <m:t>q′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>
            <m:nor/>
            <m:sty m:val="p"/>
          </m:rPr>
          <w:rPr>
            <w:b w:val="0"/>
            <w:i w:val="0"/>
          </w:rPr>
          <m:t>arctan</m:t>
        </m:r>
        <m:r>
          <m:rPr/>
          <m:t>2(</m:t>
        </m:r>
        <m:sSub>
          <m:sSubPr>
            <m:ctrlPr>
              <w:rPr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y</m:t>
            </m:r>
            <m:ctrlPr>
              <w:rPr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p</m:t>
            </m:r>
            <m:ctrlPr>
              <w:rPr>
                <w:i/>
              </w:rPr>
            </m:ctrlPr>
          </m:sub>
        </m:sSub>
        <m:r>
          <m:rPr/>
          <m:t>,</m:t>
        </m:r>
        <m:sSub>
          <m:sSubPr>
            <m:ctrlPr>
              <w:rPr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p</m:t>
            </m:r>
            <m:ctrlPr>
              <w:rPr>
                <w:i/>
              </w:rPr>
            </m:ctrlPr>
          </m:sub>
        </m:sSub>
        <m:r>
          <m:rPr/>
          <m:t>)</m:t>
        </m:r>
      </m:oMath>
      <w:r>
        <w:t xml:space="preserve"> — угол между осью </w:t>
      </w:r>
      <m:oMath>
        <m:r>
          <m:rPr/>
          <m:t>OX</m:t>
        </m:r>
      </m:oMath>
      <w:r>
        <w:t xml:space="preserve"> и вектором </w:t>
      </w:r>
      <m:oMath>
        <m:r>
          <m:rPr/>
          <w:rPr>
            <w:rFonts w:hint="default" w:ascii="Cambria Math" w:hAnsi="Cambria Math"/>
            <w:lang w:val="en-US"/>
          </w:rPr>
          <m:t>b</m:t>
        </m:r>
      </m:oMath>
      <w:r>
        <w:t>. Использование функции arctan2 корректно определяет квадрант угла.</w:t>
      </w:r>
    </w:p>
    <w:p w14:paraId="48008D95">
      <w:r>
        <w:t xml:space="preserve">Для треугольника, образованного звеньями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l</m:t>
            </m:r>
          </m:e>
          <m:sub>
            <m:r>
              <m:rPr/>
              <m:t>1</m:t>
            </m:r>
          </m:sub>
        </m:sSub>
      </m:oMath>
      <w:r>
        <w:t xml:space="preserve">,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l</m:t>
            </m:r>
          </m:e>
          <m:sub>
            <m:r>
              <m:rPr/>
              <m:t>2</m:t>
            </m:r>
          </m:sub>
        </m:sSub>
      </m:oMath>
      <w:r>
        <w:t xml:space="preserve"> и отрезком </w:t>
      </w:r>
      <m:oMath>
        <m:r>
          <m:rPr/>
          <w:rPr>
            <w:rFonts w:hint="default" w:ascii="Cambria Math" w:hAnsi="Cambria Math"/>
            <w:lang w:val="en-US"/>
          </w:rPr>
          <m:t>b</m:t>
        </m:r>
      </m:oMath>
      <w:r>
        <w:t>, по теореме косинусов:</w:t>
      </w:r>
    </w:p>
    <w:p w14:paraId="006F4FD3">
      <w:pPr>
        <w:pStyle w:val="20"/>
      </w:pPr>
      <m:oMathPara>
        <m:oMathParaPr>
          <m:jc m:val="center"/>
        </m:oMathParaPr>
        <m:oMath>
          <m:sSubSup>
            <m:sSubSup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2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Sup>
            <m:sSubSup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1</m:t>
              </m:r>
            </m:sub>
            <m:sup>
              <m:r>
                <m:rPr/>
                <m:t>2</m:t>
              </m:r>
            </m:sup>
          </m:sSubSup>
          <m:r>
            <m:rPr/>
            <m:t>+</m:t>
          </m:r>
          <m:sSup>
            <m:sSupPr/>
            <m:e>
              <m:r>
                <m:rPr/>
                <w:rPr>
                  <w:rFonts w:hint="default" w:ascii="Cambria Math" w:hAnsi="Cambria Math"/>
                  <w:lang w:val="en-US"/>
                </w:rPr>
                <m:t>b</m:t>
              </m:r>
            </m:e>
            <m:sup>
              <m:r>
                <m:rPr/>
                <m:t>2</m:t>
              </m:r>
            </m:sup>
          </m:sSup>
          <m:r>
            <m:rPr/>
            <m:t>−2⋅</m:t>
          </m:r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</m:e>
            <m:sub>
              <m:r>
                <m:rPr/>
                <m:t>1</m:t>
              </m:r>
            </m:sub>
          </m:sSub>
          <m:r>
            <m:rPr/>
            <m:t>⋅</m:t>
          </m:r>
          <m:r>
            <m:rPr/>
            <w:rPr>
              <w:rFonts w:hint="default" w:ascii="Cambria Math" w:hAnsi="Cambria Math"/>
              <w:lang w:val="en-US"/>
            </w:rPr>
            <m:t>b</m:t>
          </m:r>
          <m:r>
            <m:rPr/>
            <m:t>⋅</m:t>
          </m:r>
          <m:r>
            <m:rPr>
              <m:nor/>
              <m:sty m:val="p"/>
            </m:rPr>
            <w:rPr>
              <w:b w:val="0"/>
              <w:i w:val="0"/>
            </w:rPr>
            <m:t>cos</m:t>
          </m:r>
          <m:r>
            <m:rPr/>
            <m:t>(</m:t>
          </m:r>
          <m:sSub>
            <m:sSubPr/>
            <m:e>
              <m:r>
                <m:rPr/>
                <m:t>q′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</w:p>
    <w:p w14:paraId="0409BAAE">
      <w:r>
        <w:t xml:space="preserve">где </w:t>
      </w:r>
      <m:oMath>
        <m:sSub>
          <m:sSubPr/>
          <m:e>
            <m:r>
              <m:rPr/>
              <m:t>q′</m:t>
            </m:r>
          </m:e>
          <m:sub>
            <m:r>
              <m:rPr/>
              <m:t>2</m:t>
            </m:r>
          </m:sub>
        </m:sSub>
      </m:oMath>
      <w:r>
        <w:t xml:space="preserve"> — угол между </w:t>
      </w:r>
      <m:oMath>
        <m:sSub>
          <m:sSubPr/>
          <m:e>
            <m:r>
              <m:rPr/>
              <w:rPr>
                <w:rFonts w:hint="default" w:ascii="Cambria Math" w:hAnsi="Cambria Math"/>
                <w:lang w:val="en-US"/>
              </w:rPr>
              <m:t>l</m:t>
            </m:r>
          </m:e>
          <m:sub>
            <m:r>
              <m:rPr/>
              <m:t>1</m:t>
            </m:r>
          </m:sub>
        </m:sSub>
      </m:oMath>
      <w:r>
        <w:t xml:space="preserve"> и </w:t>
      </w:r>
      <m:oMath>
        <m:r>
          <m:rPr/>
          <w:rPr>
            <w:rFonts w:hint="default" w:ascii="Cambria Math" w:hAnsi="Cambria Math"/>
            <w:lang w:val="en-US"/>
          </w:rPr>
          <m:t>b</m:t>
        </m:r>
      </m:oMath>
      <w:r>
        <w:t>. Отсюда:</w:t>
      </w:r>
    </w:p>
    <w:p w14:paraId="192ED500">
      <w:pPr>
        <w:pStyle w:val="20"/>
      </w:pPr>
      <m:oMathPara>
        <m:oMathParaPr>
          <m:jc m:val="center"/>
        </m:oMathParaPr>
        <m:oMath>
          <m:r>
            <m:rPr>
              <m:nor/>
              <m:sty m:val="p"/>
            </m:rPr>
            <w:rPr>
              <w:b w:val="0"/>
              <w:i w:val="0"/>
            </w:rPr>
            <m:t>cos</m:t>
          </m:r>
          <m:r>
            <m:rPr/>
            <m:t>(</m:t>
          </m:r>
          <m:sSub>
            <m:sSubPr/>
            <m:e>
              <m:r>
                <m:rPr/>
                <m:t>q′</m:t>
              </m:r>
            </m:e>
            <m:sub>
              <m:r>
                <m:rPr/>
                <m:t>2</m:t>
              </m:r>
            </m:sub>
          </m:sSub>
          <m:r>
            <m:rPr/>
            <m:t>)=</m:t>
          </m:r>
          <m:f>
            <m:fPr/>
            <m:num>
              <m:sSubSup>
                <m:sSubSupPr/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l</m:t>
                  </m:r>
                </m:e>
                <m:sub>
                  <m:r>
                    <m:rPr/>
                    <m:t>1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/>
                <m:t>+</m:t>
              </m:r>
              <m:sSup>
                <m:sSupPr/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b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−</m:t>
              </m:r>
              <m:sSubSup>
                <m:sSubSupPr/>
                <m:e>
                  <m:r>
                    <m:rPr/>
                    <m:t>L</m:t>
                  </m:r>
                </m:e>
                <m:sub>
                  <m:r>
                    <m:rPr/>
                    <m:t>2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r>
                <m:rPr/>
                <m:t>2⋅</m:t>
              </m:r>
              <m:sSub>
                <m:sSubPr/>
                <m:e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l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⋅</m:t>
              </m:r>
              <m:r>
                <m:rPr/>
                <w:rPr>
                  <w:rFonts w:hint="default" w:ascii="Cambria Math" w:hAnsi="Cambria Math"/>
                  <w:lang w:val="en-US"/>
                </w:rPr>
                <m:t>b</m:t>
              </m:r>
            </m:den>
          </m:f>
        </m:oMath>
      </m:oMathPara>
    </w:p>
    <w:p w14:paraId="37FDF1AB">
      <m:oMathPara>
        <m:oMathParaPr>
          <m:jc m:val="center"/>
        </m:oMathParaPr>
        <m:oMath>
          <m:sSub>
            <m:sSubPr/>
            <m:e>
              <m:r>
                <m:rPr/>
                <m:t>q′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>
            <m:rPr>
              <m:nor/>
              <m:sty m:val="p"/>
            </m:rPr>
            <w:rPr>
              <w:b w:val="0"/>
              <w:i w:val="0"/>
            </w:rPr>
            <m:t>arccos</m:t>
          </m:r>
          <m:d>
            <m:dPr/>
            <m:e>
              <m:f>
                <m:fPr/>
                <m:num>
                  <m:sSubSup>
                    <m:sSub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1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+</m:t>
                  </m:r>
                  <m:sSup>
                    <m:s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−</m:t>
                  </m:r>
                  <m:sSubSup>
                    <m:sSub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2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num>
                <m:den>
                  <m:r>
                    <m:rPr/>
                    <m:t>2⋅</m:t>
                  </m:r>
                  <m:sSub>
                    <m:sSub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m:rPr/>
                    <m:t>⋅</m:t>
                  </m:r>
                  <m:r>
                    <m:rPr/>
                    <w:rPr>
                      <w:rFonts w:hint="default" w:ascii="Cambria Math" w:hAnsi="Cambria Math"/>
                      <w:lang w:val="en-US"/>
                    </w:rPr>
                    <m:t>b</m:t>
                  </m:r>
                </m:den>
              </m:f>
            </m:e>
          </m:d>
        </m:oMath>
      </m:oMathPara>
    </w:p>
    <w:p w14:paraId="630B1266">
      <w:r>
        <w:t>Первое решение для углов (конфигурация “локоть вниз”):</w:t>
      </w:r>
    </w:p>
    <w:p w14:paraId="63638396">
      <w:pPr>
        <w:pStyle w:val="20"/>
      </w:pPr>
      <m:oMathPara>
        <m:oMathParaPr>
          <m:jc m:val="center"/>
        </m:oMathParaPr>
        <m:oMath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sSub>
            <m:sSubPr/>
            <m:e>
              <m:r>
                <m:rPr/>
                <m:t>q′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sSubPr/>
            <m:e>
              <m:r>
                <m:rPr/>
                <m:t>q′</m:t>
              </m:r>
            </m:e>
            <m:sub>
              <m:r>
                <m:rPr/>
                <m:t>2</m:t>
              </m:r>
            </m:sub>
          </m:sSub>
        </m:oMath>
      </m:oMathPara>
    </w:p>
    <w:p w14:paraId="215C3FF3">
      <w:pPr>
        <w:rPr>
          <w:i w:val="0"/>
        </w:rPr>
      </w:pPr>
      <m:oMathPara>
        <m:oMathParaPr>
          <m:jc m:val="center"/>
        </m:oMathParaPr>
        <m:oMath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=π−</m:t>
          </m:r>
          <m:r>
            <m:rPr>
              <m:nor/>
              <m:sty m:val="p"/>
            </m:rPr>
            <w:rPr>
              <w:b w:val="0"/>
              <w:i w:val="0"/>
            </w:rPr>
            <m:t>arccos</m:t>
          </m:r>
          <m:d>
            <m:dPr/>
            <m:e>
              <m:f>
                <m:fPr/>
                <m:num>
                  <m:sSubSup>
                    <m:sSub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1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+</m:t>
                  </m:r>
                  <m:sSubSup>
                    <m:sSub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2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−</m:t>
                  </m:r>
                  <m:sSup>
                    <m:s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2⋅</m:t>
                  </m:r>
                  <m:sSub>
                    <m:sSub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m:rPr/>
                    <m:t>⋅</m:t>
                  </m:r>
                  <m:sSub>
                    <m:sSub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8B38004">
      <w:pPr>
        <w:rPr>
          <w:rFonts w:hint="default"/>
          <w:i w:val="0"/>
          <w:lang w:val="ru-RU"/>
        </w:rPr>
      </w:pPr>
      <w:r>
        <w:rPr>
          <w:i w:val="0"/>
          <w:lang w:val="ru-RU"/>
        </w:rPr>
        <w:t>Графическая</w:t>
      </w:r>
      <w:r>
        <w:rPr>
          <w:rFonts w:hint="default"/>
          <w:i w:val="0"/>
          <w:lang w:val="ru-RU"/>
        </w:rPr>
        <w:t xml:space="preserve"> интерпретация представлена на рисунке 2.</w:t>
      </w:r>
    </w:p>
    <w:p w14:paraId="17D46248">
      <w:pPr>
        <w:jc w:val="center"/>
      </w:pPr>
      <w:r>
        <w:drawing>
          <wp:inline distT="0" distB="0" distL="114300" distR="114300">
            <wp:extent cx="2865120" cy="2870200"/>
            <wp:effectExtent l="0" t="0" r="0" b="1016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90F7">
      <w:pPr>
        <w:pStyle w:val="17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- Графическая интерпретация решения ОЗК </w:t>
      </w:r>
      <w:r>
        <w:rPr>
          <w:rFonts w:hint="default"/>
          <w:lang w:val="ru-RU"/>
        </w:rPr>
        <w:t xml:space="preserve">для двухзвенного манипулятора </w:t>
      </w:r>
      <w:r>
        <w:rPr>
          <w:lang w:val="ru-RU"/>
        </w:rPr>
        <w:t>с конфигурацией "локоть вниз".</w:t>
      </w:r>
    </w:p>
    <w:p w14:paraId="33369A65">
      <w:r>
        <w:t>Второе решение (конфигурация “локоть вверх”):</w:t>
      </w:r>
    </w:p>
    <w:p w14:paraId="66317E66">
      <w:pPr>
        <w:pStyle w:val="20"/>
      </w:pPr>
      <m:oMathPara>
        <m:oMathParaPr>
          <m:jc m:val="center"/>
        </m:oMathParaPr>
        <m:oMath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sSub>
            <m:sSubPr/>
            <m:e>
              <m:r>
                <m:rPr/>
                <m:t>q′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sSubPr/>
            <m:e>
              <m:r>
                <m:rPr/>
                <m:t>q′</m:t>
              </m:r>
            </m:e>
            <m:sub>
              <m:r>
                <m:rPr/>
                <m:t>2</m:t>
              </m:r>
            </m:sub>
          </m:sSub>
        </m:oMath>
      </m:oMathPara>
    </w:p>
    <w:p w14:paraId="235B035F">
      <w:pPr>
        <w:rPr>
          <w:i w:val="0"/>
        </w:rPr>
      </w:pPr>
      <m:oMathPara>
        <m:oMathParaPr>
          <m:jc m:val="center"/>
        </m:oMathParaPr>
        <m:oMath>
          <m:sSub>
            <m:sSubPr/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=−</m:t>
          </m:r>
          <m:d>
            <m:dPr>
              <m:begChr m:val="["/>
              <m:endChr m:val="]"/>
            </m:dPr>
            <m:e>
              <m:r>
                <m:rPr/>
                <m:t>π−</m:t>
              </m:r>
              <m:r>
                <m:rPr>
                  <m:nor/>
                  <m:sty m:val="p"/>
                </m:rPr>
                <w:rPr>
                  <w:b w:val="0"/>
                  <w:i w:val="0"/>
                </w:rPr>
                <m:t>arccos</m:t>
              </m:r>
              <m:d>
                <m:dPr/>
                <m:e>
                  <m:f>
                    <m:fPr/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/>
                            <m:t>1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  <m:r>
                        <m:rPr/>
                        <m:t>+</m:t>
                      </m:r>
                      <m:sSubSup>
                        <m:sSubSupPr/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/>
                            <m:t>2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  <m:r>
                        <m:rPr/>
                        <m:t>−</m:t>
                      </m:r>
                      <m:sSup>
                        <m:sSupPr/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num>
                    <m:den>
                      <m:r>
                        <m:rPr/>
                        <m:t>2⋅</m:t>
                      </m:r>
                      <m:sSub>
                        <m:sSubPr/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/>
                            <m:t>1</m:t>
                          </m:r>
                        </m:sub>
                      </m:sSub>
                      <m:r>
                        <m:rPr/>
                        <m:t>⋅</m:t>
                      </m:r>
                      <m:sSub>
                        <m:sSubPr/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/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m:rPr/>
            <m:t>=</m:t>
          </m:r>
          <m:r>
            <m:rPr>
              <m:nor/>
              <m:sty m:val="p"/>
            </m:rPr>
            <w:rPr>
              <w:b w:val="0"/>
              <w:i w:val="0"/>
            </w:rPr>
            <m:t>arccos</m:t>
          </m:r>
          <m:d>
            <m:dPr/>
            <m:e>
              <m:f>
                <m:fPr/>
                <m:num>
                  <m:sSubSup>
                    <m:sSub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1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+</m:t>
                  </m:r>
                  <m:sSubSup>
                    <m:sSub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2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−</m:t>
                  </m:r>
                  <m:sSup>
                    <m:sSup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2⋅</m:t>
                  </m:r>
                  <m:sSub>
                    <m:sSub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r>
                    <m:rPr/>
                    <m:t>⋅</m:t>
                  </m:r>
                  <m:sSub>
                    <m:sSubPr/>
                    <m:e>
                      <m:r>
                        <m:rPr/>
                        <w:rPr>
                          <w:rFonts w:hint="default"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</m:den>
              </m:f>
            </m:e>
          </m:d>
          <m:r>
            <m:rPr/>
            <m:t>−π</m:t>
          </m:r>
        </m:oMath>
      </m:oMathPara>
    </w:p>
    <w:p w14:paraId="69F6DF22">
      <w:pPr>
        <w:rPr>
          <w:rFonts w:hint="default"/>
          <w:i w:val="0"/>
          <w:lang w:val="ru-RU"/>
        </w:rPr>
      </w:pPr>
      <w:r>
        <w:rPr>
          <w:i w:val="0"/>
          <w:lang w:val="ru-RU"/>
        </w:rPr>
        <w:t>Графическая</w:t>
      </w:r>
      <w:r>
        <w:rPr>
          <w:rFonts w:hint="default"/>
          <w:i w:val="0"/>
          <w:lang w:val="ru-RU"/>
        </w:rPr>
        <w:t xml:space="preserve"> интерпретация представлена на рисунке 3.</w:t>
      </w:r>
    </w:p>
    <w:p w14:paraId="1AE29E79">
      <w:pPr>
        <w:jc w:val="center"/>
      </w:pPr>
      <w:r>
        <w:drawing>
          <wp:inline distT="0" distB="0" distL="114300" distR="114300">
            <wp:extent cx="3286125" cy="3085465"/>
            <wp:effectExtent l="0" t="0" r="571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F889">
      <w:pPr>
        <w:pStyle w:val="17"/>
        <w:jc w:val="center"/>
        <w:rPr>
          <w:lang w:val="ru-RU"/>
        </w:rPr>
      </w:pPr>
      <w:r>
        <w:rPr>
          <w:lang w:val="ru-RU"/>
        </w:rPr>
        <w:t>Рисунок</w:t>
      </w:r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- Графическая интерпретация решения ОЗК</w:t>
      </w:r>
      <w:r>
        <w:rPr>
          <w:rFonts w:hint="default"/>
          <w:lang w:val="ru-RU"/>
        </w:rPr>
        <w:t xml:space="preserve"> для двухзвенного манипулятора </w:t>
      </w:r>
      <w:r>
        <w:rPr>
          <w:lang w:val="ru-RU"/>
        </w:rPr>
        <w:t>с конфигурацией "локоть вверх".</w:t>
      </w:r>
    </w:p>
    <w:p w14:paraId="4F251AC3">
      <w:pPr>
        <w:rPr>
          <w:rFonts w:hint="default"/>
          <w:lang w:val="ru-RU"/>
        </w:rPr>
      </w:pPr>
      <w:bookmarkStart w:id="4" w:name="_GoBack"/>
      <w:bookmarkEnd w:id="4"/>
    </w:p>
    <w:p w14:paraId="7FA051CB">
      <w:r>
        <w:rPr>
          <w:b/>
        </w:rPr>
        <w:t>Возникновение неоднозначности:</w:t>
      </w:r>
      <w:r>
        <w:t xml:space="preserve"> Два различных решения появляются из-за свойства чётности функции косинус </w:t>
      </w:r>
      <m:oMath>
        <m:r>
          <m:rPr>
            <m:nor/>
            <m:sty m:val="p"/>
          </m:rPr>
          <w:rPr>
            <w:b w:val="0"/>
            <w:i w:val="0"/>
          </w:rPr>
          <m:t>cos</m:t>
        </m:r>
        <m:r>
          <m:rPr/>
          <m:t>(θ)=</m:t>
        </m:r>
        <m:r>
          <m:rPr>
            <m:nor/>
            <m:sty m:val="p"/>
          </m:rPr>
          <w:rPr>
            <w:b w:val="0"/>
            <w:i w:val="0"/>
          </w:rPr>
          <m:t>cos</m:t>
        </m:r>
        <m:r>
          <m:rPr/>
          <m:t>(−θ)</m:t>
        </m:r>
      </m:oMath>
      <w:r>
        <w:t>, что эквивалентно выбору знака при геометрическом построении. На практике выбор конфигурации определяется дополнительными ограничениями (например, областью изменения углов, препятствиями в рабочей зоне).</w:t>
      </w:r>
    </w:p>
    <w:sectPr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4064F77"/>
    <w:rsid w:val="146D4A2A"/>
    <w:rsid w:val="3CDA5E02"/>
    <w:rsid w:val="4E995CB0"/>
    <w:rsid w:val="5F0C4820"/>
    <w:rsid w:val="67B2034A"/>
    <w:rsid w:val="79090CE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60" w:lineRule="auto"/>
      <w:ind w:firstLine="709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 w:after="120" w:line="288" w:lineRule="auto"/>
      <w:ind w:firstLine="0"/>
      <w:jc w:val="left"/>
      <w:outlineLvl w:val="0"/>
    </w:pPr>
    <w:rPr>
      <w:rFonts w:asciiTheme="majorHAnsi" w:hAnsiTheme="majorHAnsi" w:eastAsiaTheme="majorEastAsia" w:cstheme="majorBidi"/>
      <w:bCs/>
      <w:color w:val="000000"/>
      <w:sz w:val="32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1"/>
    </w:pPr>
    <w:rPr>
      <w:rFonts w:eastAsiaTheme="majorEastAsia" w:cstheme="majorBidi"/>
      <w:b/>
      <w:bCs/>
      <w:color w:val="000000"/>
      <w:sz w:val="32"/>
      <w:szCs w:val="26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2"/>
    </w:pPr>
    <w:rPr>
      <w:rFonts w:ascii="Times New Roman" w:hAnsi="Times New Roman" w:eastAsiaTheme="majorEastAsia" w:cstheme="majorBidi"/>
      <w:b/>
      <w:bCs/>
      <w:color w:val="000000"/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3"/>
    </w:pPr>
    <w:rPr>
      <w:rFonts w:asciiTheme="majorHAnsi" w:hAnsiTheme="majorHAnsi" w:eastAsiaTheme="majorEastAsia" w:cstheme="majorBidi"/>
      <w:bCs/>
      <w:iCs/>
      <w:color w:val="000000"/>
      <w:sz w:val="28"/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4"/>
    </w:pPr>
    <w:rPr>
      <w:rFonts w:asciiTheme="majorHAnsi" w:hAnsiTheme="majorHAnsi" w:eastAsiaTheme="majorEastAsia" w:cstheme="majorBidi"/>
      <w:color w:val="000000"/>
      <w:sz w:val="28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5"/>
    </w:pPr>
    <w:rPr>
      <w:rFonts w:asciiTheme="majorHAnsi" w:hAnsiTheme="majorHAnsi" w:eastAsiaTheme="majorEastAsia" w:cstheme="majorBidi"/>
      <w:iCs/>
      <w:color w:val="000000"/>
      <w:sz w:val="28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unhideWhenUsed/>
    <w:qFormat/>
    <w:uiPriority w:val="35"/>
    <w:pPr>
      <w:spacing w:before="120" w:after="120" w:line="240" w:lineRule="auto"/>
    </w:pPr>
    <w:rPr>
      <w:bCs/>
      <w:color w:val="000000" w:themeColor="text1"/>
      <w:sz w:val="24"/>
      <w:szCs w:val="18"/>
      <w14:textFill>
        <w14:solidFill>
          <w14:schemeClr w14:val="tx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uiPriority w:val="99"/>
    <w:pPr>
      <w:spacing w:after="120"/>
    </w:pPr>
  </w:style>
  <w:style w:type="paragraph" w:styleId="21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3"/>
    <w:basedOn w:val="1"/>
    <w:unhideWhenUsed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uiPriority w:val="99"/>
  </w:style>
  <w:style w:type="character" w:customStyle="1" w:styleId="38">
    <w:name w:val="Footer Char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="Times New Roman" w:hAnsi="Times New Roman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uiPriority w:val="99"/>
  </w:style>
  <w:style w:type="character" w:customStyle="1" w:styleId="47">
    <w:name w:val="Body Text 2 Char"/>
    <w:basedOn w:val="11"/>
    <w:link w:val="16"/>
    <w:uiPriority w:val="99"/>
  </w:style>
  <w:style w:type="character" w:customStyle="1" w:styleId="48">
    <w:name w:val="Body Text 3 Char"/>
    <w:basedOn w:val="11"/>
    <w:link w:val="30"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paragraph" w:customStyle="1" w:styleId="164">
    <w:name w:val="Code"/>
    <w:uiPriority w:val="0"/>
    <w:pPr>
      <w:spacing w:after="200" w:line="276" w:lineRule="auto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5">
    <w:name w:val="CodeBlock"/>
    <w:uiPriority w:val="0"/>
    <w:pPr>
      <w:spacing w:before="120" w:after="120" w:line="336" w:lineRule="auto"/>
      <w:ind w:firstLine="0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6">
    <w:name w:val="Source Code"/>
    <w:basedOn w:val="1"/>
    <w:uiPriority w:val="0"/>
    <w:pPr>
      <w:wordWrap w:val="0"/>
    </w:pPr>
  </w:style>
  <w:style w:type="character" w:customStyle="1" w:styleId="167">
    <w:name w:val="KeywordTok"/>
    <w:uiPriority w:val="0"/>
    <w:rPr>
      <w:b/>
      <w:color w:val="007020"/>
    </w:rPr>
  </w:style>
  <w:style w:type="character" w:customStyle="1" w:styleId="168">
    <w:name w:val="DataTypeTok"/>
    <w:uiPriority w:val="0"/>
    <w:rPr>
      <w:color w:val="902000"/>
    </w:rPr>
  </w:style>
  <w:style w:type="character" w:customStyle="1" w:styleId="169">
    <w:name w:val="DecValTok"/>
    <w:uiPriority w:val="0"/>
    <w:rPr>
      <w:color w:val="40A070"/>
    </w:rPr>
  </w:style>
  <w:style w:type="character" w:customStyle="1" w:styleId="170">
    <w:name w:val="BaseNTok"/>
    <w:uiPriority w:val="0"/>
    <w:rPr>
      <w:color w:val="40A070"/>
    </w:rPr>
  </w:style>
  <w:style w:type="character" w:customStyle="1" w:styleId="171">
    <w:name w:val="FloatTok"/>
    <w:uiPriority w:val="0"/>
    <w:rPr>
      <w:color w:val="40A070"/>
    </w:rPr>
  </w:style>
  <w:style w:type="character" w:customStyle="1" w:styleId="172">
    <w:name w:val="ConstantTok"/>
    <w:uiPriority w:val="0"/>
    <w:rPr>
      <w:color w:val="880000"/>
    </w:rPr>
  </w:style>
  <w:style w:type="character" w:customStyle="1" w:styleId="173">
    <w:name w:val="CharTok"/>
    <w:uiPriority w:val="0"/>
    <w:rPr>
      <w:color w:val="4070A0"/>
    </w:rPr>
  </w:style>
  <w:style w:type="character" w:customStyle="1" w:styleId="174">
    <w:name w:val="SpecialCharTok"/>
    <w:uiPriority w:val="0"/>
    <w:rPr>
      <w:color w:val="4070A0"/>
    </w:rPr>
  </w:style>
  <w:style w:type="character" w:customStyle="1" w:styleId="175">
    <w:name w:val="StringTok"/>
    <w:uiPriority w:val="0"/>
    <w:rPr>
      <w:color w:val="4070A0"/>
    </w:rPr>
  </w:style>
  <w:style w:type="character" w:customStyle="1" w:styleId="176">
    <w:name w:val="VerbatimStringTok"/>
    <w:uiPriority w:val="0"/>
    <w:rPr>
      <w:color w:val="4070A0"/>
    </w:rPr>
  </w:style>
  <w:style w:type="character" w:customStyle="1" w:styleId="177">
    <w:name w:val="SpecialStringTok"/>
    <w:uiPriority w:val="0"/>
    <w:rPr>
      <w:color w:val="BB6688"/>
    </w:rPr>
  </w:style>
  <w:style w:type="character" w:customStyle="1" w:styleId="178">
    <w:name w:val="ImportTok"/>
    <w:uiPriority w:val="0"/>
  </w:style>
  <w:style w:type="character" w:customStyle="1" w:styleId="179">
    <w:name w:val="CommentTok"/>
    <w:uiPriority w:val="0"/>
    <w:rPr>
      <w:i/>
      <w:color w:val="60A0B0"/>
    </w:rPr>
  </w:style>
  <w:style w:type="character" w:customStyle="1" w:styleId="180">
    <w:name w:val="DocumentationTok"/>
    <w:uiPriority w:val="0"/>
    <w:rPr>
      <w:i/>
      <w:color w:val="BA2121"/>
    </w:rPr>
  </w:style>
  <w:style w:type="character" w:customStyle="1" w:styleId="181">
    <w:name w:val="AnnotationTok"/>
    <w:uiPriority w:val="0"/>
    <w:rPr>
      <w:b/>
      <w:i/>
      <w:color w:val="60A0B0"/>
    </w:rPr>
  </w:style>
  <w:style w:type="character" w:customStyle="1" w:styleId="182">
    <w:name w:val="CommentVarTok"/>
    <w:uiPriority w:val="0"/>
    <w:rPr>
      <w:b/>
      <w:i/>
      <w:color w:val="60A0B0"/>
    </w:rPr>
  </w:style>
  <w:style w:type="character" w:customStyle="1" w:styleId="183">
    <w:name w:val="OtherTok"/>
    <w:uiPriority w:val="0"/>
    <w:rPr>
      <w:color w:val="007020"/>
    </w:rPr>
  </w:style>
  <w:style w:type="character" w:customStyle="1" w:styleId="184">
    <w:name w:val="FunctionTok"/>
    <w:uiPriority w:val="0"/>
    <w:rPr>
      <w:color w:val="06287E"/>
    </w:rPr>
  </w:style>
  <w:style w:type="character" w:customStyle="1" w:styleId="185">
    <w:name w:val="VariableTok"/>
    <w:uiPriority w:val="0"/>
    <w:rPr>
      <w:color w:val="19177C"/>
    </w:rPr>
  </w:style>
  <w:style w:type="character" w:customStyle="1" w:styleId="186">
    <w:name w:val="ControlFlowTok"/>
    <w:uiPriority w:val="0"/>
    <w:rPr>
      <w:b/>
      <w:color w:val="007020"/>
    </w:rPr>
  </w:style>
  <w:style w:type="character" w:customStyle="1" w:styleId="187">
    <w:name w:val="OperatorTok"/>
    <w:uiPriority w:val="0"/>
    <w:rPr>
      <w:color w:val="666666"/>
    </w:rPr>
  </w:style>
  <w:style w:type="character" w:customStyle="1" w:styleId="188">
    <w:name w:val="BuiltInTok"/>
    <w:uiPriority w:val="0"/>
  </w:style>
  <w:style w:type="character" w:customStyle="1" w:styleId="189">
    <w:name w:val="ExtensionTok"/>
    <w:uiPriority w:val="0"/>
  </w:style>
  <w:style w:type="character" w:customStyle="1" w:styleId="190">
    <w:name w:val="PreprocessorTok"/>
    <w:qFormat/>
    <w:uiPriority w:val="0"/>
    <w:rPr>
      <w:color w:val="BC7A00"/>
    </w:rPr>
  </w:style>
  <w:style w:type="character" w:customStyle="1" w:styleId="191">
    <w:name w:val="AttributeTok"/>
    <w:qFormat/>
    <w:uiPriority w:val="0"/>
    <w:rPr>
      <w:color w:val="7D9029"/>
    </w:rPr>
  </w:style>
  <w:style w:type="character" w:customStyle="1" w:styleId="192">
    <w:name w:val="RegionMarkerTok"/>
    <w:qFormat/>
    <w:uiPriority w:val="0"/>
  </w:style>
  <w:style w:type="character" w:customStyle="1" w:styleId="193">
    <w:name w:val="InformationTok"/>
    <w:qFormat/>
    <w:uiPriority w:val="0"/>
    <w:rPr>
      <w:b/>
      <w:i/>
      <w:color w:val="60A0B0"/>
    </w:rPr>
  </w:style>
  <w:style w:type="character" w:customStyle="1" w:styleId="194">
    <w:name w:val="WarningTok"/>
    <w:qFormat/>
    <w:uiPriority w:val="0"/>
    <w:rPr>
      <w:b/>
      <w:i/>
      <w:color w:val="60A0B0"/>
    </w:rPr>
  </w:style>
  <w:style w:type="character" w:customStyle="1" w:styleId="195">
    <w:name w:val="AlertTok"/>
    <w:qFormat/>
    <w:uiPriority w:val="0"/>
    <w:rPr>
      <w:b/>
      <w:color w:val="FF0000"/>
    </w:rPr>
  </w:style>
  <w:style w:type="character" w:customStyle="1" w:styleId="196">
    <w:name w:val="ErrorTok"/>
    <w:qFormat/>
    <w:uiPriority w:val="0"/>
    <w:rPr>
      <w:b/>
      <w:color w:val="FF0000"/>
    </w:rPr>
  </w:style>
  <w:style w:type="character" w:customStyle="1" w:styleId="19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2025-10-16T15:17:00Z</dcterms:created>
  <dc:creator>User</dc:creator>
  <cp:lastModifiedBy>User</cp:lastModifiedBy>
  <dcterms:modified xsi:type="dcterms:W3CDTF">2025-10-16T23:44:14Z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EE1BD50A9CD448BF807ADAF156BC1ABF_13</vt:lpwstr>
  </property>
</Properties>
</file>