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r>
        <w:t xml:space="preserve"/>
      </w:r>
    </w:p>
    <w:p>
      <w:pPr>
        <w:spacing w:after="120" w:before="0"/>
        <w:jc w:val="center"/>
      </w:pPr>
      <w:r>
        <w:rPr>
          <w:rFonts w:ascii="Arial" w:cs="Arial" w:eastAsia="Arial" w:hAnsi="Arial"/>
          <w:b/>
          <w:bCs/>
          <w:color w:val="E87722"/>
          <w:sz w:val="24"/>
          <w:szCs w:val="24"/>
        </w:rPr>
        <w:t xml:space="preserve">WANAC Foundation</w:t>
      </w:r>
    </w:p>
    <w:p>
      <w:pPr>
        <w:spacing w:after="320" w:before="0"/>
        <w:jc w:val="center"/>
      </w:pPr>
      <w:r>
        <w:rPr>
          <w:rFonts w:ascii="Arial" w:cs="Arial" w:eastAsia="Arial" w:hAnsi="Arial"/>
          <w:color w:val="444444"/>
          <w:sz w:val="24"/>
          <w:szCs w:val="24"/>
        </w:rPr>
        <w:t xml:space="preserve">Fireteam / Breakout Learning Platform</w:t>
      </w:r>
    </w:p>
    <w:p>
      <w:pPr>
        <w:pBdr>
          <w:bottom w:val="single" w:color="E87722" w:sz="6"/>
        </w:pBdr>
        <w:spacing w:after="160" w:before="0"/>
        <w:jc w:val="center"/>
      </w:pPr>
      <w:r>
        <w:rPr>
          <w:rFonts w:ascii="Arial" w:cs="Arial" w:eastAsia="Arial" w:hAnsi="Arial"/>
          <w:b/>
          <w:bCs/>
          <w:color w:val="002147"/>
          <w:sz w:val="56"/>
          <w:szCs w:val="56"/>
        </w:rPr>
        <w:t xml:space="preserve">AI Integration Documentation</w:t>
      </w:r>
    </w:p>
    <w:p>
      <w:pPr>
        <w:spacing w:after="0" w:before="160"/>
      </w:pPr>
      <w:r>
        <w:t xml:space="preserve"/>
      </w:r>
    </w:p>
    <w:p>
      <w:pPr>
        <w:spacing w:after="80" w:before="0"/>
        <w:jc w:val="center"/>
      </w:pPr>
      <w:r>
        <w:rPr>
          <w:rFonts w:ascii="Arial" w:cs="Arial" w:eastAsia="Arial" w:hAnsi="Arial"/>
          <w:color w:val="444444"/>
          <w:sz w:val="30"/>
          <w:szCs w:val="30"/>
        </w:rPr>
        <w:t xml:space="preserve">Groq Whisper  +  Groq LLM (Free Tier)</w:t>
      </w:r>
    </w:p>
    <w:p>
      <w:pPr>
        <w:spacing w:after="0" w:before="2400"/>
      </w:pPr>
      <w:r>
        <w:t xml:space="preserve"/>
      </w:r>
    </w:p>
    <w:tbl>
      <w:tblPr>
        <w:tblW w:type="dxa" w:w="5040"/>
        <w:tblBorders>
          <w:top w:val="none" w:color="FFFFFF" w:sz="0"/>
          <w:left w:val="none" w:color="FFFFFF" w:sz="0"/>
          <w:bottom w:val="none" w:color="FFFFFF" w:sz="0"/>
          <w:right w:val="none" w:color="FFFFFF" w:sz="0"/>
          <w:insideH w:val="single" w:color="auto" w:sz="4"/>
          <w:insideV w:val="single" w:color="auto" w:sz="4"/>
        </w:tblBorders>
      </w:tblPr>
      <w:tblGrid>
        <w:gridCol w:w="2520"/>
        <w:gridCol w:w="2520"/>
      </w:tblGrid>
      <w:tr>
        <w:tc>
          <w:tcPr>
            <w:tcW w:type="dxa" w:w="2520"/>
            <w:tcBorders>
              <w:top w:val="none" w:color="FFFFFF" w:sz="0"/>
              <w:left w:val="none" w:color="FFFFFF" w:sz="0"/>
              <w:bottom w:val="none" w:color="FFFFFF" w:sz="0"/>
              <w:right w:val="none" w:color="FFFFFF" w:sz="0"/>
            </w:tcBorders>
          </w:tcPr>
          <w:p>
            <w:pPr>
              <w:jc w:val="center"/>
            </w:pPr>
            <w:r>
              <w:rPr>
                <w:rFonts w:ascii="Arial" w:cs="Arial" w:eastAsia="Arial" w:hAnsi="Arial"/>
                <w:b/>
                <w:bCs/>
                <w:color w:val="444444"/>
                <w:sz w:val="20"/>
                <w:szCs w:val="20"/>
              </w:rPr>
              <w:t xml:space="preserve">Version</w:t>
            </w:r>
          </w:p>
        </w:tc>
        <w:tc>
          <w:tcPr>
            <w:tcW w:type="dxa" w:w="2520"/>
            <w:tcBorders>
              <w:top w:val="none" w:color="FFFFFF" w:sz="0"/>
              <w:left w:val="none" w:color="FFFFFF" w:sz="0"/>
              <w:bottom w:val="none" w:color="FFFFFF" w:sz="0"/>
              <w:right w:val="none" w:color="FFFFFF" w:sz="0"/>
            </w:tcBorders>
          </w:tcPr>
          <w:p>
            <w:pPr>
              <w:jc w:val="center"/>
            </w:pPr>
            <w:r>
              <w:rPr>
                <w:rFonts w:ascii="Arial" w:cs="Arial" w:eastAsia="Arial" w:hAnsi="Arial"/>
                <w:b/>
                <w:bCs/>
                <w:color w:val="444444"/>
                <w:sz w:val="20"/>
                <w:szCs w:val="20"/>
              </w:rPr>
              <w:t xml:space="preserve">Date</w:t>
            </w:r>
          </w:p>
        </w:tc>
      </w:tr>
      <w:tr>
        <w:tc>
          <w:tcPr>
            <w:tcW w:type="dxa" w:w="2520"/>
            <w:tcBorders>
              <w:top w:val="none" w:color="FFFFFF" w:sz="0"/>
              <w:left w:val="none" w:color="FFFFFF" w:sz="0"/>
              <w:bottom w:val="none" w:color="FFFFFF" w:sz="0"/>
              <w:right w:val="none" w:color="FFFFFF" w:sz="0"/>
            </w:tcBorders>
          </w:tcPr>
          <w:p>
            <w:pPr>
              <w:jc w:val="center"/>
            </w:pPr>
            <w:r>
              <w:rPr>
                <w:rFonts w:ascii="Arial" w:cs="Arial" w:eastAsia="Arial" w:hAnsi="Arial"/>
                <w:color w:val="1A1A1A"/>
                <w:sz w:val="22"/>
                <w:szCs w:val="22"/>
              </w:rPr>
              <w:t xml:space="preserve">1.0</w:t>
            </w:r>
          </w:p>
        </w:tc>
        <w:tc>
          <w:tcPr>
            <w:tcW w:type="dxa" w:w="2520"/>
            <w:tcBorders>
              <w:top w:val="none" w:color="FFFFFF" w:sz="0"/>
              <w:left w:val="none" w:color="FFFFFF" w:sz="0"/>
              <w:bottom w:val="none" w:color="FFFFFF" w:sz="0"/>
              <w:right w:val="none" w:color="FFFFFF" w:sz="0"/>
            </w:tcBorders>
          </w:tcPr>
          <w:p>
            <w:pPr>
              <w:jc w:val="center"/>
            </w:pPr>
            <w:r>
              <w:rPr>
                <w:rFonts w:ascii="Arial" w:cs="Arial" w:eastAsia="Arial" w:hAnsi="Arial"/>
                <w:color w:val="1A1A1A"/>
                <w:sz w:val="22"/>
                <w:szCs w:val="22"/>
              </w:rPr>
              <w:t xml:space="preserve">April 2026</w:t>
            </w:r>
          </w:p>
        </w:tc>
      </w:tr>
    </w:tbl>
    <w:p>
      <w:r>
        <w:br w:type="page"/>
      </w:r>
    </w:p>
    <w:p>
      <w:pPr>
        <w:sectPr>
          <w:pgSz w:w="12240" w:h="15840" w:orient="portrait"/>
          <w:pgMar w:top="1440" w:right="1440" w:bottom="1440" w:left="1440" w:header="708" w:footer="708" w:gutter="0"/>
          <w:pgNumType/>
          <w:docGrid w:linePitch="360"/>
        </w:sectPr>
      </w:pPr>
    </w:p>
    <w:p>
      <w:pPr>
        <w:pStyle w:val="Heading1"/>
        <w:spacing w:after="160" w:before="320"/>
      </w:pPr>
      <w:r>
        <w:rPr>
          <w:rFonts w:ascii="Arial" w:cs="Arial" w:eastAsia="Arial" w:hAnsi="Arial"/>
          <w:b/>
          <w:bCs/>
          <w:color w:val="002147"/>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rPr>
          <w:rFonts w:ascii="Arial" w:cs="Arial" w:eastAsia="Arial" w:hAnsi="Arial"/>
          <w:b/>
          <w:bCs/>
          <w:color w:val="002147"/>
          <w:sz w:val="36"/>
          <w:szCs w:val="36"/>
        </w:rPr>
        <w:t xml:space="preserve">1.  Overview</w:t>
      </w:r>
    </w:p>
    <w:p>
      <w:pPr>
        <w:spacing w:after="80" w:before="80"/>
        <w:jc w:val="left"/>
      </w:pPr>
      <w:r>
        <w:rPr>
          <w:rFonts w:ascii="Arial" w:cs="Arial" w:eastAsia="Arial" w:hAnsi="Arial"/>
          <w:b w:val="false"/>
          <w:bCs w:val="false"/>
          <w:color w:val="1A1A1A"/>
          <w:sz w:val="22"/>
          <w:szCs w:val="22"/>
        </w:rPr>
        <w:t xml:space="preserve">This document describes the full AI integration built for the WANAC Foundation's Fireteam / Breakout Learning platform. All AI features run on Groq's free developer tier, using two services: Groq Whisper for speech-to-text transcription and Groq's LLM API for evaluation, summarisation, and content generation.</w:t>
      </w:r>
    </w:p>
    <w:p>
      <w:pPr>
        <w:spacing w:after="0" w:before="80"/>
      </w:pPr>
      <w:r>
        <w:t xml:space="preserve"/>
      </w:r>
    </w:p>
    <w:p>
      <w:pPr>
        <w:spacing w:after="80" w:before="80"/>
        <w:jc w:val="left"/>
      </w:pPr>
      <w:r>
        <w:rPr>
          <w:rFonts w:ascii="Arial" w:cs="Arial" w:eastAsia="Arial" w:hAnsi="Arial"/>
          <w:b w:val="false"/>
          <w:bCs w:val="false"/>
          <w:color w:val="444444"/>
          <w:sz w:val="22"/>
          <w:szCs w:val="22"/>
        </w:rPr>
        <w:t xml:space="preserve">The integration is built as a set of Next.js server-side API routes. This means the Groq API key is never exposed to the browser. React components call these routes using the groqService client.</w:t>
      </w:r>
    </w:p>
    <w:p>
      <w:pPr>
        <w:spacing w:after="0" w:before="120"/>
      </w:pPr>
      <w:r>
        <w:t xml:space="preserve"/>
      </w:r>
    </w:p>
    <w:p>
      <w:pPr>
        <w:pStyle w:val="Heading2"/>
        <w:spacing w:after="120" w:before="280"/>
      </w:pPr>
      <w:r>
        <w:rPr>
          <w:rFonts w:ascii="Arial" w:cs="Arial" w:eastAsia="Arial" w:hAnsi="Arial"/>
          <w:b/>
          <w:bCs/>
          <w:color w:val="002147"/>
          <w:sz w:val="28"/>
          <w:szCs w:val="28"/>
        </w:rPr>
        <w:t xml:space="preserve">1.1  Why Groq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02147" w:val="clear"/>
            <w:tcMar>
              <w:top w:type="dxa" w:w="80"/>
              <w:left w:type="dxa" w:w="140"/>
              <w:bottom w:type="dxa" w:w="80"/>
              <w:right w:type="dxa" w:w="140"/>
            </w:tcMar>
            <w:vAlign w:val="center"/>
          </w:tcPr>
          <w:p>
            <w:r>
              <w:rPr>
                <w:rFonts w:ascii="Arial" w:cs="Arial" w:eastAsia="Arial" w:hAnsi="Arial"/>
                <w:b/>
                <w:bCs/>
                <w:color w:val="FFFFFF"/>
                <w:sz w:val="20"/>
                <w:szCs w:val="20"/>
              </w:rPr>
              <w:t xml:space="preserve">Reason</w:t>
            </w:r>
          </w:p>
        </w:tc>
        <w:tc>
          <w:tcPr>
            <w:tcW w:type="dxa" w:w="6960"/>
            <w:tcBorders>
              <w:top w:val="single" w:color="CCCCCC" w:sz="1"/>
              <w:left w:val="single" w:color="CCCCCC" w:sz="1"/>
              <w:bottom w:val="single" w:color="CCCCCC" w:sz="1"/>
              <w:right w:val="single" w:color="CCCCCC" w:sz="1"/>
            </w:tcBorders>
            <w:shd w:fill="002147" w:val="clear"/>
            <w:tcMar>
              <w:top w:type="dxa" w:w="80"/>
              <w:left w:type="dxa" w:w="140"/>
              <w:bottom w:type="dxa" w:w="80"/>
              <w:right w:type="dxa" w:w="140"/>
            </w:tcMar>
            <w:vAlign w:val="cente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r>
              <w:rPr>
                <w:rFonts w:ascii="Arial" w:cs="Arial" w:eastAsia="Arial" w:hAnsi="Arial"/>
                <w:b/>
                <w:bCs/>
                <w:color w:val="002147"/>
                <w:sz w:val="20"/>
                <w:szCs w:val="20"/>
              </w:rPr>
              <w:t xml:space="preserve">100% Free</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Developer tier covers all Fireteam AI needs at typical session volumes — no credit card required.</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OpenAI-Compatible</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Same request/response format as OpenAI. Drop-in replacement for the existing openai.service.ts.</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One API Key</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The same GROQ_API_KEY covers both Whisper (audio) and all LLM endpoints.</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Fast</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Groq's LPU hardware is significantly faster than OpenAI GPT-4 for the same output quality.</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Whisper v3</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whisper-large-v3 is the same model used in OpenAI's API, at no cost on Groq's free tier.</w:t>
            </w:r>
          </w:p>
        </w:tc>
      </w:tr>
    </w:tbl>
    <w:p>
      <w:pPr>
        <w:spacing w:after="0" w:before="120"/>
      </w:pPr>
      <w:r>
        <w:t xml:space="preserve"/>
      </w:r>
    </w:p>
    <w:p>
      <w:pPr>
        <w:pStyle w:val="Heading2"/>
        <w:spacing w:after="120" w:before="280"/>
      </w:pPr>
      <w:r>
        <w:rPr>
          <w:rFonts w:ascii="Arial" w:cs="Arial" w:eastAsia="Arial" w:hAnsi="Arial"/>
          <w:b/>
          <w:bCs/>
          <w:color w:val="002147"/>
          <w:sz w:val="28"/>
          <w:szCs w:val="28"/>
        </w:rPr>
        <w:t xml:space="preserve">1.2  Active Models (April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760"/>
        <w:gridCol w:w="3000"/>
      </w:tblGrid>
      <w:tr>
        <w:tc>
          <w:tcPr>
            <w:tcW w:type="dxa" w:w="3600"/>
            <w:tcBorders>
              <w:top w:val="single" w:color="CCCCCC" w:sz="1"/>
              <w:left w:val="single" w:color="CCCCCC" w:sz="1"/>
              <w:bottom w:val="single" w:color="CCCCCC" w:sz="1"/>
              <w:right w:val="single" w:color="CCCCCC" w:sz="1"/>
            </w:tcBorders>
            <w:shd w:fill="002147" w:val="clear"/>
            <w:tcMar>
              <w:top w:type="dxa" w:w="80"/>
              <w:left w:type="dxa" w:w="140"/>
              <w:bottom w:type="dxa" w:w="80"/>
              <w:right w:type="dxa" w:w="140"/>
            </w:tcMar>
            <w:vAlign w:val="center"/>
          </w:tcPr>
          <w:p>
            <w:r>
              <w:rPr>
                <w:rFonts w:ascii="Arial" w:cs="Arial" w:eastAsia="Arial" w:hAnsi="Arial"/>
                <w:b/>
                <w:bCs/>
                <w:color w:val="FFFFFF"/>
                <w:sz w:val="20"/>
                <w:szCs w:val="20"/>
              </w:rPr>
              <w:t xml:space="preserve">Model</w:t>
            </w:r>
          </w:p>
        </w:tc>
        <w:tc>
          <w:tcPr>
            <w:tcW w:type="dxa" w:w="2760"/>
            <w:tcBorders>
              <w:top w:val="single" w:color="CCCCCC" w:sz="1"/>
              <w:left w:val="single" w:color="CCCCCC" w:sz="1"/>
              <w:bottom w:val="single" w:color="CCCCCC" w:sz="1"/>
              <w:right w:val="single" w:color="CCCCCC" w:sz="1"/>
            </w:tcBorders>
            <w:shd w:fill="002147" w:val="clear"/>
            <w:tcMar>
              <w:top w:type="dxa" w:w="80"/>
              <w:left w:type="dxa" w:w="140"/>
              <w:bottom w:type="dxa" w:w="80"/>
              <w:right w:type="dxa" w:w="140"/>
            </w:tcMar>
            <w:vAlign w:val="center"/>
          </w:tcPr>
          <w:p>
            <w:r>
              <w:rPr>
                <w:rFonts w:ascii="Arial" w:cs="Arial" w:eastAsia="Arial" w:hAnsi="Arial"/>
                <w:b/>
                <w:bCs/>
                <w:color w:val="FFFFFF"/>
                <w:sz w:val="20"/>
                <w:szCs w:val="20"/>
              </w:rPr>
              <w:t xml:space="preserve">Used For</w:t>
            </w:r>
          </w:p>
        </w:tc>
        <w:tc>
          <w:tcPr>
            <w:tcW w:type="dxa" w:w="3000"/>
            <w:tcBorders>
              <w:top w:val="single" w:color="CCCCCC" w:sz="1"/>
              <w:left w:val="single" w:color="CCCCCC" w:sz="1"/>
              <w:bottom w:val="single" w:color="CCCCCC" w:sz="1"/>
              <w:right w:val="single" w:color="CCCCCC" w:sz="1"/>
            </w:tcBorders>
            <w:shd w:fill="002147" w:val="clear"/>
            <w:tcMar>
              <w:top w:type="dxa" w:w="80"/>
              <w:left w:type="dxa" w:w="140"/>
              <w:bottom w:type="dxa" w:w="80"/>
              <w:right w:type="dxa" w:w="140"/>
            </w:tcMar>
            <w:vAlign w:val="center"/>
          </w:tcPr>
          <w:p>
            <w:r>
              <w:rPr>
                <w:rFonts w:ascii="Arial" w:cs="Arial" w:eastAsia="Arial" w:hAnsi="Arial"/>
                <w:b/>
                <w:bCs/>
                <w:color w:val="FFFFFF"/>
                <w:sz w:val="20"/>
                <w:szCs w:val="20"/>
              </w:rPr>
              <w:t xml:space="preserve">Free Tier Limit / Day</w:t>
            </w:r>
          </w:p>
        </w:tc>
      </w:tr>
      <w:tr>
        <w:tc>
          <w:tcPr>
            <w:tcW w:type="dxa" w:w="3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r>
              <w:rPr>
                <w:rFonts w:ascii="Arial" w:cs="Arial" w:eastAsia="Arial" w:hAnsi="Arial"/>
                <w:b/>
                <w:bCs/>
                <w:color w:val="6D28D9"/>
                <w:sz w:val="20"/>
                <w:szCs w:val="20"/>
              </w:rPr>
              <w:t xml:space="preserve">whisper-large-v3</w:t>
            </w:r>
          </w:p>
        </w:tc>
        <w:tc>
          <w:tcPr>
            <w:tcW w:type="dxa" w:w="2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Live transcription, video captions</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2,000 requests (~7,200s audio)</w:t>
            </w:r>
          </w:p>
        </w:tc>
      </w:tr>
      <w:tr>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bCs/>
                <w:color w:val="002147"/>
                <w:sz w:val="20"/>
                <w:szCs w:val="20"/>
              </w:rPr>
              <w:t xml:space="preserve">llama-3.3-70b-versatile</w:t>
            </w:r>
          </w:p>
        </w:tc>
        <w:tc>
          <w:tcPr>
            <w:tcW w:type="dxa" w:w="2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Bloom's Taxonomy evaluation</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1,000 requests</w:t>
            </w:r>
          </w:p>
        </w:tc>
      </w:tr>
      <w:tr>
        <w:tc>
          <w:tcPr>
            <w:tcW w:type="dxa" w:w="3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r>
              <w:rPr>
                <w:rFonts w:ascii="Arial" w:cs="Arial" w:eastAsia="Arial" w:hAnsi="Arial"/>
                <w:b/>
                <w:bCs/>
                <w:color w:val="16A34A"/>
                <w:sz w:val="20"/>
                <w:szCs w:val="20"/>
              </w:rPr>
              <w:t xml:space="preserve">llama-3.1-8b-instant</w:t>
            </w:r>
          </w:p>
        </w:tc>
        <w:tc>
          <w:tcPr>
            <w:tcW w:type="dxa" w:w="2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Summaries, explanations, tags</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14,400 requests</w:t>
            </w:r>
          </w:p>
        </w:tc>
      </w:tr>
    </w:tbl>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E87722" w:sz="12"/>
              <w:bottom w:val="single" w:color="CCCCCC" w:sz="1"/>
              <w:right w:val="single" w:color="CCCCCC" w:sz="1"/>
            </w:tcBorders>
            <w:shd w:fill="F0F4F8" w:val="clear"/>
            <w:tcMar>
              <w:top w:type="dxa" w:w="120"/>
              <w:left w:type="dxa" w:w="200"/>
              <w:bottom w:type="dxa" w:w="120"/>
              <w:right w:type="dxa" w:w="200"/>
            </w:tcMar>
          </w:tcPr>
          <w:p>
            <w:pPr>
              <w:spacing w:after="60" w:before="0"/>
            </w:pPr>
            <w:r>
              <w:rPr>
                <w:rFonts w:ascii="Arial" w:cs="Arial" w:eastAsia="Arial" w:hAnsi="Arial"/>
                <w:b/>
                <w:bCs/>
                <w:color w:val="002147"/>
                <w:sz w:val="20"/>
                <w:szCs w:val="20"/>
              </w:rPr>
              <w:t xml:space="preserve">Note: llama3-8b-8192 was decommissioned in April 2026.</w:t>
            </w:r>
          </w:p>
          <w:p>
            <w:pPr>
              <w:spacing w:after="0" w:before="0"/>
            </w:pPr>
            <w:r>
              <w:rPr>
                <w:rFonts w:ascii="Arial" w:cs="Arial" w:eastAsia="Arial" w:hAnsi="Arial"/>
                <w:color w:val="1A1A1A"/>
                <w:sz w:val="20"/>
                <w:szCs w:val="20"/>
              </w:rPr>
              <w:t xml:space="preserve">The replacement is llama-3.1-8b-instant, which is already configured in .env.local. No code changes needed.</w:t>
            </w:r>
          </w:p>
        </w:tc>
      </w:tr>
    </w:tbl>
    <w:p>
      <w:r>
        <w:br w:type="page"/>
      </w:r>
    </w:p>
    <w:p>
      <w:pPr>
        <w:pStyle w:val="Heading1"/>
        <w:spacing w:after="160" w:before="320"/>
      </w:pPr>
      <w:r>
        <w:rPr>
          <w:rFonts w:ascii="Arial" w:cs="Arial" w:eastAsia="Arial" w:hAnsi="Arial"/>
          <w:b/>
          <w:bCs/>
          <w:color w:val="002147"/>
          <w:sz w:val="36"/>
          <w:szCs w:val="36"/>
        </w:rPr>
        <w:t xml:space="preserve">2.  Setup &amp; Configuration</w:t>
      </w:r>
    </w:p>
    <w:p>
      <w:pPr>
        <w:pStyle w:val="Heading2"/>
        <w:spacing w:after="120" w:before="280"/>
      </w:pPr>
      <w:r>
        <w:rPr>
          <w:rFonts w:ascii="Arial" w:cs="Arial" w:eastAsia="Arial" w:hAnsi="Arial"/>
          <w:b/>
          <w:bCs/>
          <w:color w:val="002147"/>
          <w:sz w:val="28"/>
          <w:szCs w:val="28"/>
        </w:rPr>
        <w:t xml:space="preserve">2.1  Get a Free Groq API Key</w:t>
      </w:r>
    </w:p>
    <w:p>
      <w:pPr>
        <w:pStyle w:val="ListParagraph"/>
        <w:numPr>
          <w:ilvl w:val="0"/>
          <w:numId w:val="2"/>
        </w:numPr>
        <w:spacing w:after="40" w:before="40"/>
      </w:pPr>
      <w:r>
        <w:rPr>
          <w:rFonts w:ascii="Arial" w:cs="Arial" w:eastAsia="Arial" w:hAnsi="Arial"/>
          <w:sz w:val="22"/>
          <w:szCs w:val="22"/>
        </w:rPr>
        <w:t xml:space="preserve">Go to </w:t>
      </w:r>
      <w:hyperlink w:history="1" r:id="rId8bkfwzpcuyqquhut2kxyg">
        <w:r>
          <w:rPr>
            <w:rStyle w:val="Hyperlink"/>
            <w:rFonts w:ascii="Arial" w:cs="Arial" w:eastAsia="Arial" w:hAnsi="Arial"/>
            <w:color w:val="2563EB"/>
            <w:sz w:val="22"/>
            <w:szCs w:val="22"/>
          </w:rPr>
          <w:t xml:space="preserve">console.groq.com</w:t>
        </w:r>
      </w:hyperlink>
      <w:r>
        <w:rPr>
          <w:rFonts w:ascii="Arial" w:cs="Arial" w:eastAsia="Arial" w:hAnsi="Arial"/>
          <w:sz w:val="22"/>
          <w:szCs w:val="22"/>
        </w:rPr>
        <w:t xml:space="preserve"> and sign up (free — no credit card required).</w:t>
      </w:r>
    </w:p>
    <w:p>
      <w:pPr>
        <w:pStyle w:val="ListParagraph"/>
        <w:numPr>
          <w:ilvl w:val="0"/>
          <w:numId w:val="2"/>
        </w:numPr>
        <w:spacing w:after="40" w:before="40"/>
      </w:pPr>
      <w:r>
        <w:rPr>
          <w:rFonts w:ascii="Arial" w:cs="Arial" w:eastAsia="Arial" w:hAnsi="Arial"/>
          <w:sz w:val="22"/>
          <w:szCs w:val="22"/>
        </w:rPr>
        <w:t xml:space="preserve">Go to API Keys → Create API Key.</w:t>
      </w:r>
    </w:p>
    <w:p>
      <w:pPr>
        <w:pStyle w:val="ListParagraph"/>
        <w:numPr>
          <w:ilvl w:val="0"/>
          <w:numId w:val="2"/>
        </w:numPr>
        <w:spacing w:after="40" w:before="40"/>
      </w:pPr>
      <w:r>
        <w:rPr>
          <w:rFonts w:ascii="Arial" w:cs="Arial" w:eastAsia="Arial" w:hAnsi="Arial"/>
          <w:sz w:val="22"/>
          <w:szCs w:val="22"/>
        </w:rPr>
        <w:t xml:space="preserve">Copy the key (starts with gsk_...).</w:t>
      </w:r>
    </w:p>
    <w:p>
      <w:pPr>
        <w:spacing w:after="0" w:before="80"/>
      </w:pPr>
      <w:r>
        <w:t xml:space="preserve"/>
      </w:r>
    </w:p>
    <w:p>
      <w:pPr>
        <w:pStyle w:val="Heading2"/>
        <w:spacing w:after="120" w:before="280"/>
      </w:pPr>
      <w:r>
        <w:rPr>
          <w:rFonts w:ascii="Arial" w:cs="Arial" w:eastAsia="Arial" w:hAnsi="Arial"/>
          <w:b/>
          <w:bCs/>
          <w:color w:val="002147"/>
          <w:sz w:val="28"/>
          <w:szCs w:val="28"/>
        </w:rPr>
        <w:t xml:space="preserve">2.2  Environment Variables</w:t>
      </w:r>
    </w:p>
    <w:p>
      <w:pPr>
        <w:spacing w:after="80" w:before="80"/>
        <w:jc w:val="left"/>
      </w:pPr>
      <w:r>
        <w:rPr>
          <w:rFonts w:ascii="Arial" w:cs="Arial" w:eastAsia="Arial" w:hAnsi="Arial"/>
          <w:b w:val="false"/>
          <w:bCs w:val="false"/>
          <w:color w:val="1A1A1A"/>
          <w:sz w:val="22"/>
          <w:szCs w:val="22"/>
        </w:rPr>
        <w:t xml:space="preserve">Add the following to your .env.local file in the project root:</w:t>
      </w:r>
    </w:p>
    <w:p>
      <w:pPr>
        <w:spacing w:after="0" w:before="40"/>
      </w:pPr>
      <w:r>
        <w:t xml:space="preserve"/>
      </w:r>
    </w:p>
    <w:p>
      <w:pPr>
        <w:shd w:fill="1E1E2E" w:val="clear"/>
        <w:spacing w:after="20" w:before="20"/>
        <w:ind w:left="360"/>
      </w:pPr>
      <w:r>
        <w:rPr>
          <w:rFonts w:ascii="Courier New" w:cs="Courier New" w:eastAsia="Courier New" w:hAnsi="Courier New"/>
          <w:color w:val="A6E3A1"/>
          <w:sz w:val="18"/>
          <w:szCs w:val="18"/>
        </w:rPr>
        <w:t xml:space="preserve"># Groq AI (free tier)</w:t>
      </w:r>
    </w:p>
    <w:p>
      <w:pPr>
        <w:shd w:fill="1E1E2E" w:val="clear"/>
        <w:spacing w:after="20" w:before="20"/>
        <w:ind w:left="360"/>
      </w:pPr>
      <w:r>
        <w:rPr>
          <w:rFonts w:ascii="Courier New" w:cs="Courier New" w:eastAsia="Courier New" w:hAnsi="Courier New"/>
          <w:color w:val="A6E3A1"/>
          <w:sz w:val="18"/>
          <w:szCs w:val="18"/>
        </w:rPr>
        <w:t xml:space="preserve">GROQ_API_KEY=gsk_xxxxxxxxxxxxxxxxxxxx</w:t>
      </w:r>
    </w:p>
    <w:p>
      <w:pPr>
        <w:shd w:fill="1E1E2E" w:val="clear"/>
        <w:spacing w:after="20" w:before="20"/>
        <w:ind w:left="360"/>
      </w:pPr>
      <w:r>
        <w:rPr>
          <w:rFonts w:ascii="Courier New" w:cs="Courier New" w:eastAsia="Courier New" w:hAnsi="Courier New"/>
          <w:color w:val="A6E3A1"/>
          <w:sz w:val="18"/>
          <w:szCs w:val="18"/>
        </w:rPr>
        <w:t xml:space="preserve">GROQ_BASE_URL=https://api.groq.com/openai/v1</w:t>
      </w:r>
    </w:p>
    <w:p>
      <w:pPr>
        <w:shd w:fill="1E1E2E" w:val="clear"/>
        <w:spacing w:after="20" w:before="20"/>
        <w:ind w:left="360"/>
      </w:pPr>
      <w:r>
        <w:rPr>
          <w:rFonts w:ascii="Courier New" w:cs="Courier New" w:eastAsia="Courier New" w:hAnsi="Courier New"/>
          <w:color w:val="A6E3A1"/>
          <w:sz w:val="18"/>
          <w:szCs w:val="18"/>
        </w:rPr>
        <w:t xml:space="preserve"/>
      </w:r>
    </w:p>
    <w:p>
      <w:pPr>
        <w:shd w:fill="1E1E2E" w:val="clear"/>
        <w:spacing w:after="20" w:before="20"/>
        <w:ind w:left="360"/>
      </w:pPr>
      <w:r>
        <w:rPr>
          <w:rFonts w:ascii="Courier New" w:cs="Courier New" w:eastAsia="Courier New" w:hAnsi="Courier New"/>
          <w:color w:val="A6E3A1"/>
          <w:sz w:val="18"/>
          <w:szCs w:val="18"/>
        </w:rPr>
        <w:t xml:space="preserve"># Model selection (current active models as of April 2026)</w:t>
      </w:r>
    </w:p>
    <w:p>
      <w:pPr>
        <w:shd w:fill="1E1E2E" w:val="clear"/>
        <w:spacing w:after="20" w:before="20"/>
        <w:ind w:left="360"/>
      </w:pPr>
      <w:r>
        <w:rPr>
          <w:rFonts w:ascii="Courier New" w:cs="Courier New" w:eastAsia="Courier New" w:hAnsi="Courier New"/>
          <w:color w:val="A6E3A1"/>
          <w:sz w:val="18"/>
          <w:szCs w:val="18"/>
        </w:rPr>
        <w:t xml:space="preserve">GROQ_MODEL_EVALUATION=llama-3.3-70b-versatile</w:t>
      </w:r>
    </w:p>
    <w:p>
      <w:pPr>
        <w:shd w:fill="1E1E2E" w:val="clear"/>
        <w:spacing w:after="20" w:before="20"/>
        <w:ind w:left="360"/>
      </w:pPr>
      <w:r>
        <w:rPr>
          <w:rFonts w:ascii="Courier New" w:cs="Courier New" w:eastAsia="Courier New" w:hAnsi="Courier New"/>
          <w:color w:val="A6E3A1"/>
          <w:sz w:val="18"/>
          <w:szCs w:val="18"/>
        </w:rPr>
        <w:t xml:space="preserve">GROQ_MODEL_SUMMARY=llama-3.1-8b-instant</w:t>
      </w:r>
    </w:p>
    <w:p>
      <w:pPr>
        <w:shd w:fill="1E1E2E" w:val="clear"/>
        <w:spacing w:after="20" w:before="20"/>
        <w:ind w:left="360"/>
      </w:pPr>
      <w:r>
        <w:rPr>
          <w:rFonts w:ascii="Courier New" w:cs="Courier New" w:eastAsia="Courier New" w:hAnsi="Courier New"/>
          <w:color w:val="A6E3A1"/>
          <w:sz w:val="18"/>
          <w:szCs w:val="18"/>
        </w:rPr>
        <w:t xml:space="preserve">GROQ_MODEL_WHISPER=whisper-large-v3</w:t>
      </w:r>
    </w:p>
    <w:p>
      <w:pPr>
        <w:spacing w:after="0" w:before="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E87722" w:sz="12"/>
              <w:bottom w:val="single" w:color="CCCCCC" w:sz="1"/>
              <w:right w:val="single" w:color="CCCCCC" w:sz="1"/>
            </w:tcBorders>
            <w:shd w:fill="F0F4F8" w:val="clear"/>
            <w:tcMar>
              <w:top w:type="dxa" w:w="120"/>
              <w:left w:type="dxa" w:w="200"/>
              <w:bottom w:type="dxa" w:w="120"/>
              <w:right w:type="dxa" w:w="200"/>
            </w:tcMar>
          </w:tcPr>
          <w:p>
            <w:pPr>
              <w:spacing w:after="60" w:before="0"/>
            </w:pPr>
            <w:r>
              <w:rPr>
                <w:rFonts w:ascii="Arial" w:cs="Arial" w:eastAsia="Arial" w:hAnsi="Arial"/>
                <w:b/>
                <w:bCs/>
                <w:color w:val="002147"/>
                <w:sz w:val="20"/>
                <w:szCs w:val="20"/>
              </w:rPr>
              <w:t xml:space="preserve">Security: Never use NEXT_PUBLIC_ prefix for GROQ_API_KEY.</w:t>
            </w:r>
          </w:p>
          <w:p>
            <w:pPr>
              <w:spacing w:after="0" w:before="0"/>
            </w:pPr>
            <w:r>
              <w:rPr>
                <w:rFonts w:ascii="Arial" w:cs="Arial" w:eastAsia="Arial" w:hAnsi="Arial"/>
                <w:color w:val="1A1A1A"/>
                <w:sz w:val="20"/>
                <w:szCs w:val="20"/>
              </w:rPr>
              <w:t xml:space="preserve">All Groq calls go through server-side Next.js API routes (/api/groq/*). The key is never sent to the browser.</w:t>
            </w:r>
          </w:p>
        </w:tc>
      </w:tr>
    </w:tbl>
    <w:p>
      <w:pPr>
        <w:spacing w:after="0" w:before="120"/>
      </w:pPr>
      <w:r>
        <w:t xml:space="preserve"/>
      </w:r>
    </w:p>
    <w:p>
      <w:pPr>
        <w:pStyle w:val="Heading2"/>
        <w:spacing w:after="120" w:before="280"/>
      </w:pPr>
      <w:r>
        <w:rPr>
          <w:rFonts w:ascii="Arial" w:cs="Arial" w:eastAsia="Arial" w:hAnsi="Arial"/>
          <w:b/>
          <w:bCs/>
          <w:color w:val="002147"/>
          <w:sz w:val="28"/>
          <w:szCs w:val="28"/>
        </w:rPr>
        <w:t xml:space="preserve">2.3  Test the Connection</w:t>
      </w:r>
    </w:p>
    <w:p>
      <w:pPr>
        <w:spacing w:after="80" w:before="80"/>
        <w:jc w:val="left"/>
      </w:pPr>
      <w:r>
        <w:rPr>
          <w:rFonts w:ascii="Arial" w:cs="Arial" w:eastAsia="Arial" w:hAnsi="Arial"/>
          <w:b w:val="false"/>
          <w:bCs w:val="false"/>
          <w:color w:val="1A1A1A"/>
          <w:sz w:val="22"/>
          <w:szCs w:val="22"/>
        </w:rPr>
        <w:t xml:space="preserve">After adding the key and restarting the dev server, open this URL in your browser:</w:t>
      </w:r>
    </w:p>
    <w:p>
      <w:pPr>
        <w:spacing w:after="0" w:before="40"/>
      </w:pPr>
      <w:r>
        <w:t xml:space="preserve"/>
      </w:r>
    </w:p>
    <w:p>
      <w:pPr>
        <w:shd w:fill="1E1E2E" w:val="clear"/>
        <w:spacing w:after="20" w:before="20"/>
        <w:ind w:left="360"/>
      </w:pPr>
      <w:r>
        <w:rPr>
          <w:rFonts w:ascii="Courier New" w:cs="Courier New" w:eastAsia="Courier New" w:hAnsi="Courier New"/>
          <w:color w:val="A6E3A1"/>
          <w:sz w:val="18"/>
          <w:szCs w:val="18"/>
        </w:rPr>
        <w:t xml:space="preserve">http://localhost:3000/api/test-groq</w:t>
      </w:r>
    </w:p>
    <w:p>
      <w:pPr>
        <w:spacing w:after="0" w:before="80"/>
      </w:pPr>
      <w:r>
        <w:t xml:space="preserve"/>
      </w:r>
    </w:p>
    <w:p>
      <w:pPr>
        <w:spacing w:after="80" w:before="80"/>
        <w:jc w:val="left"/>
      </w:pPr>
      <w:r>
        <w:rPr>
          <w:rFonts w:ascii="Arial" w:cs="Arial" w:eastAsia="Arial" w:hAnsi="Arial"/>
          <w:b w:val="false"/>
          <w:bCs w:val="false"/>
          <w:color w:val="1A1A1A"/>
          <w:sz w:val="22"/>
          <w:szCs w:val="22"/>
        </w:rPr>
        <w:t xml:space="preserve">A successful response looks like:</w:t>
      </w:r>
    </w:p>
    <w:p>
      <w:pPr>
        <w:shd w:fill="1E1E2E" w:val="clear"/>
        <w:spacing w:after="20" w:before="20"/>
        <w:ind w:left="360"/>
      </w:pPr>
      <w:r>
        <w:rPr>
          <w:rFonts w:ascii="Courier New" w:cs="Courier New" w:eastAsia="Courier New" w:hAnsi="Courier New"/>
          <w:color w:val="A6E3A1"/>
          <w:sz w:val="18"/>
          <w:szCs w:val="18"/>
        </w:rPr>
        <w:t xml:space="preserve">{</w:t>
      </w:r>
    </w:p>
    <w:p>
      <w:pPr>
        <w:shd w:fill="1E1E2E" w:val="clear"/>
        <w:spacing w:after="20" w:before="20"/>
        <w:ind w:left="360"/>
      </w:pPr>
      <w:r>
        <w:rPr>
          <w:rFonts w:ascii="Courier New" w:cs="Courier New" w:eastAsia="Courier New" w:hAnsi="Courier New"/>
          <w:color w:val="A6E3A1"/>
          <w:sz w:val="18"/>
          <w:szCs w:val="18"/>
        </w:rPr>
        <w:t xml:space="preserve">  "ok": true,</w:t>
      </w:r>
    </w:p>
    <w:p>
      <w:pPr>
        <w:shd w:fill="1E1E2E" w:val="clear"/>
        <w:spacing w:after="20" w:before="20"/>
        <w:ind w:left="360"/>
      </w:pPr>
      <w:r>
        <w:rPr>
          <w:rFonts w:ascii="Courier New" w:cs="Courier New" w:eastAsia="Courier New" w:hAnsi="Courier New"/>
          <w:color w:val="A6E3A1"/>
          <w:sz w:val="18"/>
          <w:szCs w:val="18"/>
        </w:rPr>
        <w:t xml:space="preserve">  "message": "✅ Groq API is connected and working.",</w:t>
      </w:r>
    </w:p>
    <w:p>
      <w:pPr>
        <w:shd w:fill="1E1E2E" w:val="clear"/>
        <w:spacing w:after="20" w:before="20"/>
        <w:ind w:left="360"/>
      </w:pPr>
      <w:r>
        <w:rPr>
          <w:rFonts w:ascii="Courier New" w:cs="Courier New" w:eastAsia="Courier New" w:hAnsi="Courier New"/>
          <w:color w:val="A6E3A1"/>
          <w:sz w:val="18"/>
          <w:szCs w:val="18"/>
        </w:rPr>
        <w:t xml:space="preserve">  "llmTest": { "ok": true, "reply": "Groq connected." },</w:t>
      </w:r>
    </w:p>
    <w:p>
      <w:pPr>
        <w:shd w:fill="1E1E2E" w:val="clear"/>
        <w:spacing w:after="20" w:before="20"/>
        <w:ind w:left="360"/>
      </w:pPr>
      <w:r>
        <w:rPr>
          <w:rFonts w:ascii="Courier New" w:cs="Courier New" w:eastAsia="Courier New" w:hAnsi="Courier New"/>
          <w:color w:val="A6E3A1"/>
          <w:sz w:val="18"/>
          <w:szCs w:val="18"/>
        </w:rPr>
        <w:t xml:space="preserve">  "modelsAvailable": ["llama-3.1-8b-instant", "llama-3.3-70b-versatile",</w:t>
      </w:r>
    </w:p>
    <w:p>
      <w:pPr>
        <w:shd w:fill="1E1E2E" w:val="clear"/>
        <w:spacing w:after="20" w:before="20"/>
        <w:ind w:left="360"/>
      </w:pPr>
      <w:r>
        <w:rPr>
          <w:rFonts w:ascii="Courier New" w:cs="Courier New" w:eastAsia="Courier New" w:hAnsi="Courier New"/>
          <w:color w:val="A6E3A1"/>
          <w:sz w:val="18"/>
          <w:szCs w:val="18"/>
        </w:rPr>
        <w:t xml:space="preserve">                       "whisper-large-v3", "whisper-large-v3-turbo", ...]</w:t>
      </w:r>
    </w:p>
    <w:p>
      <w:pPr>
        <w:shd w:fill="1E1E2E" w:val="clear"/>
        <w:spacing w:after="20" w:before="20"/>
        <w:ind w:left="360"/>
      </w:pPr>
      <w:r>
        <w:rPr>
          <w:rFonts w:ascii="Courier New" w:cs="Courier New" w:eastAsia="Courier New" w:hAnsi="Courier New"/>
          <w:color w:val="A6E3A1"/>
          <w:sz w:val="18"/>
          <w:szCs w:val="18"/>
        </w:rPr>
        <w:t xml:space="preserve">}</w:t>
      </w:r>
    </w:p>
    <w:p>
      <w:r>
        <w:br w:type="page"/>
      </w:r>
    </w:p>
    <w:p>
      <w:pPr>
        <w:pStyle w:val="Heading1"/>
        <w:spacing w:after="160" w:before="320"/>
      </w:pPr>
      <w:r>
        <w:rPr>
          <w:rFonts w:ascii="Arial" w:cs="Arial" w:eastAsia="Arial" w:hAnsi="Arial"/>
          <w:b/>
          <w:bCs/>
          <w:color w:val="002147"/>
          <w:sz w:val="36"/>
          <w:szCs w:val="36"/>
        </w:rPr>
        <w:t xml:space="preserve">3.  AI Features</w:t>
      </w:r>
    </w:p>
    <w:p>
      <w:pPr>
        <w:spacing w:after="80" w:before="80"/>
        <w:jc w:val="left"/>
      </w:pPr>
      <w:r>
        <w:rPr>
          <w:rFonts w:ascii="Arial" w:cs="Arial" w:eastAsia="Arial" w:hAnsi="Arial"/>
          <w:b w:val="false"/>
          <w:bCs w:val="false"/>
          <w:color w:val="1A1A1A"/>
          <w:sz w:val="22"/>
          <w:szCs w:val="22"/>
        </w:rPr>
        <w:t xml:space="preserve">Six AI features are integrated across the platform. Each maps to a specific Next.js API route and a method on the groqService client.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000"/>
        <w:gridCol w:w="2200"/>
        <w:gridCol w:w="1800"/>
        <w:gridCol w:w="3000"/>
      </w:tblGrid>
      <w:tr>
        <w:tc>
          <w:tcPr>
            <w:tcW w:type="dxa" w:w="360"/>
            <w:tcBorders>
              <w:top w:val="single" w:color="CCCCCC" w:sz="1"/>
              <w:left w:val="single" w:color="CCCCCC" w:sz="1"/>
              <w:bottom w:val="single" w:color="CCCCCC" w:sz="1"/>
              <w:right w:val="single" w:color="CCCCCC" w:sz="1"/>
            </w:tcBorders>
            <w:shd w:fill="002147" w:val="clear"/>
            <w:tcMar>
              <w:top w:type="dxa" w:w="80"/>
              <w:left w:type="dxa" w:w="140"/>
              <w:bottom w:type="dxa" w:w="80"/>
              <w:right w:type="dxa" w:w="140"/>
            </w:tcMar>
            <w:vAlign w:val="center"/>
          </w:tcPr>
          <w:p>
            <w:r>
              <w:rPr>
                <w:rFonts w:ascii="Arial" w:cs="Arial" w:eastAsia="Arial" w:hAnsi="Arial"/>
                <w:b/>
                <w:bCs/>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002147" w:val="clear"/>
            <w:tcMar>
              <w:top w:type="dxa" w:w="80"/>
              <w:left w:type="dxa" w:w="140"/>
              <w:bottom w:type="dxa" w:w="80"/>
              <w:right w:type="dxa" w:w="140"/>
            </w:tcMar>
            <w:vAlign w:val="center"/>
          </w:tcPr>
          <w:p>
            <w:r>
              <w:rPr>
                <w:rFonts w:ascii="Arial" w:cs="Arial" w:eastAsia="Arial" w:hAnsi="Arial"/>
                <w:b/>
                <w:bCs/>
                <w:color w:val="FFFFFF"/>
                <w:sz w:val="20"/>
                <w:szCs w:val="20"/>
              </w:rPr>
              <w:t xml:space="preserve">Feature</w:t>
            </w:r>
          </w:p>
        </w:tc>
        <w:tc>
          <w:tcPr>
            <w:tcW w:type="dxa" w:w="2200"/>
            <w:tcBorders>
              <w:top w:val="single" w:color="CCCCCC" w:sz="1"/>
              <w:left w:val="single" w:color="CCCCCC" w:sz="1"/>
              <w:bottom w:val="single" w:color="CCCCCC" w:sz="1"/>
              <w:right w:val="single" w:color="CCCCCC" w:sz="1"/>
            </w:tcBorders>
            <w:shd w:fill="002147" w:val="clear"/>
            <w:tcMar>
              <w:top w:type="dxa" w:w="80"/>
              <w:left w:type="dxa" w:w="140"/>
              <w:bottom w:type="dxa" w:w="80"/>
              <w:right w:type="dxa" w:w="140"/>
            </w:tcMar>
            <w:vAlign w:val="center"/>
          </w:tcPr>
          <w:p>
            <w:r>
              <w:rPr>
                <w:rFonts w:ascii="Arial" w:cs="Arial" w:eastAsia="Arial" w:hAnsi="Arial"/>
                <w:b/>
                <w:bCs/>
                <w:color w:val="FFFFFF"/>
                <w:sz w:val="20"/>
                <w:szCs w:val="20"/>
              </w:rPr>
              <w:t xml:space="preserve">AI Service</w:t>
            </w:r>
          </w:p>
        </w:tc>
        <w:tc>
          <w:tcPr>
            <w:tcW w:type="dxa" w:w="1800"/>
            <w:tcBorders>
              <w:top w:val="single" w:color="CCCCCC" w:sz="1"/>
              <w:left w:val="single" w:color="CCCCCC" w:sz="1"/>
              <w:bottom w:val="single" w:color="CCCCCC" w:sz="1"/>
              <w:right w:val="single" w:color="CCCCCC" w:sz="1"/>
            </w:tcBorders>
            <w:shd w:fill="002147" w:val="clear"/>
            <w:tcMar>
              <w:top w:type="dxa" w:w="80"/>
              <w:left w:type="dxa" w:w="140"/>
              <w:bottom w:type="dxa" w:w="80"/>
              <w:right w:type="dxa" w:w="140"/>
            </w:tcMar>
            <w:vAlign w:val="center"/>
          </w:tcPr>
          <w:p>
            <w:r>
              <w:rPr>
                <w:rFonts w:ascii="Arial" w:cs="Arial" w:eastAsia="Arial" w:hAnsi="Arial"/>
                <w:b/>
                <w:bCs/>
                <w:color w:val="FFFFFF"/>
                <w:sz w:val="20"/>
                <w:szCs w:val="20"/>
              </w:rPr>
              <w:t xml:space="preserve">Trigger</w:t>
            </w:r>
          </w:p>
        </w:tc>
        <w:tc>
          <w:tcPr>
            <w:tcW w:type="dxa" w:w="3000"/>
            <w:tcBorders>
              <w:top w:val="single" w:color="CCCCCC" w:sz="1"/>
              <w:left w:val="single" w:color="CCCCCC" w:sz="1"/>
              <w:bottom w:val="single" w:color="CCCCCC" w:sz="1"/>
              <w:right w:val="single" w:color="CCCCCC" w:sz="1"/>
            </w:tcBorders>
            <w:shd w:fill="002147" w:val="clear"/>
            <w:tcMar>
              <w:top w:type="dxa" w:w="80"/>
              <w:left w:type="dxa" w:w="140"/>
              <w:bottom w:type="dxa" w:w="80"/>
              <w:right w:type="dxa" w:w="140"/>
            </w:tcMar>
            <w:vAlign w:val="center"/>
          </w:tcPr>
          <w:p>
            <w:r>
              <w:rPr>
                <w:rFonts w:ascii="Arial" w:cs="Arial" w:eastAsia="Arial" w:hAnsi="Arial"/>
                <w:b/>
                <w:bCs/>
                <w:color w:val="FFFFFF"/>
                <w:sz w:val="20"/>
                <w:szCs w:val="20"/>
              </w:rPr>
              <w:t xml:space="preserve">Output</w:t>
            </w:r>
          </w:p>
        </w:tc>
      </w:tr>
      <w:tr>
        <w:tc>
          <w:tcPr>
            <w:tcW w:type="dxa" w:w="3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A</w:t>
            </w:r>
          </w:p>
        </w:tc>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Live Transcription</w:t>
            </w:r>
          </w:p>
        </w:tc>
        <w:tc>
          <w:tcPr>
            <w:tcW w:type="dxa" w:w="2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r>
              <w:rPr>
                <w:rFonts w:ascii="Arial" w:cs="Arial" w:eastAsia="Arial" w:hAnsi="Arial"/>
                <w:b w:val="false"/>
                <w:bCs w:val="false"/>
                <w:color w:val="6D28D9"/>
                <w:sz w:val="20"/>
                <w:szCs w:val="20"/>
              </w:rPr>
              <w:t xml:space="preserve">Groq Whisper</w:t>
            </w:r>
          </w:p>
        </w:tc>
        <w:tc>
          <w:tcPr>
            <w:tcW w:type="dxa" w:w="1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Discussion slides</w:t>
            </w:r>
          </w:p>
        </w:tc>
        <w:tc>
          <w:tcPr>
            <w:tcW w:type="dxa" w:w="3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Text stored per user per slide chunk</w:t>
            </w:r>
          </w:p>
        </w:tc>
      </w:tr>
      <w:tr>
        <w:tc>
          <w:tcPr>
            <w:tcW w:type="dxa" w:w="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B</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Bloom's Evaluation</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002147"/>
                <w:sz w:val="20"/>
                <w:szCs w:val="20"/>
              </w:rPr>
              <w:t xml:space="preserve">llama-3.3-70b</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Session end (slide 11)</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Score 0–6 per rubric with arguments and justification</w:t>
            </w:r>
          </w:p>
        </w:tc>
      </w:tr>
      <w:tr>
        <w:tc>
          <w:tcPr>
            <w:tcW w:type="dxa" w:w="3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C</w:t>
            </w:r>
          </w:p>
        </w:tc>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Session Summary</w:t>
            </w:r>
          </w:p>
        </w:tc>
        <w:tc>
          <w:tcPr>
            <w:tcW w:type="dxa" w:w="2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r>
              <w:rPr>
                <w:rFonts w:ascii="Arial" w:cs="Arial" w:eastAsia="Arial" w:hAnsi="Arial"/>
                <w:b w:val="false"/>
                <w:bCs w:val="false"/>
                <w:color w:val="16A34A"/>
                <w:sz w:val="20"/>
                <w:szCs w:val="20"/>
              </w:rPr>
              <w:t xml:space="preserve">llama-3.1-8b-instant</w:t>
            </w:r>
          </w:p>
        </w:tc>
        <w:tc>
          <w:tcPr>
            <w:tcW w:type="dxa" w:w="1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After evaluation</w:t>
            </w:r>
          </w:p>
        </w:tc>
        <w:tc>
          <w:tcPr>
            <w:tcW w:type="dxa" w:w="3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Markdown summary for instructor view</w:t>
            </w:r>
          </w:p>
        </w:tc>
      </w:tr>
      <w:tr>
        <w:tc>
          <w:tcPr>
            <w:tcW w:type="dxa" w:w="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D</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Quiz Explanations</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16A34A"/>
                <w:sz w:val="20"/>
                <w:szCs w:val="20"/>
              </w:rPr>
              <w:t xml:space="preserve">llama-3.1-8b-instant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Instructor saves question</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2–3 sentence explanation for wrong answers</w:t>
            </w:r>
          </w:p>
        </w:tc>
      </w:tr>
      <w:tr>
        <w:tc>
          <w:tcPr>
            <w:tcW w:type="dxa" w:w="3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E</w:t>
            </w:r>
          </w:p>
        </w:tc>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Video Captions</w:t>
            </w:r>
          </w:p>
        </w:tc>
        <w:tc>
          <w:tcPr>
            <w:tcW w:type="dxa" w:w="2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r>
              <w:rPr>
                <w:rFonts w:ascii="Arial" w:cs="Arial" w:eastAsia="Arial" w:hAnsi="Arial"/>
                <w:b w:val="false"/>
                <w:bCs w:val="false"/>
                <w:color w:val="6D28D9"/>
                <w:sz w:val="20"/>
                <w:szCs w:val="20"/>
              </w:rPr>
              <w:t xml:space="preserve">Groq Whisper</w:t>
            </w:r>
          </w:p>
        </w:tc>
        <w:tc>
          <w:tcPr>
            <w:tcW w:type="dxa" w:w="1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Instructor uploads video</w:t>
            </w:r>
          </w:p>
        </w:tc>
        <w:tc>
          <w:tcPr>
            <w:tcW w:type="dxa" w:w="3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Timed caption segments for accessibility</w:t>
            </w:r>
          </w:p>
        </w:tc>
      </w:tr>
      <w:tr>
        <w:tc>
          <w:tcPr>
            <w:tcW w:type="dxa" w:w="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F</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Insight Tags</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16A34A"/>
                <w:sz w:val="20"/>
                <w:szCs w:val="20"/>
              </w:rPr>
              <w:t xml:space="preserve">llama-3.1-8b-instant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After evaluation</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Theme / missed concept / strong point tags for Conversation Map</w:t>
            </w:r>
          </w:p>
        </w:tc>
      </w:tr>
    </w:tbl>
    <w:p>
      <w:pPr>
        <w:spacing w:after="0" w:before="200"/>
      </w:pPr>
      <w:r>
        <w:t xml:space="preserve"/>
      </w:r>
    </w:p>
    <w:p>
      <w:pPr>
        <w:pStyle w:val="Heading2"/>
        <w:spacing w:after="120" w:before="280"/>
      </w:pPr>
      <w:r>
        <w:rPr>
          <w:rFonts w:ascii="Arial" w:cs="Arial" w:eastAsia="Arial" w:hAnsi="Arial"/>
          <w:b/>
          <w:bCs/>
          <w:color w:val="002147"/>
          <w:sz w:val="28"/>
          <w:szCs w:val="28"/>
        </w:rPr>
        <w:t xml:space="preserve">Feature A — Live Session Transcription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002147" w:val="clear"/>
            <w:tcMar>
              <w:top w:type="dxa" w:w="80"/>
              <w:left w:type="dxa" w:w="140"/>
              <w:bottom w:type="dxa" w:w="80"/>
              <w:right w:type="dxa" w:w="140"/>
            </w:tcMar>
            <w:vAlign w:val="center"/>
          </w:tcPr>
          <w:p>
            <w:r>
              <w:rPr>
                <w:rFonts w:ascii="Arial" w:cs="Arial" w:eastAsia="Arial" w:hAnsi="Arial"/>
                <w:b/>
                <w:bCs/>
                <w:color w:val="FFFFFF"/>
                <w:sz w:val="20"/>
                <w:szCs w:val="20"/>
              </w:rPr>
              <w:t xml:space="preserve">API Route</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POST /api/groq/transcribe</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r>
              <w:rPr>
                <w:rFonts w:ascii="Arial" w:cs="Arial" w:eastAsia="Arial" w:hAnsi="Arial"/>
                <w:b/>
                <w:bCs/>
                <w:color w:val="1A1A1A"/>
                <w:sz w:val="20"/>
                <w:szCs w:val="20"/>
              </w:rPr>
              <w:t xml:space="preserve">Service Method</w:t>
            </w:r>
          </w:p>
        </w:tc>
        <w:tc>
          <w:tcPr>
            <w:tcW w:type="dxa" w:w="71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groqService.transcribeAudio(audioBlob)</w:t>
            </w:r>
          </w:p>
        </w:tc>
      </w:tr>
      <w:tr>
        <w:tc>
          <w:tcPr>
            <w:tcW w:type="dxa" w:w="2200"/>
            <w:tcBorders>
              <w:top w:val="single" w:color="CCCCCC" w:sz="1"/>
              <w:left w:val="single" w:color="CCCCCC" w:sz="1"/>
              <w:bottom w:val="single" w:color="CCCCCC" w:sz="1"/>
              <w:right w:val="single" w:color="CCCCCC" w:sz="1"/>
            </w:tcBorders>
            <w:shd w:fill="002147" w:val="clear"/>
            <w:tcMar>
              <w:top w:type="dxa" w:w="80"/>
              <w:left w:type="dxa" w:w="140"/>
              <w:bottom w:type="dxa" w:w="80"/>
              <w:right w:type="dxa" w:w="140"/>
            </w:tcMar>
            <w:vAlign w:val="center"/>
          </w:tcPr>
          <w:p>
            <w:r>
              <w:rPr>
                <w:rFonts w:ascii="Arial" w:cs="Arial" w:eastAsia="Arial" w:hAnsi="Arial"/>
                <w:b/>
                <w:bCs/>
                <w:color w:val="FFFFFF"/>
                <w:sz w:val="20"/>
                <w:szCs w:val="20"/>
              </w:rPr>
              <w:t xml:space="preserve">Model</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whisper-large-v3</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r>
              <w:rPr>
                <w:rFonts w:ascii="Arial" w:cs="Arial" w:eastAsia="Arial" w:hAnsi="Arial"/>
                <w:b/>
                <w:bCs/>
                <w:color w:val="1A1A1A"/>
                <w:sz w:val="20"/>
                <w:szCs w:val="20"/>
              </w:rPr>
              <w:t xml:space="preserve">Input</w:t>
            </w:r>
          </w:p>
        </w:tc>
        <w:tc>
          <w:tcPr>
            <w:tcW w:type="dxa" w:w="71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Audio blob (WebM, WAV, MP4 — max 25MB)</w:t>
            </w:r>
          </w:p>
        </w:tc>
      </w:tr>
      <w:tr>
        <w:tc>
          <w:tcPr>
            <w:tcW w:type="dxa" w:w="2200"/>
            <w:tcBorders>
              <w:top w:val="single" w:color="CCCCCC" w:sz="1"/>
              <w:left w:val="single" w:color="CCCCCC" w:sz="1"/>
              <w:bottom w:val="single" w:color="CCCCCC" w:sz="1"/>
              <w:right w:val="single" w:color="CCCCCC" w:sz="1"/>
            </w:tcBorders>
            <w:shd w:fill="002147" w:val="clear"/>
            <w:tcMar>
              <w:top w:type="dxa" w:w="80"/>
              <w:left w:type="dxa" w:w="140"/>
              <w:bottom w:type="dxa" w:w="80"/>
              <w:right w:type="dxa" w:w="140"/>
            </w:tcMar>
            <w:vAlign w:val="center"/>
          </w:tcPr>
          <w:p>
            <w:r>
              <w:rPr>
                <w:rFonts w:ascii="Arial" w:cs="Arial" w:eastAsia="Arial" w:hAnsi="Arial"/>
                <w:b/>
                <w:bCs/>
                <w:color w:val="FFFFFF"/>
                <w:sz w:val="20"/>
                <w:szCs w:val="20"/>
              </w:rPr>
              <w:t xml:space="preserve">Output</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 text: string } or { text, segments[] } with timestamps</w:t>
            </w:r>
          </w:p>
        </w:tc>
      </w:tr>
    </w:tbl>
    <w:p>
      <w:pPr>
        <w:spacing w:after="0" w:before="100"/>
      </w:pPr>
      <w:r>
        <w:t xml:space="preserve"/>
      </w:r>
    </w:p>
    <w:p>
      <w:pPr>
        <w:spacing w:after="80" w:before="80"/>
        <w:jc w:val="left"/>
      </w:pPr>
      <w:r>
        <w:rPr>
          <w:rFonts w:ascii="Arial" w:cs="Arial" w:eastAsia="Arial" w:hAnsi="Arial"/>
          <w:b w:val="false"/>
          <w:bCs w:val="false"/>
          <w:color w:val="1A1A1A"/>
          <w:sz w:val="22"/>
          <w:szCs w:val="22"/>
        </w:rPr>
        <w:t xml:space="preserve">How it works:</w:t>
      </w:r>
    </w:p>
    <w:p>
      <w:pPr>
        <w:pStyle w:val="ListParagraph"/>
        <w:numPr>
          <w:ilvl w:val="0"/>
          <w:numId w:val="3"/>
        </w:numPr>
        <w:spacing w:after="40" w:before="40"/>
      </w:pPr>
      <w:r>
        <w:rPr>
          <w:rFonts w:ascii="Arial" w:cs="Arial" w:eastAsia="Arial" w:hAnsi="Arial"/>
          <w:color w:val="1A1A1A"/>
          <w:sz w:val="22"/>
          <w:szCs w:val="22"/>
        </w:rPr>
        <w:t xml:space="preserve">During discussion slides (slideType 6), the browser attaches a MediaRecorder to each participant's audio track from LiveKit.</w:t>
      </w:r>
    </w:p>
    <w:p>
      <w:pPr>
        <w:pStyle w:val="ListParagraph"/>
        <w:numPr>
          <w:ilvl w:val="0"/>
          <w:numId w:val="3"/>
        </w:numPr>
        <w:spacing w:after="40" w:before="40"/>
      </w:pPr>
      <w:r>
        <w:rPr>
          <w:rFonts w:ascii="Arial" w:cs="Arial" w:eastAsia="Arial" w:hAnsi="Arial"/>
          <w:color w:val="1A1A1A"/>
          <w:sz w:val="22"/>
          <w:szCs w:val="22"/>
        </w:rPr>
        <w:t xml:space="preserve">Every 30 seconds, the recorded WebM blob is POSTed to /api/groq/transcribe.</w:t>
      </w:r>
    </w:p>
    <w:p>
      <w:pPr>
        <w:pStyle w:val="ListParagraph"/>
        <w:numPr>
          <w:ilvl w:val="0"/>
          <w:numId w:val="3"/>
        </w:numPr>
        <w:spacing w:after="40" w:before="40"/>
      </w:pPr>
      <w:r>
        <w:rPr>
          <w:rFonts w:ascii="Arial" w:cs="Arial" w:eastAsia="Arial" w:hAnsi="Arial"/>
          <w:color w:val="1A1A1A"/>
          <w:sz w:val="22"/>
          <w:szCs w:val="22"/>
        </w:rPr>
        <w:t xml:space="preserve">The server forwards it to Groq Whisper and returns the transcript text.</w:t>
      </w:r>
    </w:p>
    <w:p>
      <w:pPr>
        <w:pStyle w:val="ListParagraph"/>
        <w:numPr>
          <w:ilvl w:val="0"/>
          <w:numId w:val="3"/>
        </w:numPr>
        <w:spacing w:after="40" w:before="40"/>
      </w:pPr>
      <w:r>
        <w:rPr>
          <w:rFonts w:ascii="Arial" w:cs="Arial" w:eastAsia="Arial" w:hAnsi="Arial"/>
          <w:color w:val="1A1A1A"/>
          <w:sz w:val="22"/>
          <w:szCs w:val="22"/>
        </w:rPr>
        <w:t xml:space="preserve">Transcripts are stored and assembled per user before evaluation begins.</w:t>
      </w:r>
    </w:p>
    <w:p>
      <w:pPr>
        <w:spacing w:after="0" w:before="80"/>
      </w:pPr>
      <w:r>
        <w:t xml:space="preserve"/>
      </w:r>
    </w:p>
    <w:p>
      <w:pPr>
        <w:spacing w:after="80" w:before="80"/>
        <w:jc w:val="left"/>
      </w:pPr>
      <w:r>
        <w:rPr>
          <w:rFonts w:ascii="Arial" w:cs="Arial" w:eastAsia="Arial" w:hAnsi="Arial"/>
          <w:b w:val="false"/>
          <w:bCs w:val="false"/>
          <w:color w:val="1A1A1A"/>
          <w:sz w:val="22"/>
          <w:szCs w:val="22"/>
        </w:rPr>
        <w:t xml:space="preserve">Browser-side audio capture (attach to LiveKit participant track):</w:t>
      </w:r>
    </w:p>
    <w:p>
      <w:pPr>
        <w:shd w:fill="1E1E2E" w:val="clear"/>
        <w:spacing w:after="20" w:before="20"/>
        <w:ind w:left="360"/>
      </w:pPr>
      <w:r>
        <w:rPr>
          <w:rFonts w:ascii="Courier New" w:cs="Courier New" w:eastAsia="Courier New" w:hAnsi="Courier New"/>
          <w:color w:val="A6E3A1"/>
          <w:sz w:val="18"/>
          <w:szCs w:val="18"/>
        </w:rPr>
        <w:t xml:space="preserve">const stream = new MediaStream([audioTrack.mediaStreamTrack]);</w:t>
      </w:r>
    </w:p>
    <w:p>
      <w:pPr>
        <w:shd w:fill="1E1E2E" w:val="clear"/>
        <w:spacing w:after="20" w:before="20"/>
        <w:ind w:left="360"/>
      </w:pPr>
      <w:r>
        <w:rPr>
          <w:rFonts w:ascii="Courier New" w:cs="Courier New" w:eastAsia="Courier New" w:hAnsi="Courier New"/>
          <w:color w:val="A6E3A1"/>
          <w:sz w:val="18"/>
          <w:szCs w:val="18"/>
        </w:rPr>
        <w:t xml:space="preserve">const recorder = new MediaRecorder(stream, { mimeType: "audio/webm" });</w:t>
      </w:r>
    </w:p>
    <w:p>
      <w:pPr>
        <w:shd w:fill="1E1E2E" w:val="clear"/>
        <w:spacing w:after="20" w:before="20"/>
        <w:ind w:left="360"/>
      </w:pPr>
      <w:r>
        <w:rPr>
          <w:rFonts w:ascii="Courier New" w:cs="Courier New" w:eastAsia="Courier New" w:hAnsi="Courier New"/>
          <w:color w:val="A6E3A1"/>
          <w:sz w:val="18"/>
          <w:szCs w:val="18"/>
        </w:rPr>
        <w:t xml:space="preserve">recorder.ondataavailable = async (e) =&gt; {</w:t>
      </w:r>
    </w:p>
    <w:p>
      <w:pPr>
        <w:shd w:fill="1E1E2E" w:val="clear"/>
        <w:spacing w:after="20" w:before="20"/>
        <w:ind w:left="360"/>
      </w:pPr>
      <w:r>
        <w:rPr>
          <w:rFonts w:ascii="Courier New" w:cs="Courier New" w:eastAsia="Courier New" w:hAnsi="Courier New"/>
          <w:color w:val="A6E3A1"/>
          <w:sz w:val="18"/>
          <w:szCs w:val="18"/>
        </w:rPr>
        <w:t xml:space="preserve">  const result = await groqService.transcribeAudio(e.data);</w:t>
      </w:r>
    </w:p>
    <w:p>
      <w:pPr>
        <w:shd w:fill="1E1E2E" w:val="clear"/>
        <w:spacing w:after="20" w:before="20"/>
        <w:ind w:left="360"/>
      </w:pPr>
      <w:r>
        <w:rPr>
          <w:rFonts w:ascii="Courier New" w:cs="Courier New" w:eastAsia="Courier New" w:hAnsi="Courier New"/>
          <w:color w:val="A6E3A1"/>
          <w:sz w:val="18"/>
          <w:szCs w:val="18"/>
        </w:rPr>
        <w:t xml:space="preserve">  saveTranscriptChunk(result.text, slideId, userId);</w:t>
      </w:r>
    </w:p>
    <w:p>
      <w:pPr>
        <w:shd w:fill="1E1E2E" w:val="clear"/>
        <w:spacing w:after="20" w:before="20"/>
        <w:ind w:left="360"/>
      </w:pPr>
      <w:r>
        <w:rPr>
          <w:rFonts w:ascii="Courier New" w:cs="Courier New" w:eastAsia="Courier New" w:hAnsi="Courier New"/>
          <w:color w:val="A6E3A1"/>
          <w:sz w:val="18"/>
          <w:szCs w:val="18"/>
        </w:rPr>
        <w:t xml:space="preserve">};</w:t>
      </w:r>
    </w:p>
    <w:p>
      <w:pPr>
        <w:shd w:fill="1E1E2E" w:val="clear"/>
        <w:spacing w:after="20" w:before="20"/>
        <w:ind w:left="360"/>
      </w:pPr>
      <w:r>
        <w:rPr>
          <w:rFonts w:ascii="Courier New" w:cs="Courier New" w:eastAsia="Courier New" w:hAnsi="Courier New"/>
          <w:color w:val="A6E3A1"/>
          <w:sz w:val="18"/>
          <w:szCs w:val="18"/>
        </w:rPr>
        <w:t xml:space="preserve">recorder.start(30000); // 30-second chunks</w:t>
      </w:r>
    </w:p>
    <w:p>
      <w:pPr>
        <w:spacing w:after="0" w:before="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E87722" w:sz="12"/>
              <w:bottom w:val="single" w:color="CCCCCC" w:sz="1"/>
              <w:right w:val="single" w:color="CCCCCC" w:sz="1"/>
            </w:tcBorders>
            <w:shd w:fill="F0F4F8" w:val="clear"/>
            <w:tcMar>
              <w:top w:type="dxa" w:w="120"/>
              <w:left w:type="dxa" w:w="200"/>
              <w:bottom w:type="dxa" w:w="120"/>
              <w:right w:type="dxa" w:w="200"/>
            </w:tcMar>
          </w:tcPr>
          <w:p>
            <w:pPr>
              <w:spacing w:after="60" w:before="0"/>
            </w:pPr>
            <w:r>
              <w:rPr>
                <w:rFonts w:ascii="Arial" w:cs="Arial" w:eastAsia="Arial" w:hAnsi="Arial"/>
                <w:b/>
                <w:bCs/>
                <w:color w:val="002147"/>
                <w:sz w:val="20"/>
                <w:szCs w:val="20"/>
              </w:rPr>
              <w:t xml:space="preserve">Only record during discussion slides (slideType 6).</w:t>
            </w:r>
          </w:p>
          <w:p>
            <w:pPr>
              <w:spacing w:after="0" w:before="0"/>
            </w:pPr>
            <w:r>
              <w:rPr>
                <w:rFonts w:ascii="Arial" w:cs="Arial" w:eastAsia="Arial" w:hAnsi="Arial"/>
                <w:color w:val="1A1A1A"/>
                <w:sz w:val="20"/>
                <w:szCs w:val="20"/>
              </w:rPr>
              <w:t xml:space="preserve">Stop the recorder on slide advance. This keeps Groq audio quota usage low — you capture only the content that matters for evaluation.</w:t>
            </w:r>
          </w:p>
        </w:tc>
      </w:tr>
    </w:tbl>
    <w:p>
      <w:pPr>
        <w:spacing w:after="0" w:before="160"/>
      </w:pPr>
      <w:r>
        <w:t xml:space="preserve"/>
      </w:r>
    </w:p>
    <w:p>
      <w:pPr>
        <w:pStyle w:val="Heading2"/>
        <w:spacing w:after="120" w:before="280"/>
      </w:pPr>
      <w:r>
        <w:rPr>
          <w:rFonts w:ascii="Arial" w:cs="Arial" w:eastAsia="Arial" w:hAnsi="Arial"/>
          <w:b/>
          <w:bCs/>
          <w:color w:val="002147"/>
          <w:sz w:val="28"/>
          <w:szCs w:val="28"/>
        </w:rPr>
        <w:t xml:space="preserve">Feature B — Bloom's Taxonomy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002147" w:val="clear"/>
            <w:tcMar>
              <w:top w:type="dxa" w:w="80"/>
              <w:left w:type="dxa" w:w="140"/>
              <w:bottom w:type="dxa" w:w="80"/>
              <w:right w:type="dxa" w:w="140"/>
            </w:tcMar>
            <w:vAlign w:val="center"/>
          </w:tcPr>
          <w:p>
            <w:r>
              <w:rPr>
                <w:rFonts w:ascii="Arial" w:cs="Arial" w:eastAsia="Arial" w:hAnsi="Arial"/>
                <w:b/>
                <w:bCs/>
                <w:color w:val="FFFFFF"/>
                <w:sz w:val="20"/>
                <w:szCs w:val="20"/>
              </w:rPr>
              <w:t xml:space="preserve">API Route</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POST /api/groq/evaluate</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r>
              <w:rPr>
                <w:rFonts w:ascii="Arial" w:cs="Arial" w:eastAsia="Arial" w:hAnsi="Arial"/>
                <w:b/>
                <w:bCs/>
                <w:color w:val="1A1A1A"/>
                <w:sz w:val="20"/>
                <w:szCs w:val="20"/>
              </w:rPr>
              <w:t xml:space="preserve">Service Method</w:t>
            </w:r>
          </w:p>
        </w:tc>
        <w:tc>
          <w:tcPr>
            <w:tcW w:type="dxa" w:w="71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groqService.evaluateBloomsLevel(...)</w:t>
            </w:r>
          </w:p>
        </w:tc>
      </w:tr>
      <w:tr>
        <w:tc>
          <w:tcPr>
            <w:tcW w:type="dxa" w:w="2200"/>
            <w:tcBorders>
              <w:top w:val="single" w:color="CCCCCC" w:sz="1"/>
              <w:left w:val="single" w:color="CCCCCC" w:sz="1"/>
              <w:bottom w:val="single" w:color="CCCCCC" w:sz="1"/>
              <w:right w:val="single" w:color="CCCCCC" w:sz="1"/>
            </w:tcBorders>
            <w:shd w:fill="002147" w:val="clear"/>
            <w:tcMar>
              <w:top w:type="dxa" w:w="80"/>
              <w:left w:type="dxa" w:w="140"/>
              <w:bottom w:type="dxa" w:w="80"/>
              <w:right w:type="dxa" w:w="140"/>
            </w:tcMar>
            <w:vAlign w:val="center"/>
          </w:tcPr>
          <w:p>
            <w:r>
              <w:rPr>
                <w:rFonts w:ascii="Arial" w:cs="Arial" w:eastAsia="Arial" w:hAnsi="Arial"/>
                <w:b/>
                <w:bCs/>
                <w:color w:val="FFFFFF"/>
                <w:sz w:val="20"/>
                <w:szCs w:val="20"/>
              </w:rPr>
              <w:t xml:space="preserve">Model</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llama-3.3-70b-versatile (strongest reasoning)</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r>
              <w:rPr>
                <w:rFonts w:ascii="Arial" w:cs="Arial" w:eastAsia="Arial" w:hAnsi="Arial"/>
                <w:b/>
                <w:bCs/>
                <w:color w:val="1A1A1A"/>
                <w:sz w:val="20"/>
                <w:szCs w:val="20"/>
              </w:rPr>
              <w:t xml:space="preserve">Trigger</w:t>
            </w:r>
          </w:p>
        </w:tc>
        <w:tc>
          <w:tcPr>
            <w:tcW w:type="dxa" w:w="71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Session slide advances to slideType 11 (processingData)</w:t>
            </w:r>
          </w:p>
        </w:tc>
      </w:tr>
      <w:tr>
        <w:tc>
          <w:tcPr>
            <w:tcW w:type="dxa" w:w="2200"/>
            <w:tcBorders>
              <w:top w:val="single" w:color="CCCCCC" w:sz="1"/>
              <w:left w:val="single" w:color="CCCCCC" w:sz="1"/>
              <w:bottom w:val="single" w:color="CCCCCC" w:sz="1"/>
              <w:right w:val="single" w:color="CCCCCC" w:sz="1"/>
            </w:tcBorders>
            <w:shd w:fill="002147" w:val="clear"/>
            <w:tcMar>
              <w:top w:type="dxa" w:w="80"/>
              <w:left w:type="dxa" w:w="140"/>
              <w:bottom w:type="dxa" w:w="80"/>
              <w:right w:type="dxa" w:w="140"/>
            </w:tcMar>
            <w:vAlign w:val="center"/>
          </w:tcPr>
          <w:p>
            <w:r>
              <w:rPr>
                <w:rFonts w:ascii="Arial" w:cs="Arial" w:eastAsia="Arial" w:hAnsi="Arial"/>
                <w:b/>
                <w:bCs/>
                <w:color w:val="FFFFFF"/>
                <w:sz w:val="20"/>
                <w:szCs w:val="20"/>
              </w:rPr>
              <w:t xml:space="preserve">Output</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Per rubric: score (0–6), scoreLabel, arguments[], justification</w:t>
            </w:r>
          </w:p>
        </w:tc>
      </w:tr>
    </w:tbl>
    <w:p>
      <w:pPr>
        <w:spacing w:after="0" w:before="100"/>
      </w:pPr>
      <w:r>
        <w:t xml:space="preserve"/>
      </w:r>
    </w:p>
    <w:p>
      <w:pPr>
        <w:spacing w:after="80" w:before="80"/>
        <w:jc w:val="left"/>
      </w:pPr>
      <w:r>
        <w:rPr>
          <w:rFonts w:ascii="Arial" w:cs="Arial" w:eastAsia="Arial" w:hAnsi="Arial"/>
          <w:b w:val="false"/>
          <w:bCs w:val="false"/>
          <w:color w:val="1A1A1A"/>
          <w:sz w:val="22"/>
          <w:szCs w:val="22"/>
        </w:rPr>
        <w:t xml:space="preserve">Bloom's Taxonomy score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2320"/>
        <w:gridCol w:w="6000"/>
      </w:tblGrid>
      <w:tr>
        <w:tc>
          <w:tcPr>
            <w:tcW w:type="dxa" w:w="1040"/>
            <w:tcBorders>
              <w:top w:val="single" w:color="CCCCCC" w:sz="1"/>
              <w:left w:val="single" w:color="CCCCCC" w:sz="1"/>
              <w:bottom w:val="single" w:color="CCCCCC" w:sz="1"/>
              <w:right w:val="single" w:color="CCCCCC" w:sz="1"/>
            </w:tcBorders>
            <w:shd w:fill="002147" w:val="clear"/>
            <w:tcMar>
              <w:top w:type="dxa" w:w="80"/>
              <w:left w:type="dxa" w:w="140"/>
              <w:bottom w:type="dxa" w:w="80"/>
              <w:right w:type="dxa" w:w="140"/>
            </w:tcMar>
            <w:vAlign w:val="center"/>
          </w:tcPr>
          <w:p>
            <w:r>
              <w:rPr>
                <w:rFonts w:ascii="Arial" w:cs="Arial" w:eastAsia="Arial" w:hAnsi="Arial"/>
                <w:b/>
                <w:bCs/>
                <w:color w:val="FFFFFF"/>
                <w:sz w:val="20"/>
                <w:szCs w:val="20"/>
              </w:rPr>
              <w:t xml:space="preserve">Score</w:t>
            </w:r>
          </w:p>
        </w:tc>
        <w:tc>
          <w:tcPr>
            <w:tcW w:type="dxa" w:w="2320"/>
            <w:tcBorders>
              <w:top w:val="single" w:color="CCCCCC" w:sz="1"/>
              <w:left w:val="single" w:color="CCCCCC" w:sz="1"/>
              <w:bottom w:val="single" w:color="CCCCCC" w:sz="1"/>
              <w:right w:val="single" w:color="CCCCCC" w:sz="1"/>
            </w:tcBorders>
            <w:shd w:fill="002147" w:val="clear"/>
            <w:tcMar>
              <w:top w:type="dxa" w:w="80"/>
              <w:left w:type="dxa" w:w="140"/>
              <w:bottom w:type="dxa" w:w="80"/>
              <w:right w:type="dxa" w:w="140"/>
            </w:tcMar>
            <w:vAlign w:val="center"/>
          </w:tcPr>
          <w:p>
            <w:r>
              <w:rPr>
                <w:rFonts w:ascii="Arial" w:cs="Arial" w:eastAsia="Arial" w:hAnsi="Arial"/>
                <w:b/>
                <w:bCs/>
                <w:color w:val="FFFFFF"/>
                <w:sz w:val="20"/>
                <w:szCs w:val="20"/>
              </w:rPr>
              <w:t xml:space="preserve">Level</w:t>
            </w:r>
          </w:p>
        </w:tc>
        <w:tc>
          <w:tcPr>
            <w:tcW w:type="dxa" w:w="6000"/>
            <w:tcBorders>
              <w:top w:val="single" w:color="CCCCCC" w:sz="1"/>
              <w:left w:val="single" w:color="CCCCCC" w:sz="1"/>
              <w:bottom w:val="single" w:color="CCCCCC" w:sz="1"/>
              <w:right w:val="single" w:color="CCCCCC" w:sz="1"/>
            </w:tcBorders>
            <w:shd w:fill="002147" w:val="clear"/>
            <w:tcMar>
              <w:top w:type="dxa" w:w="80"/>
              <w:left w:type="dxa" w:w="140"/>
              <w:bottom w:type="dxa" w:w="80"/>
              <w:right w:type="dxa" w:w="140"/>
            </w:tcMar>
            <w:vAlign w:val="center"/>
          </w:tcPr>
          <w:p>
            <w:r>
              <w:rPr>
                <w:rFonts w:ascii="Arial" w:cs="Arial" w:eastAsia="Arial" w:hAnsi="Arial"/>
                <w:b/>
                <w:bCs/>
                <w:color w:val="FFFFFF"/>
                <w:sz w:val="20"/>
                <w:szCs w:val="20"/>
              </w:rPr>
              <w:t xml:space="preserve">Meaning</w:t>
            </w:r>
          </w:p>
        </w:tc>
      </w:tr>
      <w:tr>
        <w:tc>
          <w:tcPr>
            <w:tcW w:type="dxa" w:w="104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0</w:t>
            </w:r>
          </w:p>
        </w:tc>
        <w:tc>
          <w:tcPr>
            <w:tcW w:type="dxa" w:w="232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Did Not Discuss</w:t>
            </w:r>
          </w:p>
        </w:tc>
        <w:tc>
          <w:tcPr>
            <w:tcW w:type="dxa" w:w="6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Topic not mentioned at all</w:t>
            </w:r>
          </w:p>
        </w:tc>
      </w:tr>
      <w:tr>
        <w:tc>
          <w:tcPr>
            <w:tcW w:type="dxa" w:w="10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1</w:t>
            </w:r>
          </w:p>
        </w:tc>
        <w:tc>
          <w:tcPr>
            <w:tcW w:type="dxa" w:w="23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Remembering</w:t>
            </w:r>
          </w:p>
        </w:tc>
        <w:tc>
          <w:tcPr>
            <w:tcW w:type="dxa" w:w="6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Recalled or listed facts without explanation</w:t>
            </w:r>
          </w:p>
        </w:tc>
      </w:tr>
      <w:tr>
        <w:tc>
          <w:tcPr>
            <w:tcW w:type="dxa" w:w="104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2</w:t>
            </w:r>
          </w:p>
        </w:tc>
        <w:tc>
          <w:tcPr>
            <w:tcW w:type="dxa" w:w="232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Understanding</w:t>
            </w:r>
          </w:p>
        </w:tc>
        <w:tc>
          <w:tcPr>
            <w:tcW w:type="dxa" w:w="6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Explained concepts in own words</w:t>
            </w:r>
          </w:p>
        </w:tc>
      </w:tr>
      <w:tr>
        <w:tc>
          <w:tcPr>
            <w:tcW w:type="dxa" w:w="10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3</w:t>
            </w:r>
          </w:p>
        </w:tc>
        <w:tc>
          <w:tcPr>
            <w:tcW w:type="dxa" w:w="23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Applying</w:t>
            </w:r>
          </w:p>
        </w:tc>
        <w:tc>
          <w:tcPr>
            <w:tcW w:type="dxa" w:w="6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Used concepts to address the case situation</w:t>
            </w:r>
          </w:p>
        </w:tc>
      </w:tr>
      <w:tr>
        <w:tc>
          <w:tcPr>
            <w:tcW w:type="dxa" w:w="104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4</w:t>
            </w:r>
          </w:p>
        </w:tc>
        <w:tc>
          <w:tcPr>
            <w:tcW w:type="dxa" w:w="232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Analysing</w:t>
            </w:r>
          </w:p>
        </w:tc>
        <w:tc>
          <w:tcPr>
            <w:tcW w:type="dxa" w:w="6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Broke down components, compared options, identified causes</w:t>
            </w:r>
          </w:p>
        </w:tc>
      </w:tr>
      <w:tr>
        <w:tc>
          <w:tcPr>
            <w:tcW w:type="dxa" w:w="10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5</w:t>
            </w:r>
          </w:p>
        </w:tc>
        <w:tc>
          <w:tcPr>
            <w:tcW w:type="dxa" w:w="23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Evaluating</w:t>
            </w:r>
          </w:p>
        </w:tc>
        <w:tc>
          <w:tcPr>
            <w:tcW w:type="dxa" w:w="6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Made judgements, critiques, or justified recommendations</w:t>
            </w:r>
          </w:p>
        </w:tc>
      </w:tr>
      <w:tr>
        <w:tc>
          <w:tcPr>
            <w:tcW w:type="dxa" w:w="104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6</w:t>
            </w:r>
          </w:p>
        </w:tc>
        <w:tc>
          <w:tcPr>
            <w:tcW w:type="dxa" w:w="232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Creating</w:t>
            </w:r>
          </w:p>
        </w:tc>
        <w:tc>
          <w:tcPr>
            <w:tcW w:type="dxa" w:w="6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Proposed novel solutions, frameworks, or original synthesis</w:t>
            </w:r>
          </w:p>
        </w:tc>
      </w:tr>
    </w:tbl>
    <w:p>
      <w:pPr>
        <w:spacing w:after="0" w:before="120"/>
      </w:pPr>
      <w:r>
        <w:t xml:space="preserve"/>
      </w:r>
    </w:p>
    <w:p>
      <w:pPr>
        <w:pStyle w:val="Heading2"/>
        <w:spacing w:after="120" w:before="280"/>
      </w:pPr>
      <w:r>
        <w:rPr>
          <w:rFonts w:ascii="Arial" w:cs="Arial" w:eastAsia="Arial" w:hAnsi="Arial"/>
          <w:b/>
          <w:bCs/>
          <w:color w:val="002147"/>
          <w:sz w:val="28"/>
          <w:szCs w:val="28"/>
        </w:rPr>
        <w:t xml:space="preserve">Feature C — Session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002147" w:val="clear"/>
            <w:tcMar>
              <w:top w:type="dxa" w:w="80"/>
              <w:left w:type="dxa" w:w="140"/>
              <w:bottom w:type="dxa" w:w="80"/>
              <w:right w:type="dxa" w:w="140"/>
            </w:tcMar>
            <w:vAlign w:val="center"/>
          </w:tcPr>
          <w:p>
            <w:r>
              <w:rPr>
                <w:rFonts w:ascii="Arial" w:cs="Arial" w:eastAsia="Arial" w:hAnsi="Arial"/>
                <w:b/>
                <w:bCs/>
                <w:color w:val="FFFFFF"/>
                <w:sz w:val="20"/>
                <w:szCs w:val="20"/>
              </w:rPr>
              <w:t xml:space="preserve">API Route</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POST /api/groq/summarize  (type: "full" or "quick")</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r>
              <w:rPr>
                <w:rFonts w:ascii="Arial" w:cs="Arial" w:eastAsia="Arial" w:hAnsi="Arial"/>
                <w:b/>
                <w:bCs/>
                <w:color w:val="1A1A1A"/>
                <w:sz w:val="20"/>
                <w:szCs w:val="20"/>
              </w:rPr>
              <w:t xml:space="preserve">Service Method</w:t>
            </w:r>
          </w:p>
        </w:tc>
        <w:tc>
          <w:tcPr>
            <w:tcW w:type="dxa" w:w="71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groqService.generateMeetingSummaries()  /  generateQuickSummary()</w:t>
            </w:r>
          </w:p>
        </w:tc>
      </w:tr>
      <w:tr>
        <w:tc>
          <w:tcPr>
            <w:tcW w:type="dxa" w:w="2200"/>
            <w:tcBorders>
              <w:top w:val="single" w:color="CCCCCC" w:sz="1"/>
              <w:left w:val="single" w:color="CCCCCC" w:sz="1"/>
              <w:bottom w:val="single" w:color="CCCCCC" w:sz="1"/>
              <w:right w:val="single" w:color="CCCCCC" w:sz="1"/>
            </w:tcBorders>
            <w:shd w:fill="002147" w:val="clear"/>
            <w:tcMar>
              <w:top w:type="dxa" w:w="80"/>
              <w:left w:type="dxa" w:w="140"/>
              <w:bottom w:type="dxa" w:w="80"/>
              <w:right w:type="dxa" w:w="140"/>
            </w:tcMar>
            <w:vAlign w:val="center"/>
          </w:tcPr>
          <w:p>
            <w:r>
              <w:rPr>
                <w:rFonts w:ascii="Arial" w:cs="Arial" w:eastAsia="Arial" w:hAnsi="Arial"/>
                <w:b/>
                <w:bCs/>
                <w:color w:val="FFFFFF"/>
                <w:sz w:val="20"/>
                <w:szCs w:val="20"/>
              </w:rPr>
              <w:t xml:space="preserve">Model</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llama-3.1-8b-instant</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r>
              <w:rPr>
                <w:rFonts w:ascii="Arial" w:cs="Arial" w:eastAsia="Arial" w:hAnsi="Arial"/>
                <w:b/>
                <w:bCs/>
                <w:color w:val="1A1A1A"/>
                <w:sz w:val="20"/>
                <w:szCs w:val="20"/>
              </w:rPr>
              <w:t xml:space="preserve">Output</w:t>
            </w:r>
          </w:p>
        </w:tc>
        <w:tc>
          <w:tcPr>
            <w:tcW w:type="dxa" w:w="71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Participant summary, coach summary, admin summary (matches openai.service.ts interface)</w:t>
            </w:r>
          </w:p>
        </w:tc>
      </w:tr>
    </w:tbl>
    <w:p>
      <w:pPr>
        <w:spacing w:after="0" w:before="100"/>
      </w:pPr>
      <w:r>
        <w:t xml:space="preserve"/>
      </w:r>
    </w:p>
    <w:p>
      <w:pPr>
        <w:spacing w:after="80" w:before="80"/>
        <w:jc w:val="left"/>
      </w:pPr>
      <w:r>
        <w:rPr>
          <w:rFonts w:ascii="Arial" w:cs="Arial" w:eastAsia="Arial" w:hAnsi="Arial"/>
          <w:b w:val="false"/>
          <w:bCs w:val="false"/>
          <w:color w:val="1A1A1A"/>
          <w:sz w:val="22"/>
          <w:szCs w:val="22"/>
        </w:rPr>
        <w:t xml:space="preserve">The full summary runs three Groq calls in parallel to match the exact same interface as the previous openai.service.ts. Existing components that called openaiService.generateMeetingSummaries() can switch to groqService.generateMeetingSummaries() with no other changes.</w:t>
      </w:r>
    </w:p>
    <w:p>
      <w:pPr>
        <w:spacing w:after="0" w:before="160"/>
      </w:pPr>
      <w:r>
        <w:t xml:space="preserve"/>
      </w:r>
    </w:p>
    <w:p>
      <w:pPr>
        <w:pStyle w:val="Heading2"/>
        <w:spacing w:after="120" w:before="280"/>
      </w:pPr>
      <w:r>
        <w:rPr>
          <w:rFonts w:ascii="Arial" w:cs="Arial" w:eastAsia="Arial" w:hAnsi="Arial"/>
          <w:b/>
          <w:bCs/>
          <w:color w:val="002147"/>
          <w:sz w:val="28"/>
          <w:szCs w:val="28"/>
        </w:rPr>
        <w:t xml:space="preserve">Feature D — Quiz Explanation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002147" w:val="clear"/>
            <w:tcMar>
              <w:top w:type="dxa" w:w="80"/>
              <w:left w:type="dxa" w:w="140"/>
              <w:bottom w:type="dxa" w:w="80"/>
              <w:right w:type="dxa" w:w="140"/>
            </w:tcMar>
            <w:vAlign w:val="center"/>
          </w:tcPr>
          <w:p>
            <w:r>
              <w:rPr>
                <w:rFonts w:ascii="Arial" w:cs="Arial" w:eastAsia="Arial" w:hAnsi="Arial"/>
                <w:b/>
                <w:bCs/>
                <w:color w:val="FFFFFF"/>
                <w:sz w:val="20"/>
                <w:szCs w:val="20"/>
              </w:rPr>
              <w:t xml:space="preserve">API Route</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POST /api/groq/explain</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r>
              <w:rPr>
                <w:rFonts w:ascii="Arial" w:cs="Arial" w:eastAsia="Arial" w:hAnsi="Arial"/>
                <w:b/>
                <w:bCs/>
                <w:color w:val="1A1A1A"/>
                <w:sz w:val="20"/>
                <w:szCs w:val="20"/>
              </w:rPr>
              <w:t xml:space="preserve">Service Method</w:t>
            </w:r>
          </w:p>
        </w:tc>
        <w:tc>
          <w:tcPr>
            <w:tcW w:type="dxa" w:w="71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groqService.generateQuizExplanation(...)</w:t>
            </w:r>
          </w:p>
        </w:tc>
      </w:tr>
      <w:tr>
        <w:tc>
          <w:tcPr>
            <w:tcW w:type="dxa" w:w="2200"/>
            <w:tcBorders>
              <w:top w:val="single" w:color="CCCCCC" w:sz="1"/>
              <w:left w:val="single" w:color="CCCCCC" w:sz="1"/>
              <w:bottom w:val="single" w:color="CCCCCC" w:sz="1"/>
              <w:right w:val="single" w:color="CCCCCC" w:sz="1"/>
            </w:tcBorders>
            <w:shd w:fill="002147" w:val="clear"/>
            <w:tcMar>
              <w:top w:type="dxa" w:w="80"/>
              <w:left w:type="dxa" w:w="140"/>
              <w:bottom w:type="dxa" w:w="80"/>
              <w:right w:type="dxa" w:w="140"/>
            </w:tcMar>
            <w:vAlign w:val="center"/>
          </w:tcPr>
          <w:p>
            <w:r>
              <w:rPr>
                <w:rFonts w:ascii="Arial" w:cs="Arial" w:eastAsia="Arial" w:hAnsi="Arial"/>
                <w:b/>
                <w:bCs/>
                <w:color w:val="FFFFFF"/>
                <w:sz w:val="20"/>
                <w:szCs w:val="20"/>
              </w:rPr>
              <w:t xml:space="preserve">Trigger</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Instructor creates or edits a quiz question in the admin panel</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r>
              <w:rPr>
                <w:rFonts w:ascii="Arial" w:cs="Arial" w:eastAsia="Arial" w:hAnsi="Arial"/>
                <w:b/>
                <w:bCs/>
                <w:color w:val="1A1A1A"/>
                <w:sz w:val="20"/>
                <w:szCs w:val="20"/>
              </w:rPr>
              <w:t xml:space="preserve">Output</w:t>
            </w:r>
          </w:p>
        </w:tc>
        <w:tc>
          <w:tcPr>
            <w:tcW w:type="dxa" w:w="71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2–3 sentence explanation shown to students who answer incorrectly</w:t>
            </w:r>
          </w:p>
        </w:tc>
      </w:tr>
    </w:tbl>
    <w:p>
      <w:pPr>
        <w:spacing w:after="0" w:before="100"/>
      </w:pPr>
      <w:r>
        <w:t xml:space="preserve"/>
      </w:r>
    </w:p>
    <w:p>
      <w:pPr>
        <w:spacing w:after="80" w:before="80"/>
        <w:jc w:val="left"/>
      </w:pPr>
      <w:r>
        <w:rPr>
          <w:rFonts w:ascii="Arial" w:cs="Arial" w:eastAsia="Arial" w:hAnsi="Arial"/>
          <w:b w:val="false"/>
          <w:bCs w:val="false"/>
          <w:color w:val="1A1A1A"/>
          <w:sz w:val="22"/>
          <w:szCs w:val="22"/>
        </w:rPr>
        <w:t xml:space="preserve">Add a "Generate Explanation" button next to the explanation field in the question editor:</w:t>
      </w:r>
    </w:p>
    <w:p>
      <w:pPr>
        <w:shd w:fill="1E1E2E" w:val="clear"/>
        <w:spacing w:after="20" w:before="20"/>
        <w:ind w:left="360"/>
      </w:pPr>
      <w:r>
        <w:rPr>
          <w:rFonts w:ascii="Courier New" w:cs="Courier New" w:eastAsia="Courier New" w:hAnsi="Courier New"/>
          <w:color w:val="A6E3A1"/>
          <w:sz w:val="18"/>
          <w:szCs w:val="18"/>
        </w:rPr>
        <w:t xml:space="preserve">const explanation = await groqService.generateQuizExplanation(</w:t>
      </w:r>
    </w:p>
    <w:p>
      <w:pPr>
        <w:shd w:fill="1E1E2E" w:val="clear"/>
        <w:spacing w:after="20" w:before="20"/>
        <w:ind w:left="360"/>
      </w:pPr>
      <w:r>
        <w:rPr>
          <w:rFonts w:ascii="Courier New" w:cs="Courier New" w:eastAsia="Courier New" w:hAnsi="Courier New"/>
          <w:color w:val="A6E3A1"/>
          <w:sz w:val="18"/>
          <w:szCs w:val="18"/>
        </w:rPr>
        <w:t xml:space="preserve">  questionText,</w:t>
      </w:r>
    </w:p>
    <w:p>
      <w:pPr>
        <w:shd w:fill="1E1E2E" w:val="clear"/>
        <w:spacing w:after="20" w:before="20"/>
        <w:ind w:left="360"/>
      </w:pPr>
      <w:r>
        <w:rPr>
          <w:rFonts w:ascii="Courier New" w:cs="Courier New" w:eastAsia="Courier New" w:hAnsi="Courier New"/>
          <w:color w:val="A6E3A1"/>
          <w:sz w:val="18"/>
          <w:szCs w:val="18"/>
        </w:rPr>
        <w:t xml:space="preserve">  correctAnswer,</w:t>
      </w:r>
    </w:p>
    <w:p>
      <w:pPr>
        <w:shd w:fill="1E1E2E" w:val="clear"/>
        <w:spacing w:after="20" w:before="20"/>
        <w:ind w:left="360"/>
      </w:pPr>
      <w:r>
        <w:rPr>
          <w:rFonts w:ascii="Courier New" w:cs="Courier New" w:eastAsia="Courier New" w:hAnsi="Courier New"/>
          <w:color w:val="A6E3A1"/>
          <w:sz w:val="18"/>
          <w:szCs w:val="18"/>
        </w:rPr>
        <w:t xml:space="preserve">  wrongAnswers,</w:t>
      </w:r>
    </w:p>
    <w:p>
      <w:pPr>
        <w:shd w:fill="1E1E2E" w:val="clear"/>
        <w:spacing w:after="20" w:before="20"/>
        <w:ind w:left="360"/>
      </w:pPr>
      <w:r>
        <w:rPr>
          <w:rFonts w:ascii="Courier New" w:cs="Courier New" w:eastAsia="Courier New" w:hAnsi="Courier New"/>
          <w:color w:val="A6E3A1"/>
          <w:sz w:val="18"/>
          <w:szCs w:val="18"/>
        </w:rPr>
        <w:t xml:space="preserve">  experienceName,</w:t>
      </w:r>
    </w:p>
    <w:p>
      <w:pPr>
        <w:shd w:fill="1E1E2E" w:val="clear"/>
        <w:spacing w:after="20" w:before="20"/>
        <w:ind w:left="360"/>
      </w:pPr>
      <w:r>
        <w:rPr>
          <w:rFonts w:ascii="Courier New" w:cs="Courier New" w:eastAsia="Courier New" w:hAnsi="Courier New"/>
          <w:color w:val="A6E3A1"/>
          <w:sz w:val="18"/>
          <w:szCs w:val="18"/>
        </w:rPr>
        <w:t xml:space="preserve">);</w:t>
      </w:r>
    </w:p>
    <w:p>
      <w:pPr>
        <w:spacing w:after="0" w:before="160"/>
      </w:pPr>
      <w:r>
        <w:t xml:space="preserve"/>
      </w:r>
    </w:p>
    <w:p>
      <w:pPr>
        <w:pStyle w:val="Heading2"/>
        <w:spacing w:after="120" w:before="280"/>
      </w:pPr>
      <w:r>
        <w:rPr>
          <w:rFonts w:ascii="Arial" w:cs="Arial" w:eastAsia="Arial" w:hAnsi="Arial"/>
          <w:b/>
          <w:bCs/>
          <w:color w:val="002147"/>
          <w:sz w:val="28"/>
          <w:szCs w:val="28"/>
        </w:rPr>
        <w:t xml:space="preserve">Feature E — Video Caption Seeding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002147" w:val="clear"/>
            <w:tcMar>
              <w:top w:type="dxa" w:w="80"/>
              <w:left w:type="dxa" w:w="140"/>
              <w:bottom w:type="dxa" w:w="80"/>
              <w:right w:type="dxa" w:w="140"/>
            </w:tcMar>
            <w:vAlign w:val="center"/>
          </w:tcPr>
          <w:p>
            <w:r>
              <w:rPr>
                <w:rFonts w:ascii="Arial" w:cs="Arial" w:eastAsia="Arial" w:hAnsi="Arial"/>
                <w:b/>
                <w:bCs/>
                <w:color w:val="FFFFFF"/>
                <w:sz w:val="20"/>
                <w:szCs w:val="20"/>
              </w:rPr>
              <w:t xml:space="preserve">API Route</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POST /api/groq/transcribe  (timestamps: "true")</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r>
              <w:rPr>
                <w:rFonts w:ascii="Arial" w:cs="Arial" w:eastAsia="Arial" w:hAnsi="Arial"/>
                <w:b/>
                <w:bCs/>
                <w:color w:val="1A1A1A"/>
                <w:sz w:val="20"/>
                <w:szCs w:val="20"/>
              </w:rPr>
              <w:t xml:space="preserve">Service Method</w:t>
            </w:r>
          </w:p>
        </w:tc>
        <w:tc>
          <w:tcPr>
            <w:tcW w:type="dxa" w:w="71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groqService.transcribeAudio(file)  with timestamps flag</w:t>
            </w:r>
          </w:p>
        </w:tc>
      </w:tr>
      <w:tr>
        <w:tc>
          <w:tcPr>
            <w:tcW w:type="dxa" w:w="2200"/>
            <w:tcBorders>
              <w:top w:val="single" w:color="CCCCCC" w:sz="1"/>
              <w:left w:val="single" w:color="CCCCCC" w:sz="1"/>
              <w:bottom w:val="single" w:color="CCCCCC" w:sz="1"/>
              <w:right w:val="single" w:color="CCCCCC" w:sz="1"/>
            </w:tcBorders>
            <w:shd w:fill="002147" w:val="clear"/>
            <w:tcMar>
              <w:top w:type="dxa" w:w="80"/>
              <w:left w:type="dxa" w:w="140"/>
              <w:bottom w:type="dxa" w:w="80"/>
              <w:right w:type="dxa" w:w="140"/>
            </w:tcMar>
            <w:vAlign w:val="center"/>
          </w:tcPr>
          <w:p>
            <w:r>
              <w:rPr>
                <w:rFonts w:ascii="Arial" w:cs="Arial" w:eastAsia="Arial" w:hAnsi="Arial"/>
                <w:b/>
                <w:bCs/>
                <w:color w:val="FFFFFF"/>
                <w:sz w:val="20"/>
                <w:szCs w:val="20"/>
              </w:rPr>
              <w:t xml:space="preserve">Input</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Video file (MP4, WebM — max 25MB per request)</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r>
              <w:rPr>
                <w:rFonts w:ascii="Arial" w:cs="Arial" w:eastAsia="Arial" w:hAnsi="Arial"/>
                <w:b/>
                <w:bCs/>
                <w:color w:val="1A1A1A"/>
                <w:sz w:val="20"/>
                <w:szCs w:val="20"/>
              </w:rPr>
              <w:t xml:space="preserve">Output</w:t>
            </w:r>
          </w:p>
        </w:tc>
        <w:tc>
          <w:tcPr>
            <w:tcW w:type="dxa" w:w="71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Array of { text, start, end } segments matching the slide_captions schema</w:t>
            </w:r>
          </w:p>
        </w:tc>
      </w:tr>
    </w:tbl>
    <w:p>
      <w:pPr>
        <w:spacing w:after="0" w:before="100"/>
      </w:pPr>
      <w:r>
        <w:t xml:space="preserve"/>
      </w:r>
    </w:p>
    <w:p>
      <w:pPr>
        <w:spacing w:after="80" w:before="80"/>
        <w:jc w:val="left"/>
      </w:pPr>
      <w:r>
        <w:rPr>
          <w:rFonts w:ascii="Arial" w:cs="Arial" w:eastAsia="Arial" w:hAnsi="Arial"/>
          <w:b w:val="false"/>
          <w:bCs w:val="false"/>
          <w:color w:val="1A1A1A"/>
          <w:sz w:val="22"/>
          <w:szCs w:val="22"/>
        </w:rPr>
        <w:t xml:space="preserve">When an instructor uploads a video to a slide, pass timestamps: "true" in the form data to receive timed segments. These map directly to slide_captions records (caption, start_time, end_time).</w:t>
      </w:r>
    </w:p>
    <w:p>
      <w:pPr>
        <w:spacing w:after="0" w:before="160"/>
      </w:pPr>
      <w:r>
        <w:t xml:space="preserve"/>
      </w:r>
    </w:p>
    <w:p>
      <w:pPr>
        <w:pStyle w:val="Heading2"/>
        <w:spacing w:after="120" w:before="280"/>
      </w:pPr>
      <w:r>
        <w:rPr>
          <w:rFonts w:ascii="Arial" w:cs="Arial" w:eastAsia="Arial" w:hAnsi="Arial"/>
          <w:b/>
          <w:bCs/>
          <w:color w:val="002147"/>
          <w:sz w:val="28"/>
          <w:szCs w:val="28"/>
        </w:rPr>
        <w:t xml:space="preserve">Feature F — Conversation Insight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002147" w:val="clear"/>
            <w:tcMar>
              <w:top w:type="dxa" w:w="80"/>
              <w:left w:type="dxa" w:w="140"/>
              <w:bottom w:type="dxa" w:w="80"/>
              <w:right w:type="dxa" w:w="140"/>
            </w:tcMar>
            <w:vAlign w:val="center"/>
          </w:tcPr>
          <w:p>
            <w:r>
              <w:rPr>
                <w:rFonts w:ascii="Arial" w:cs="Arial" w:eastAsia="Arial" w:hAnsi="Arial"/>
                <w:b/>
                <w:bCs/>
                <w:color w:val="FFFFFF"/>
                <w:sz w:val="20"/>
                <w:szCs w:val="20"/>
              </w:rPr>
              <w:t xml:space="preserve">API Route</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POST /api/groq/insights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r>
              <w:rPr>
                <w:rFonts w:ascii="Arial" w:cs="Arial" w:eastAsia="Arial" w:hAnsi="Arial"/>
                <w:b/>
                <w:bCs/>
                <w:color w:val="1A1A1A"/>
                <w:sz w:val="20"/>
                <w:szCs w:val="20"/>
              </w:rPr>
              <w:t xml:space="preserve">Service Method</w:t>
            </w:r>
          </w:p>
        </w:tc>
        <w:tc>
          <w:tcPr>
            <w:tcW w:type="dxa" w:w="71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groqService.generateInsightTags(transcript, keyConcepts)</w:t>
            </w:r>
          </w:p>
        </w:tc>
      </w:tr>
      <w:tr>
        <w:tc>
          <w:tcPr>
            <w:tcW w:type="dxa" w:w="2200"/>
            <w:tcBorders>
              <w:top w:val="single" w:color="CCCCCC" w:sz="1"/>
              <w:left w:val="single" w:color="CCCCCC" w:sz="1"/>
              <w:bottom w:val="single" w:color="CCCCCC" w:sz="1"/>
              <w:right w:val="single" w:color="CCCCCC" w:sz="1"/>
            </w:tcBorders>
            <w:shd w:fill="002147" w:val="clear"/>
            <w:tcMar>
              <w:top w:type="dxa" w:w="80"/>
              <w:left w:type="dxa" w:w="140"/>
              <w:bottom w:type="dxa" w:w="80"/>
              <w:right w:type="dxa" w:w="140"/>
            </w:tcMar>
            <w:vAlign w:val="center"/>
          </w:tcPr>
          <w:p>
            <w:r>
              <w:rPr>
                <w:rFonts w:ascii="Arial" w:cs="Arial" w:eastAsia="Arial" w:hAnsi="Arial"/>
                <w:b/>
                <w:bCs/>
                <w:color w:val="FFFFFF"/>
                <w:sz w:val="20"/>
                <w:szCs w:val="20"/>
              </w:rPr>
              <w:t xml:space="preserve">Trigger</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After evaluation completes (same pipeline as Feature C)</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r>
              <w:rPr>
                <w:rFonts w:ascii="Arial" w:cs="Arial" w:eastAsia="Arial" w:hAnsi="Arial"/>
                <w:b/>
                <w:bCs/>
                <w:color w:val="1A1A1A"/>
                <w:sz w:val="20"/>
                <w:szCs w:val="20"/>
              </w:rPr>
              <w:t xml:space="preserve">Output</w:t>
            </w:r>
          </w:p>
        </w:tc>
        <w:tc>
          <w:tcPr>
            <w:tcW w:type="dxa" w:w="71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Tags: { insightType, label, relevanceScore } — powers Conversation Map</w:t>
            </w:r>
          </w:p>
        </w:tc>
      </w:tr>
    </w:tbl>
    <w:p>
      <w:pPr>
        <w:spacing w:after="0" w:before="100"/>
      </w:pPr>
      <w:r>
        <w:t xml:space="preserve"/>
      </w:r>
    </w:p>
    <w:p>
      <w:pPr>
        <w:spacing w:after="80" w:before="80"/>
        <w:jc w:val="left"/>
      </w:pPr>
      <w:r>
        <w:rPr>
          <w:rFonts w:ascii="Arial" w:cs="Arial" w:eastAsia="Arial" w:hAnsi="Arial"/>
          <w:b w:val="false"/>
          <w:bCs w:val="false"/>
          <w:color w:val="1A1A1A"/>
          <w:sz w:val="22"/>
          <w:szCs w:val="22"/>
        </w:rPr>
        <w:t xml:space="preserve">Insight types returned:</w:t>
      </w:r>
    </w:p>
    <w:p>
      <w:pPr>
        <w:pStyle w:val="ListParagraph"/>
        <w:numPr>
          <w:ilvl w:val="0"/>
          <w:numId w:val="3"/>
        </w:numPr>
        <w:spacing w:after="40" w:before="40"/>
      </w:pPr>
      <w:r>
        <w:rPr>
          <w:rFonts w:ascii="Arial" w:cs="Arial" w:eastAsia="Arial" w:hAnsi="Arial"/>
          <w:color w:val="1A1A1A"/>
          <w:sz w:val="22"/>
          <w:szCs w:val="22"/>
        </w:rPr>
        <w:t xml:space="preserve">"theme" — Topics the group discussed heavily</w:t>
      </w:r>
    </w:p>
    <w:p>
      <w:pPr>
        <w:pStyle w:val="ListParagraph"/>
        <w:numPr>
          <w:ilvl w:val="0"/>
          <w:numId w:val="3"/>
        </w:numPr>
        <w:spacing w:after="40" w:before="40"/>
      </w:pPr>
      <w:r>
        <w:rPr>
          <w:rFonts w:ascii="Arial" w:cs="Arial" w:eastAsia="Arial" w:hAnsi="Arial"/>
          <w:color w:val="1A1A1A"/>
          <w:sz w:val="22"/>
          <w:szCs w:val="22"/>
        </w:rPr>
        <w:t xml:space="preserve">"missed_concept" — Key concepts from the slide deck that the group did not cover</w:t>
      </w:r>
    </w:p>
    <w:p>
      <w:pPr>
        <w:pStyle w:val="ListParagraph"/>
        <w:numPr>
          <w:ilvl w:val="0"/>
          <w:numId w:val="3"/>
        </w:numPr>
        <w:spacing w:after="40" w:before="40"/>
      </w:pPr>
      <w:r>
        <w:rPr>
          <w:rFonts w:ascii="Arial" w:cs="Arial" w:eastAsia="Arial" w:hAnsi="Arial"/>
          <w:color w:val="1A1A1A"/>
          <w:sz w:val="22"/>
          <w:szCs w:val="22"/>
        </w:rPr>
        <w:t xml:space="preserve">"strong_point" — Areas where the group showed particularly strong analysis</w:t>
      </w:r>
    </w:p>
    <w:p>
      <w:pPr>
        <w:pStyle w:val="ListParagraph"/>
        <w:numPr>
          <w:ilvl w:val="0"/>
          <w:numId w:val="3"/>
        </w:numPr>
        <w:spacing w:after="40" w:before="40"/>
      </w:pPr>
      <w:r>
        <w:rPr>
          <w:rFonts w:ascii="Arial" w:cs="Arial" w:eastAsia="Arial" w:hAnsi="Arial"/>
          <w:color w:val="1A1A1A"/>
          <w:sz w:val="22"/>
          <w:szCs w:val="22"/>
        </w:rPr>
        <w:t xml:space="preserve">"question_raised" — Open questions that came up during discussion</w:t>
      </w:r>
    </w:p>
    <w:p>
      <w:r>
        <w:br w:type="page"/>
      </w:r>
    </w:p>
    <w:p>
      <w:pPr>
        <w:pStyle w:val="Heading1"/>
        <w:spacing w:after="160" w:before="320"/>
      </w:pPr>
      <w:r>
        <w:rPr>
          <w:rFonts w:ascii="Arial" w:cs="Arial" w:eastAsia="Arial" w:hAnsi="Arial"/>
          <w:b/>
          <w:bCs/>
          <w:color w:val="002147"/>
          <w:sz w:val="36"/>
          <w:szCs w:val="36"/>
        </w:rPr>
        <w:t xml:space="preserve">4.  API Routes Reference</w:t>
      </w:r>
    </w:p>
    <w:p>
      <w:pPr>
        <w:spacing w:after="80" w:before="80"/>
        <w:jc w:val="left"/>
      </w:pPr>
      <w:r>
        <w:rPr>
          <w:rFonts w:ascii="Arial" w:cs="Arial" w:eastAsia="Arial" w:hAnsi="Arial"/>
          <w:b w:val="false"/>
          <w:bCs w:val="false"/>
          <w:color w:val="1A1A1A"/>
          <w:sz w:val="22"/>
          <w:szCs w:val="22"/>
        </w:rPr>
        <w:t xml:space="preserve">All routes live under src/app/api/groq/ and are server-side only. The Groq API key is read from process.env.GROQ_API_KEY and never exposed to the browser.</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600"/>
        <w:gridCol w:w="3760"/>
      </w:tblGrid>
      <w:tr>
        <w:tc>
          <w:tcPr>
            <w:tcW w:type="dxa" w:w="1200"/>
            <w:tcBorders>
              <w:top w:val="single" w:color="CCCCCC" w:sz="1"/>
              <w:left w:val="single" w:color="CCCCCC" w:sz="1"/>
              <w:bottom w:val="single" w:color="CCCCCC" w:sz="1"/>
              <w:right w:val="single" w:color="CCCCCC" w:sz="1"/>
            </w:tcBorders>
            <w:shd w:fill="002147" w:val="clear"/>
            <w:tcMar>
              <w:top w:type="dxa" w:w="80"/>
              <w:left w:type="dxa" w:w="140"/>
              <w:bottom w:type="dxa" w:w="80"/>
              <w:right w:type="dxa" w:w="140"/>
            </w:tcMar>
            <w:vAlign w:val="center"/>
          </w:tcPr>
          <w:p>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002147" w:val="clear"/>
            <w:tcMar>
              <w:top w:type="dxa" w:w="80"/>
              <w:left w:type="dxa" w:w="140"/>
              <w:bottom w:type="dxa" w:w="80"/>
              <w:right w:type="dxa" w:w="140"/>
            </w:tcMar>
            <w:vAlign w:val="center"/>
          </w:tcPr>
          <w:p>
            <w:r>
              <w:rPr>
                <w:rFonts w:ascii="Arial" w:cs="Arial" w:eastAsia="Arial" w:hAnsi="Arial"/>
                <w:b/>
                <w:bCs/>
                <w:color w:val="FFFFFF"/>
                <w:sz w:val="20"/>
                <w:szCs w:val="20"/>
              </w:rPr>
              <w:t xml:space="preserve">Route</w:t>
            </w:r>
          </w:p>
        </w:tc>
        <w:tc>
          <w:tcPr>
            <w:tcW w:type="dxa" w:w="1600"/>
            <w:tcBorders>
              <w:top w:val="single" w:color="CCCCCC" w:sz="1"/>
              <w:left w:val="single" w:color="CCCCCC" w:sz="1"/>
              <w:bottom w:val="single" w:color="CCCCCC" w:sz="1"/>
              <w:right w:val="single" w:color="CCCCCC" w:sz="1"/>
            </w:tcBorders>
            <w:shd w:fill="002147" w:val="clear"/>
            <w:tcMar>
              <w:top w:type="dxa" w:w="80"/>
              <w:left w:type="dxa" w:w="140"/>
              <w:bottom w:type="dxa" w:w="80"/>
              <w:right w:type="dxa" w:w="140"/>
            </w:tcMar>
            <w:vAlign w:val="center"/>
          </w:tcPr>
          <w:p>
            <w:r>
              <w:rPr>
                <w:rFonts w:ascii="Arial" w:cs="Arial" w:eastAsia="Arial" w:hAnsi="Arial"/>
                <w:b/>
                <w:bCs/>
                <w:color w:val="FFFFFF"/>
                <w:sz w:val="20"/>
                <w:szCs w:val="20"/>
              </w:rPr>
              <w:t xml:space="preserve">File</w:t>
            </w:r>
          </w:p>
        </w:tc>
        <w:tc>
          <w:tcPr>
            <w:tcW w:type="dxa" w:w="3760"/>
            <w:tcBorders>
              <w:top w:val="single" w:color="CCCCCC" w:sz="1"/>
              <w:left w:val="single" w:color="CCCCCC" w:sz="1"/>
              <w:bottom w:val="single" w:color="CCCCCC" w:sz="1"/>
              <w:right w:val="single" w:color="CCCCCC" w:sz="1"/>
            </w:tcBorders>
            <w:shd w:fill="002147" w:val="clear"/>
            <w:tcMar>
              <w:top w:type="dxa" w:w="80"/>
              <w:left w:type="dxa" w:w="140"/>
              <w:bottom w:type="dxa" w:w="80"/>
              <w:right w:type="dxa" w:w="140"/>
            </w:tcMar>
            <w:vAlign w:val="center"/>
          </w:tcPr>
          <w:p>
            <w:r>
              <w:rPr>
                <w:rFonts w:ascii="Arial" w:cs="Arial" w:eastAsia="Arial" w:hAnsi="Arial"/>
                <w:b/>
                <w:bCs/>
                <w:color w:val="FFFFFF"/>
                <w:sz w:val="20"/>
                <w:szCs w:val="20"/>
              </w:rPr>
              <w:t xml:space="preserve">Purpose</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GET</w:t>
            </w:r>
          </w:p>
        </w:tc>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/api/test-groq</w:t>
            </w:r>
          </w:p>
        </w:tc>
        <w:tc>
          <w:tcPr>
            <w:tcW w:type="dxa" w:w="1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test-groq/route.js</w:t>
            </w:r>
          </w:p>
        </w:tc>
        <w:tc>
          <w:tcPr>
            <w:tcW w:type="dxa" w:w="37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Connection test — verifies key, pings LLM, lists available models</w:t>
            </w:r>
          </w:p>
        </w:tc>
      </w:tr>
      <w:tr>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/api/groq/transcribe</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groq/transcribe/route.js</w:t>
            </w:r>
          </w:p>
        </w:tc>
        <w:tc>
          <w:tcPr>
            <w:tcW w:type="dxa" w:w="3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Whisper transcription. Accepts audio file (multipart/form-data). Optional timestamps=true for timed segments.</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POST</w:t>
            </w:r>
          </w:p>
        </w:tc>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/api/groq/evaluate</w:t>
            </w:r>
          </w:p>
        </w:tc>
        <w:tc>
          <w:tcPr>
            <w:tcW w:type="dxa" w:w="1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groq/evaluate/route.js</w:t>
            </w:r>
          </w:p>
        </w:tc>
        <w:tc>
          <w:tcPr>
            <w:tcW w:type="dxa" w:w="37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Bloom's evaluation. Accepts { transcript, rubrics, experience, userId, userName }.</w:t>
            </w:r>
          </w:p>
        </w:tc>
      </w:tr>
      <w:tr>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/api/groq/summarize</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groq/summarize/route.js</w:t>
            </w:r>
          </w:p>
        </w:tc>
        <w:tc>
          <w:tcPr>
            <w:tcW w:type="dxa" w:w="3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Session summary. Accepts { type: "quick"|"full", transcript, meetingData }.</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POST</w:t>
            </w:r>
          </w:p>
        </w:tc>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/api/groq/explain</w:t>
            </w:r>
          </w:p>
        </w:tc>
        <w:tc>
          <w:tcPr>
            <w:tcW w:type="dxa" w:w="1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groq/explain/route.js</w:t>
            </w:r>
          </w:p>
        </w:tc>
        <w:tc>
          <w:tcPr>
            <w:tcW w:type="dxa" w:w="37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Quiz explanation. Accepts { questionText, correctAnswer, wrongAnswers, experienceName }.</w:t>
            </w:r>
          </w:p>
        </w:tc>
      </w:tr>
      <w:tr>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/api/groq/insights</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groq/insights/route.js</w:t>
            </w:r>
          </w:p>
        </w:tc>
        <w:tc>
          <w:tcPr>
            <w:tcW w:type="dxa" w:w="3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Insight tags. Accepts { groupTranscript, keyConcepts }.</w:t>
            </w:r>
          </w:p>
        </w:tc>
      </w:tr>
    </w:tbl>
    <w:p>
      <w:pPr>
        <w:spacing w:after="0" w:before="200"/>
      </w:pPr>
      <w:r>
        <w:t xml:space="preserve"/>
      </w:r>
    </w:p>
    <w:p>
      <w:pPr>
        <w:pStyle w:val="Heading2"/>
        <w:spacing w:after="120" w:before="280"/>
      </w:pPr>
      <w:r>
        <w:rPr>
          <w:rFonts w:ascii="Arial" w:cs="Arial" w:eastAsia="Arial" w:hAnsi="Arial"/>
          <w:b/>
          <w:bCs/>
          <w:color w:val="002147"/>
          <w:sz w:val="28"/>
          <w:szCs w:val="28"/>
        </w:rPr>
        <w:t xml:space="preserve">4.1  Using groqService in React Components</w:t>
      </w:r>
    </w:p>
    <w:p>
      <w:pPr>
        <w:spacing w:after="80" w:before="80"/>
        <w:jc w:val="left"/>
      </w:pPr>
      <w:r>
        <w:rPr>
          <w:rFonts w:ascii="Arial" w:cs="Arial" w:eastAsia="Arial" w:hAnsi="Arial"/>
          <w:b w:val="false"/>
          <w:bCs w:val="false"/>
          <w:color w:val="1A1A1A"/>
          <w:sz w:val="22"/>
          <w:szCs w:val="22"/>
        </w:rPr>
        <w:t xml:space="preserve">Import the client from the service file:</w:t>
      </w:r>
    </w:p>
    <w:p>
      <w:pPr>
        <w:spacing w:after="0" w:before="40"/>
      </w:pPr>
      <w:r>
        <w:t xml:space="preserve"/>
      </w:r>
    </w:p>
    <w:p>
      <w:pPr>
        <w:shd w:fill="1E1E2E" w:val="clear"/>
        <w:spacing w:after="20" w:before="20"/>
        <w:ind w:left="360"/>
      </w:pPr>
      <w:r>
        <w:rPr>
          <w:rFonts w:ascii="Courier New" w:cs="Courier New" w:eastAsia="Courier New" w:hAnsi="Courier New"/>
          <w:color w:val="A6E3A1"/>
          <w:sz w:val="18"/>
          <w:szCs w:val="18"/>
        </w:rPr>
        <w:t xml:space="preserve">import { groqService } from '@/services/api/groq.service';</w:t>
      </w:r>
    </w:p>
    <w:p>
      <w:pPr>
        <w:spacing w:after="0" w:before="80"/>
      </w:pPr>
      <w:r>
        <w:t xml:space="preserve"/>
      </w:r>
    </w:p>
    <w:p>
      <w:pPr>
        <w:spacing w:after="80" w:before="80"/>
        <w:jc w:val="left"/>
      </w:pPr>
      <w:r>
        <w:rPr>
          <w:rFonts w:ascii="Arial" w:cs="Arial" w:eastAsia="Arial" w:hAnsi="Arial"/>
          <w:b w:val="false"/>
          <w:bCs w:val="false"/>
          <w:color w:val="1A1A1A"/>
          <w:sz w:val="22"/>
          <w:szCs w:val="22"/>
        </w:rPr>
        <w:t xml:space="preserve">All methods are async and call the server-side API routes internally. Examples:</w:t>
      </w:r>
    </w:p>
    <w:p>
      <w:pPr>
        <w:spacing w:after="0" w:before="40"/>
      </w:pPr>
      <w:r>
        <w:t xml:space="preserve"/>
      </w:r>
    </w:p>
    <w:p>
      <w:pPr>
        <w:shd w:fill="1E1E2E" w:val="clear"/>
        <w:spacing w:after="20" w:before="20"/>
        <w:ind w:left="360"/>
      </w:pPr>
      <w:r>
        <w:rPr>
          <w:rFonts w:ascii="Courier New" w:cs="Courier New" w:eastAsia="Courier New" w:hAnsi="Courier New"/>
          <w:color w:val="A6E3A1"/>
          <w:sz w:val="18"/>
          <w:szCs w:val="18"/>
        </w:rPr>
        <w:t xml:space="preserve">// Transcribe an audio blob</w:t>
      </w:r>
    </w:p>
    <w:p>
      <w:pPr>
        <w:shd w:fill="1E1E2E" w:val="clear"/>
        <w:spacing w:after="20" w:before="20"/>
        <w:ind w:left="360"/>
      </w:pPr>
      <w:r>
        <w:rPr>
          <w:rFonts w:ascii="Courier New" w:cs="Courier New" w:eastAsia="Courier New" w:hAnsi="Courier New"/>
          <w:color w:val="A6E3A1"/>
          <w:sz w:val="18"/>
          <w:szCs w:val="18"/>
        </w:rPr>
        <w:t xml:space="preserve">const { text } = await groqService.transcribeAudio(audioBlob);</w:t>
      </w:r>
    </w:p>
    <w:p>
      <w:pPr>
        <w:shd w:fill="1E1E2E" w:val="clear"/>
        <w:spacing w:after="20" w:before="20"/>
        <w:ind w:left="360"/>
      </w:pPr>
      <w:r>
        <w:rPr>
          <w:rFonts w:ascii="Courier New" w:cs="Courier New" w:eastAsia="Courier New" w:hAnsi="Courier New"/>
          <w:color w:val="A6E3A1"/>
          <w:sz w:val="18"/>
          <w:szCs w:val="18"/>
        </w:rPr>
        <w:t xml:space="preserve"/>
      </w:r>
    </w:p>
    <w:p>
      <w:pPr>
        <w:shd w:fill="1E1E2E" w:val="clear"/>
        <w:spacing w:after="20" w:before="20"/>
        <w:ind w:left="360"/>
      </w:pPr>
      <w:r>
        <w:rPr>
          <w:rFonts w:ascii="Courier New" w:cs="Courier New" w:eastAsia="Courier New" w:hAnsi="Courier New"/>
          <w:color w:val="A6E3A1"/>
          <w:sz w:val="18"/>
          <w:szCs w:val="18"/>
        </w:rPr>
        <w:t xml:space="preserve">// Evaluate a student (Bloom's)</w:t>
      </w:r>
    </w:p>
    <w:p>
      <w:pPr>
        <w:shd w:fill="1E1E2E" w:val="clear"/>
        <w:spacing w:after="20" w:before="20"/>
        <w:ind w:left="360"/>
      </w:pPr>
      <w:r>
        <w:rPr>
          <w:rFonts w:ascii="Courier New" w:cs="Courier New" w:eastAsia="Courier New" w:hAnsi="Courier New"/>
          <w:color w:val="A6E3A1"/>
          <w:sz w:val="18"/>
          <w:szCs w:val="18"/>
        </w:rPr>
        <w:t xml:space="preserve">const result = await groqService.evaluateBloomsLevel(</w:t>
      </w:r>
    </w:p>
    <w:p>
      <w:pPr>
        <w:shd w:fill="1E1E2E" w:val="clear"/>
        <w:spacing w:after="20" w:before="20"/>
        <w:ind w:left="360"/>
      </w:pPr>
      <w:r>
        <w:rPr>
          <w:rFonts w:ascii="Courier New" w:cs="Courier New" w:eastAsia="Courier New" w:hAnsi="Courier New"/>
          <w:color w:val="A6E3A1"/>
          <w:sz w:val="18"/>
          <w:szCs w:val="18"/>
        </w:rPr>
        <w:t xml:space="preserve">  transcript, rubrics, experience, userId, userName</w:t>
      </w:r>
    </w:p>
    <w:p>
      <w:pPr>
        <w:shd w:fill="1E1E2E" w:val="clear"/>
        <w:spacing w:after="20" w:before="20"/>
        <w:ind w:left="360"/>
      </w:pPr>
      <w:r>
        <w:rPr>
          <w:rFonts w:ascii="Courier New" w:cs="Courier New" w:eastAsia="Courier New" w:hAnsi="Courier New"/>
          <w:color w:val="A6E3A1"/>
          <w:sz w:val="18"/>
          <w:szCs w:val="18"/>
        </w:rPr>
        <w:t xml:space="preserve">);</w:t>
      </w:r>
    </w:p>
    <w:p>
      <w:pPr>
        <w:shd w:fill="1E1E2E" w:val="clear"/>
        <w:spacing w:after="20" w:before="20"/>
        <w:ind w:left="360"/>
      </w:pPr>
      <w:r>
        <w:rPr>
          <w:rFonts w:ascii="Courier New" w:cs="Courier New" w:eastAsia="Courier New" w:hAnsi="Courier New"/>
          <w:color w:val="A6E3A1"/>
          <w:sz w:val="18"/>
          <w:szCs w:val="18"/>
        </w:rPr>
        <w:t xml:space="preserve">// result.rubricResults[0].score  → 0-6</w:t>
      </w:r>
    </w:p>
    <w:p>
      <w:pPr>
        <w:shd w:fill="1E1E2E" w:val="clear"/>
        <w:spacing w:after="20" w:before="20"/>
        <w:ind w:left="360"/>
      </w:pPr>
      <w:r>
        <w:rPr>
          <w:rFonts w:ascii="Courier New" w:cs="Courier New" w:eastAsia="Courier New" w:hAnsi="Courier New"/>
          <w:color w:val="A6E3A1"/>
          <w:sz w:val="18"/>
          <w:szCs w:val="18"/>
        </w:rPr>
        <w:t xml:space="preserve">// result.rubricResults[0].scoreLabel  → "Analysing"</w:t>
      </w:r>
    </w:p>
    <w:p>
      <w:pPr>
        <w:shd w:fill="1E1E2E" w:val="clear"/>
        <w:spacing w:after="20" w:before="20"/>
        <w:ind w:left="360"/>
      </w:pPr>
      <w:r>
        <w:rPr>
          <w:rFonts w:ascii="Courier New" w:cs="Courier New" w:eastAsia="Courier New" w:hAnsi="Courier New"/>
          <w:color w:val="A6E3A1"/>
          <w:sz w:val="18"/>
          <w:szCs w:val="18"/>
        </w:rPr>
        <w:t xml:space="preserve"/>
      </w:r>
    </w:p>
    <w:p>
      <w:pPr>
        <w:shd w:fill="1E1E2E" w:val="clear"/>
        <w:spacing w:after="20" w:before="20"/>
        <w:ind w:left="360"/>
      </w:pPr>
      <w:r>
        <w:rPr>
          <w:rFonts w:ascii="Courier New" w:cs="Courier New" w:eastAsia="Courier New" w:hAnsi="Courier New"/>
          <w:color w:val="A6E3A1"/>
          <w:sz w:val="18"/>
          <w:szCs w:val="18"/>
        </w:rPr>
        <w:t xml:space="preserve">// Quick summary</w:t>
      </w:r>
    </w:p>
    <w:p>
      <w:pPr>
        <w:shd w:fill="1E1E2E" w:val="clear"/>
        <w:spacing w:after="20" w:before="20"/>
        <w:ind w:left="360"/>
      </w:pPr>
      <w:r>
        <w:rPr>
          <w:rFonts w:ascii="Courier New" w:cs="Courier New" w:eastAsia="Courier New" w:hAnsi="Courier New"/>
          <w:color w:val="A6E3A1"/>
          <w:sz w:val="18"/>
          <w:szCs w:val="18"/>
        </w:rPr>
        <w:t xml:space="preserve">const summary = await groqService.generateQuickSummary(transcript, "Session Title");</w:t>
      </w:r>
    </w:p>
    <w:p>
      <w:pPr>
        <w:shd w:fill="1E1E2E" w:val="clear"/>
        <w:spacing w:after="20" w:before="20"/>
        <w:ind w:left="360"/>
      </w:pPr>
      <w:r>
        <w:rPr>
          <w:rFonts w:ascii="Courier New" w:cs="Courier New" w:eastAsia="Courier New" w:hAnsi="Courier New"/>
          <w:color w:val="A6E3A1"/>
          <w:sz w:val="18"/>
          <w:szCs w:val="18"/>
        </w:rPr>
        <w:t xml:space="preserve"/>
      </w:r>
    </w:p>
    <w:p>
      <w:pPr>
        <w:shd w:fill="1E1E2E" w:val="clear"/>
        <w:spacing w:after="20" w:before="20"/>
        <w:ind w:left="360"/>
      </w:pPr>
      <w:r>
        <w:rPr>
          <w:rFonts w:ascii="Courier New" w:cs="Courier New" w:eastAsia="Courier New" w:hAnsi="Courier New"/>
          <w:color w:val="A6E3A1"/>
          <w:sz w:val="18"/>
          <w:szCs w:val="18"/>
        </w:rPr>
        <w:t xml:space="preserve">// Quiz explanation</w:t>
      </w:r>
    </w:p>
    <w:p>
      <w:pPr>
        <w:shd w:fill="1E1E2E" w:val="clear"/>
        <w:spacing w:after="20" w:before="20"/>
        <w:ind w:left="360"/>
      </w:pPr>
      <w:r>
        <w:rPr>
          <w:rFonts w:ascii="Courier New" w:cs="Courier New" w:eastAsia="Courier New" w:hAnsi="Courier New"/>
          <w:color w:val="A6E3A1"/>
          <w:sz w:val="18"/>
          <w:szCs w:val="18"/>
        </w:rPr>
        <w:t xml:space="preserve">const explanation = await groqService.generateQuizExplanation(</w:t>
      </w:r>
    </w:p>
    <w:p>
      <w:pPr>
        <w:shd w:fill="1E1E2E" w:val="clear"/>
        <w:spacing w:after="20" w:before="20"/>
        <w:ind w:left="360"/>
      </w:pPr>
      <w:r>
        <w:rPr>
          <w:rFonts w:ascii="Courier New" w:cs="Courier New" w:eastAsia="Courier New" w:hAnsi="Courier New"/>
          <w:color w:val="A6E3A1"/>
          <w:sz w:val="18"/>
          <w:szCs w:val="18"/>
        </w:rPr>
        <w:t xml:space="preserve">  questionText, correctAnswer, wrongAnswers, experienceName</w:t>
      </w:r>
    </w:p>
    <w:p>
      <w:pPr>
        <w:shd w:fill="1E1E2E" w:val="clear"/>
        <w:spacing w:after="20" w:before="20"/>
        <w:ind w:left="360"/>
      </w:pPr>
      <w:r>
        <w:rPr>
          <w:rFonts w:ascii="Courier New" w:cs="Courier New" w:eastAsia="Courier New" w:hAnsi="Courier New"/>
          <w:color w:val="A6E3A1"/>
          <w:sz w:val="18"/>
          <w:szCs w:val="18"/>
        </w:rPr>
        <w:t xml:space="preserve">);</w:t>
      </w:r>
    </w:p>
    <w:p>
      <w:r>
        <w:br w:type="page"/>
      </w:r>
    </w:p>
    <w:p>
      <w:pPr>
        <w:pStyle w:val="Heading1"/>
        <w:spacing w:after="160" w:before="320"/>
      </w:pPr>
      <w:r>
        <w:rPr>
          <w:rFonts w:ascii="Arial" w:cs="Arial" w:eastAsia="Arial" w:hAnsi="Arial"/>
          <w:b/>
          <w:bCs/>
          <w:color w:val="002147"/>
          <w:sz w:val="36"/>
          <w:szCs w:val="36"/>
        </w:rPr>
        <w:t xml:space="preserve">5.  Rate Limits &amp; Usage Estimates</w:t>
      </w:r>
    </w:p>
    <w:p>
      <w:pPr>
        <w:pStyle w:val="Heading2"/>
        <w:spacing w:after="120" w:before="280"/>
      </w:pPr>
      <w:r>
        <w:rPr>
          <w:rFonts w:ascii="Arial" w:cs="Arial" w:eastAsia="Arial" w:hAnsi="Arial"/>
          <w:b/>
          <w:bCs/>
          <w:color w:val="002147"/>
          <w:sz w:val="28"/>
          <w:szCs w:val="28"/>
        </w:rPr>
        <w:t xml:space="preserve">5.1  Free Tier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1600"/>
        <w:gridCol w:w="2560"/>
      </w:tblGrid>
      <w:tr>
        <w:tc>
          <w:tcPr>
            <w:tcW w:type="dxa" w:w="3200"/>
            <w:tcBorders>
              <w:top w:val="single" w:color="CCCCCC" w:sz="1"/>
              <w:left w:val="single" w:color="CCCCCC" w:sz="1"/>
              <w:bottom w:val="single" w:color="CCCCCC" w:sz="1"/>
              <w:right w:val="single" w:color="CCCCCC" w:sz="1"/>
            </w:tcBorders>
            <w:shd w:fill="002147" w:val="clear"/>
            <w:tcMar>
              <w:top w:type="dxa" w:w="80"/>
              <w:left w:type="dxa" w:w="140"/>
              <w:bottom w:type="dxa" w:w="80"/>
              <w:right w:type="dxa" w:w="140"/>
            </w:tcMar>
            <w:vAlign w:val="center"/>
          </w:tcPr>
          <w:p>
            <w:r>
              <w:rPr>
                <w:rFonts w:ascii="Arial" w:cs="Arial" w:eastAsia="Arial" w:hAnsi="Arial"/>
                <w:b/>
                <w:bCs/>
                <w:color w:val="FFFFFF"/>
                <w:sz w:val="20"/>
                <w:szCs w:val="20"/>
              </w:rPr>
              <w:t xml:space="preserve">Model</w:t>
            </w:r>
          </w:p>
        </w:tc>
        <w:tc>
          <w:tcPr>
            <w:tcW w:type="dxa" w:w="2000"/>
            <w:tcBorders>
              <w:top w:val="single" w:color="CCCCCC" w:sz="1"/>
              <w:left w:val="single" w:color="CCCCCC" w:sz="1"/>
              <w:bottom w:val="single" w:color="CCCCCC" w:sz="1"/>
              <w:right w:val="single" w:color="CCCCCC" w:sz="1"/>
            </w:tcBorders>
            <w:shd w:fill="002147" w:val="clear"/>
            <w:tcMar>
              <w:top w:type="dxa" w:w="80"/>
              <w:left w:type="dxa" w:w="140"/>
              <w:bottom w:type="dxa" w:w="80"/>
              <w:right w:type="dxa" w:w="140"/>
            </w:tcMar>
            <w:vAlign w:val="center"/>
          </w:tcPr>
          <w:p>
            <w:r>
              <w:rPr>
                <w:rFonts w:ascii="Arial" w:cs="Arial" w:eastAsia="Arial" w:hAnsi="Arial"/>
                <w:b/>
                <w:bCs/>
                <w:color w:val="FFFFFF"/>
                <w:sz w:val="20"/>
                <w:szCs w:val="20"/>
              </w:rPr>
              <w:t xml:space="preserve">Req / Min</w:t>
            </w:r>
          </w:p>
        </w:tc>
        <w:tc>
          <w:tcPr>
            <w:tcW w:type="dxa" w:w="1600"/>
            <w:tcBorders>
              <w:top w:val="single" w:color="CCCCCC" w:sz="1"/>
              <w:left w:val="single" w:color="CCCCCC" w:sz="1"/>
              <w:bottom w:val="single" w:color="CCCCCC" w:sz="1"/>
              <w:right w:val="single" w:color="CCCCCC" w:sz="1"/>
            </w:tcBorders>
            <w:shd w:fill="002147" w:val="clear"/>
            <w:tcMar>
              <w:top w:type="dxa" w:w="80"/>
              <w:left w:type="dxa" w:w="140"/>
              <w:bottom w:type="dxa" w:w="80"/>
              <w:right w:type="dxa" w:w="140"/>
            </w:tcMar>
            <w:vAlign w:val="center"/>
          </w:tcPr>
          <w:p>
            <w:r>
              <w:rPr>
                <w:rFonts w:ascii="Arial" w:cs="Arial" w:eastAsia="Arial" w:hAnsi="Arial"/>
                <w:b/>
                <w:bCs/>
                <w:color w:val="FFFFFF"/>
                <w:sz w:val="20"/>
                <w:szCs w:val="20"/>
              </w:rPr>
              <w:t xml:space="preserve">Req / Day</w:t>
            </w:r>
          </w:p>
        </w:tc>
        <w:tc>
          <w:tcPr>
            <w:tcW w:type="dxa" w:w="2560"/>
            <w:tcBorders>
              <w:top w:val="single" w:color="CCCCCC" w:sz="1"/>
              <w:left w:val="single" w:color="CCCCCC" w:sz="1"/>
              <w:bottom w:val="single" w:color="CCCCCC" w:sz="1"/>
              <w:right w:val="single" w:color="CCCCCC" w:sz="1"/>
            </w:tcBorders>
            <w:shd w:fill="002147" w:val="clear"/>
            <w:tcMar>
              <w:top w:type="dxa" w:w="80"/>
              <w:left w:type="dxa" w:w="140"/>
              <w:bottom w:type="dxa" w:w="80"/>
              <w:right w:type="dxa" w:w="140"/>
            </w:tcMar>
            <w:vAlign w:val="cente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whisper-large-v3</w:t>
            </w:r>
          </w:p>
        </w:tc>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20 RPM</w:t>
            </w:r>
          </w:p>
        </w:tc>
        <w:tc>
          <w:tcPr>
            <w:tcW w:type="dxa" w:w="1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2,000 RPD</w:t>
            </w:r>
          </w:p>
        </w:tc>
        <w:tc>
          <w:tcPr>
            <w:tcW w:type="dxa" w:w="2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~7,200 seconds of audio / day</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llama-3.3-70b-versatile</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30 RPM</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1,000 RPD</w:t>
            </w:r>
          </w:p>
        </w:tc>
        <w:tc>
          <w:tcPr>
            <w:tcW w:type="dxa" w:w="2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Use for evaluation only</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llama-3.1-8b-instant</w:t>
            </w:r>
          </w:p>
        </w:tc>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30 RPM</w:t>
            </w:r>
          </w:p>
        </w:tc>
        <w:tc>
          <w:tcPr>
            <w:tcW w:type="dxa" w:w="1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14,400 RPD</w:t>
            </w:r>
          </w:p>
        </w:tc>
        <w:tc>
          <w:tcPr>
            <w:tcW w:type="dxa" w:w="2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Summaries, explanations, tags</w:t>
            </w:r>
          </w:p>
        </w:tc>
      </w:tr>
    </w:tbl>
    <w:p>
      <w:pPr>
        <w:spacing w:after="0" w:before="120"/>
      </w:pPr>
      <w:r>
        <w:t xml:space="preserve"/>
      </w:r>
    </w:p>
    <w:p>
      <w:pPr>
        <w:pStyle w:val="Heading2"/>
        <w:spacing w:after="120" w:before="280"/>
      </w:pPr>
      <w:r>
        <w:rPr>
          <w:rFonts w:ascii="Arial" w:cs="Arial" w:eastAsia="Arial" w:hAnsi="Arial"/>
          <w:b/>
          <w:bCs/>
          <w:color w:val="002147"/>
          <w:sz w:val="28"/>
          <w:szCs w:val="28"/>
        </w:rPr>
        <w:t xml:space="preserve">5.2  Groq API Calls Per Fireteam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000"/>
        <w:gridCol w:w="3560"/>
      </w:tblGrid>
      <w:tr>
        <w:tc>
          <w:tcPr>
            <w:tcW w:type="dxa" w:w="3800"/>
            <w:tcBorders>
              <w:top w:val="single" w:color="CCCCCC" w:sz="1"/>
              <w:left w:val="single" w:color="CCCCCC" w:sz="1"/>
              <w:bottom w:val="single" w:color="CCCCCC" w:sz="1"/>
              <w:right w:val="single" w:color="CCCCCC" w:sz="1"/>
            </w:tcBorders>
            <w:shd w:fill="002147" w:val="clear"/>
            <w:tcMar>
              <w:top w:type="dxa" w:w="80"/>
              <w:left w:type="dxa" w:w="140"/>
              <w:bottom w:type="dxa" w:w="80"/>
              <w:right w:type="dxa" w:w="140"/>
            </w:tcMar>
            <w:vAlign w:val="center"/>
          </w:tcPr>
          <w:p>
            <w:r>
              <w:rPr>
                <w:rFonts w:ascii="Arial" w:cs="Arial" w:eastAsia="Arial" w:hAnsi="Arial"/>
                <w:b/>
                <w:bCs/>
                <w:color w:val="FFFFFF"/>
                <w:sz w:val="20"/>
                <w:szCs w:val="20"/>
              </w:rPr>
              <w:t xml:space="preserve">Feature</w:t>
            </w:r>
          </w:p>
        </w:tc>
        <w:tc>
          <w:tcPr>
            <w:tcW w:type="dxa" w:w="2000"/>
            <w:tcBorders>
              <w:top w:val="single" w:color="CCCCCC" w:sz="1"/>
              <w:left w:val="single" w:color="CCCCCC" w:sz="1"/>
              <w:bottom w:val="single" w:color="CCCCCC" w:sz="1"/>
              <w:right w:val="single" w:color="CCCCCC" w:sz="1"/>
            </w:tcBorders>
            <w:shd w:fill="002147" w:val="clear"/>
            <w:tcMar>
              <w:top w:type="dxa" w:w="80"/>
              <w:left w:type="dxa" w:w="140"/>
              <w:bottom w:type="dxa" w:w="80"/>
              <w:right w:type="dxa" w:w="140"/>
            </w:tcMar>
            <w:vAlign w:val="center"/>
          </w:tcPr>
          <w:p>
            <w:r>
              <w:rPr>
                <w:rFonts w:ascii="Arial" w:cs="Arial" w:eastAsia="Arial" w:hAnsi="Arial"/>
                <w:b/>
                <w:bCs/>
                <w:color w:val="FFFFFF"/>
                <w:sz w:val="20"/>
                <w:szCs w:val="20"/>
              </w:rPr>
              <w:t xml:space="preserve">Groq Calls</w:t>
            </w:r>
          </w:p>
        </w:tc>
        <w:tc>
          <w:tcPr>
            <w:tcW w:type="dxa" w:w="3560"/>
            <w:tcBorders>
              <w:top w:val="single" w:color="CCCCCC" w:sz="1"/>
              <w:left w:val="single" w:color="CCCCCC" w:sz="1"/>
              <w:bottom w:val="single" w:color="CCCCCC" w:sz="1"/>
              <w:right w:val="single" w:color="CCCCCC" w:sz="1"/>
            </w:tcBorders>
            <w:shd w:fill="002147" w:val="clear"/>
            <w:tcMar>
              <w:top w:type="dxa" w:w="80"/>
              <w:left w:type="dxa" w:w="140"/>
              <w:bottom w:type="dxa" w:w="80"/>
              <w:right w:type="dxa" w:w="140"/>
            </w:tcMar>
            <w:vAlign w:val="center"/>
          </w:tcPr>
          <w:p>
            <w:r>
              <w:rPr>
                <w:rFonts w:ascii="Arial" w:cs="Arial" w:eastAsia="Arial" w:hAnsi="Arial"/>
                <w:b/>
                <w:bCs/>
                <w:color w:val="FFFFFF"/>
                <w:sz w:val="20"/>
                <w:szCs w:val="20"/>
              </w:rPr>
              <w:t xml:space="preserve">Assumption</w:t>
            </w:r>
          </w:p>
        </w:tc>
      </w:tr>
      <w:tr>
        <w:tc>
          <w:tcPr>
            <w:tcW w:type="dxa" w:w="3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Feature A: Live transcription</w:t>
            </w:r>
          </w:p>
        </w:tc>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~56 Whisper</w:t>
            </w:r>
          </w:p>
        </w:tc>
        <w:tc>
          <w:tcPr>
            <w:tcW w:type="dxa" w:w="3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4 students × 7 slides × 30s chunks</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Feature B: Bloom's evaluation</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4 LLM (70b)</w:t>
            </w:r>
          </w:p>
        </w:tc>
        <w:tc>
          <w:tcPr>
            <w:tcW w:type="dxa" w:w="3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1 call per student, all rubrics in 1 request</w:t>
            </w:r>
          </w:p>
        </w:tc>
      </w:tr>
      <w:tr>
        <w:tc>
          <w:tcPr>
            <w:tcW w:type="dxa" w:w="3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Feature C: Session summary</w:t>
            </w:r>
          </w:p>
        </w:tc>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3 LLM (8b)</w:t>
            </w:r>
          </w:p>
        </w:tc>
        <w:tc>
          <w:tcPr>
            <w:tcW w:type="dxa" w:w="3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Participant + coach + admin in parallel</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Feature F: Insight tags</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1 LLM (8b)</w:t>
            </w:r>
          </w:p>
        </w:tc>
        <w:tc>
          <w:tcPr>
            <w:tcW w:type="dxa" w:w="3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Single call per session</w:t>
            </w:r>
          </w:p>
        </w:tc>
      </w:tr>
      <w:tr>
        <w:tc>
          <w:tcPr>
            <w:tcW w:type="dxa" w:w="3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r>
              <w:rPr>
                <w:rFonts w:ascii="Arial" w:cs="Arial" w:eastAsia="Arial" w:hAnsi="Arial"/>
                <w:b/>
                <w:bCs/>
                <w:color w:val="1A1A1A"/>
                <w:sz w:val="20"/>
                <w:szCs w:val="20"/>
              </w:rPr>
              <w:t xml:space="preserve">Total per session</w:t>
            </w:r>
          </w:p>
        </w:tc>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r>
              <w:rPr>
                <w:rFonts w:ascii="Arial" w:cs="Arial" w:eastAsia="Arial" w:hAnsi="Arial"/>
                <w:b/>
                <w:bCs/>
                <w:color w:val="1A1A1A"/>
                <w:sz w:val="20"/>
                <w:szCs w:val="20"/>
              </w:rPr>
              <w:t xml:space="preserve">~56 Whisper + 7 LLM</w:t>
            </w:r>
          </w:p>
        </w:tc>
        <w:tc>
          <w:tcPr>
            <w:tcW w:type="dxa" w:w="3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Supports ~35 sessions/day on free tier</w:t>
            </w:r>
          </w:p>
        </w:tc>
      </w:tr>
    </w:tbl>
    <w:p>
      <w:pPr>
        <w:spacing w:after="0" w:before="120"/>
      </w:pPr>
      <w:r>
        <w:t xml:space="preserve"/>
      </w:r>
    </w:p>
    <w:p>
      <w:pPr>
        <w:pStyle w:val="Heading2"/>
        <w:spacing w:after="120" w:before="280"/>
      </w:pPr>
      <w:r>
        <w:rPr>
          <w:rFonts w:ascii="Arial" w:cs="Arial" w:eastAsia="Arial" w:hAnsi="Arial"/>
          <w:b/>
          <w:bCs/>
          <w:color w:val="002147"/>
          <w:sz w:val="28"/>
          <w:szCs w:val="28"/>
        </w:rPr>
        <w:t xml:space="preserve">5.3  Rate Limit Handling</w:t>
      </w:r>
    </w:p>
    <w:p>
      <w:pPr>
        <w:spacing w:after="80" w:before="80"/>
        <w:jc w:val="left"/>
      </w:pPr>
      <w:r>
        <w:rPr>
          <w:rFonts w:ascii="Arial" w:cs="Arial" w:eastAsia="Arial" w:hAnsi="Arial"/>
          <w:b w:val="false"/>
          <w:bCs w:val="false"/>
          <w:color w:val="1A1A1A"/>
          <w:sz w:val="22"/>
          <w:szCs w:val="22"/>
        </w:rPr>
        <w:t xml:space="preserve">All API routes include automatic retry logic for 429 (rate limit) responses:</w:t>
      </w:r>
    </w:p>
    <w:p>
      <w:pPr>
        <w:pStyle w:val="ListParagraph"/>
        <w:numPr>
          <w:ilvl w:val="0"/>
          <w:numId w:val="3"/>
        </w:numPr>
        <w:spacing w:after="40" w:before="40"/>
      </w:pPr>
      <w:r>
        <w:rPr>
          <w:rFonts w:ascii="Arial" w:cs="Arial" w:eastAsia="Arial" w:hAnsi="Arial"/>
          <w:color w:val="1A1A1A"/>
          <w:sz w:val="22"/>
          <w:szCs w:val="22"/>
        </w:rPr>
        <w:t xml:space="preserve">On a 429 response, the server reads the Retry-After header and waits before retrying.</w:t>
      </w:r>
    </w:p>
    <w:p>
      <w:pPr>
        <w:pStyle w:val="ListParagraph"/>
        <w:numPr>
          <w:ilvl w:val="0"/>
          <w:numId w:val="3"/>
        </w:numPr>
        <w:spacing w:after="40" w:before="40"/>
      </w:pPr>
      <w:r>
        <w:rPr>
          <w:rFonts w:ascii="Arial" w:cs="Arial" w:eastAsia="Arial" w:hAnsi="Arial"/>
          <w:color w:val="1A1A1A"/>
          <w:sz w:val="22"/>
          <w:szCs w:val="22"/>
        </w:rPr>
        <w:t xml:space="preserve">After the first rate limit hit, evaluation falls back to mixtral-8x7b-32768.</w:t>
      </w:r>
    </w:p>
    <w:p>
      <w:pPr>
        <w:pStyle w:val="ListParagraph"/>
        <w:numPr>
          <w:ilvl w:val="0"/>
          <w:numId w:val="3"/>
        </w:numPr>
        <w:spacing w:after="40" w:before="40"/>
      </w:pPr>
      <w:r>
        <w:rPr>
          <w:rFonts w:ascii="Arial" w:cs="Arial" w:eastAsia="Arial" w:hAnsi="Arial"/>
          <w:color w:val="1A1A1A"/>
          <w:sz w:val="22"/>
          <w:szCs w:val="22"/>
        </w:rPr>
        <w:t xml:space="preserve">Audio transcription retries up to 3 times with exponential back-off.</w:t>
      </w:r>
    </w:p>
    <w:p>
      <w:pPr>
        <w:pStyle w:val="ListParagraph"/>
        <w:numPr>
          <w:ilvl w:val="0"/>
          <w:numId w:val="3"/>
        </w:numPr>
        <w:spacing w:after="40" w:before="40"/>
      </w:pPr>
      <w:r>
        <w:rPr>
          <w:rFonts w:ascii="Arial" w:cs="Arial" w:eastAsia="Arial" w:hAnsi="Arial"/>
          <w:color w:val="1A1A1A"/>
          <w:sz w:val="22"/>
          <w:szCs w:val="22"/>
        </w:rPr>
        <w:t xml:space="preserve">Transcript gaps (failed chunks) don't crash the session — evaluation runs with available text.</w:t>
      </w:r>
    </w:p>
    <w:p>
      <w:r>
        <w:br w:type="page"/>
      </w:r>
    </w:p>
    <w:p>
      <w:pPr>
        <w:pStyle w:val="Heading1"/>
        <w:spacing w:after="160" w:before="320"/>
      </w:pPr>
      <w:r>
        <w:rPr>
          <w:rFonts w:ascii="Arial" w:cs="Arial" w:eastAsia="Arial" w:hAnsi="Arial"/>
          <w:b/>
          <w:bCs/>
          <w:color w:val="002147"/>
          <w:sz w:val="36"/>
          <w:szCs w:val="36"/>
        </w:rPr>
        <w:t xml:space="preserve">6.  File Index</w:t>
      </w:r>
    </w:p>
    <w:p>
      <w:pPr>
        <w:spacing w:after="80" w:before="80"/>
        <w:jc w:val="left"/>
      </w:pPr>
      <w:r>
        <w:rPr>
          <w:rFonts w:ascii="Arial" w:cs="Arial" w:eastAsia="Arial" w:hAnsi="Arial"/>
          <w:b w:val="false"/>
          <w:bCs w:val="false"/>
          <w:color w:val="1A1A1A"/>
          <w:sz w:val="22"/>
          <w:szCs w:val="22"/>
        </w:rPr>
        <w:t xml:space="preserve">All new files added to the project for the Groq integration: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c>
          <w:tcPr>
            <w:tcW w:type="dxa" w:w="4800"/>
            <w:tcBorders>
              <w:top w:val="single" w:color="CCCCCC" w:sz="1"/>
              <w:left w:val="single" w:color="CCCCCC" w:sz="1"/>
              <w:bottom w:val="single" w:color="CCCCCC" w:sz="1"/>
              <w:right w:val="single" w:color="CCCCCC" w:sz="1"/>
            </w:tcBorders>
            <w:shd w:fill="002147" w:val="clear"/>
            <w:tcMar>
              <w:top w:type="dxa" w:w="80"/>
              <w:left w:type="dxa" w:w="140"/>
              <w:bottom w:type="dxa" w:w="80"/>
              <w:right w:type="dxa" w:w="140"/>
            </w:tcMar>
            <w:vAlign w:val="center"/>
          </w:tcPr>
          <w:p>
            <w:r>
              <w:rPr>
                <w:rFonts w:ascii="Arial" w:cs="Arial" w:eastAsia="Arial" w:hAnsi="Arial"/>
                <w:b/>
                <w:bCs/>
                <w:color w:val="FFFFFF"/>
                <w:sz w:val="20"/>
                <w:szCs w:val="20"/>
              </w:rPr>
              <w:t xml:space="preserve">File Path</w:t>
            </w:r>
          </w:p>
        </w:tc>
        <w:tc>
          <w:tcPr>
            <w:tcW w:type="dxa" w:w="4560"/>
            <w:tcBorders>
              <w:top w:val="single" w:color="CCCCCC" w:sz="1"/>
              <w:left w:val="single" w:color="CCCCCC" w:sz="1"/>
              <w:bottom w:val="single" w:color="CCCCCC" w:sz="1"/>
              <w:right w:val="single" w:color="CCCCCC" w:sz="1"/>
            </w:tcBorders>
            <w:shd w:fill="002147" w:val="clear"/>
            <w:tcMar>
              <w:top w:type="dxa" w:w="80"/>
              <w:left w:type="dxa" w:w="140"/>
              <w:bottom w:type="dxa" w:w="80"/>
              <w:right w:type="dxa" w:w="140"/>
            </w:tcMar>
            <w:vAlign w:val="center"/>
          </w:tcPr>
          <w:p>
            <w:r>
              <w:rPr>
                <w:rFonts w:ascii="Arial" w:cs="Arial" w:eastAsia="Arial" w:hAnsi="Arial"/>
                <w:b/>
                <w:bCs/>
                <w:color w:val="FFFFFF"/>
                <w:sz w:val="20"/>
                <w:szCs w:val="20"/>
              </w:rPr>
              <w:t xml:space="preserve">Purpose</w:t>
            </w:r>
          </w:p>
        </w:tc>
      </w:tr>
      <w:tr>
        <w:tc>
          <w:tcPr>
            <w:tcW w:type="dxa" w:w="4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src/services/api/groq.service.ts</w:t>
            </w:r>
          </w:p>
        </w:tc>
        <w:tc>
          <w:tcPr>
            <w:tcW w:type="dxa" w:w="4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Client-side service. Import this in React components.</w:t>
            </w:r>
          </w:p>
        </w:tc>
      </w:tr>
      <w:tr>
        <w:tc>
          <w:tcPr>
            <w:tcW w:type="dxa" w:w="4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src/app/api/test-groq/route.js</w:t>
            </w:r>
          </w:p>
        </w:tc>
        <w:tc>
          <w:tcPr>
            <w:tcW w:type="dxa" w:w="4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GET connection test. Hit this to verify the key works.</w:t>
            </w:r>
          </w:p>
        </w:tc>
      </w:tr>
      <w:tr>
        <w:tc>
          <w:tcPr>
            <w:tcW w:type="dxa" w:w="4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src/app/api/groq/transcribe/route.js</w:t>
            </w:r>
          </w:p>
        </w:tc>
        <w:tc>
          <w:tcPr>
            <w:tcW w:type="dxa" w:w="4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POST endpoint for Whisper audio transcription.</w:t>
            </w:r>
          </w:p>
        </w:tc>
      </w:tr>
      <w:tr>
        <w:tc>
          <w:tcPr>
            <w:tcW w:type="dxa" w:w="4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src/app/api/groq/evaluate/route.js</w:t>
            </w:r>
          </w:p>
        </w:tc>
        <w:tc>
          <w:tcPr>
            <w:tcW w:type="dxa" w:w="4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POST endpoint for Bloom's Taxonomy evaluation.</w:t>
            </w:r>
          </w:p>
        </w:tc>
      </w:tr>
      <w:tr>
        <w:tc>
          <w:tcPr>
            <w:tcW w:type="dxa" w:w="4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src/app/api/groq/summarize/route.js</w:t>
            </w:r>
          </w:p>
        </w:tc>
        <w:tc>
          <w:tcPr>
            <w:tcW w:type="dxa" w:w="4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POST endpoint for session summaries (quick or full).</w:t>
            </w:r>
          </w:p>
        </w:tc>
      </w:tr>
      <w:tr>
        <w:tc>
          <w:tcPr>
            <w:tcW w:type="dxa" w:w="4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src/app/api/groq/explain/route.js</w:t>
            </w:r>
          </w:p>
        </w:tc>
        <w:tc>
          <w:tcPr>
            <w:tcW w:type="dxa" w:w="4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POST endpoint for quiz question explanation generation.</w:t>
            </w:r>
          </w:p>
        </w:tc>
      </w:tr>
      <w:tr>
        <w:tc>
          <w:tcPr>
            <w:tcW w:type="dxa" w:w="4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src/app/api/groq/insights/route.js</w:t>
            </w:r>
          </w:p>
        </w:tc>
        <w:tc>
          <w:tcPr>
            <w:tcW w:type="dxa" w:w="4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POST endpoint for conversation insight tags.</w:t>
            </w:r>
          </w:p>
        </w:tc>
      </w:tr>
      <w:tr>
        <w:tc>
          <w:tcPr>
            <w:tcW w:type="dxa" w:w="4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.env.local  (updated)</w:t>
            </w:r>
          </w:p>
        </w:tc>
        <w:tc>
          <w:tcPr>
            <w:tcW w:type="dxa" w:w="4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Added GROQ_API_KEY, GROQ_BASE_URL, GROQ_MODEL_* variables.</w:t>
            </w:r>
          </w:p>
        </w:tc>
      </w:tr>
    </w:tbl>
    <w:p>
      <w:pPr>
        <w:spacing w:after="0" w:before="200"/>
      </w:pPr>
      <w:r>
        <w:t xml:space="preserve"/>
      </w:r>
    </w:p>
    <w:p>
      <w:pPr>
        <w:pStyle w:val="Heading1"/>
        <w:spacing w:after="160" w:before="320"/>
      </w:pPr>
      <w:r>
        <w:rPr>
          <w:rFonts w:ascii="Arial" w:cs="Arial" w:eastAsia="Arial" w:hAnsi="Arial"/>
          <w:b/>
          <w:bCs/>
          <w:color w:val="002147"/>
          <w:sz w:val="36"/>
          <w:szCs w:val="36"/>
        </w:rPr>
        <w:t xml:space="preserve">7.  Troubleshooting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002147" w:val="clear"/>
            <w:tcMar>
              <w:top w:type="dxa" w:w="80"/>
              <w:left w:type="dxa" w:w="140"/>
              <w:bottom w:type="dxa" w:w="80"/>
              <w:right w:type="dxa" w:w="140"/>
            </w:tcMar>
            <w:vAlign w:val="center"/>
          </w:tcPr>
          <w:p>
            <w:r>
              <w:rPr>
                <w:rFonts w:ascii="Arial" w:cs="Arial" w:eastAsia="Arial" w:hAnsi="Arial"/>
                <w:b/>
                <w:bCs/>
                <w:color w:val="FFFFFF"/>
                <w:sz w:val="20"/>
                <w:szCs w:val="20"/>
              </w:rPr>
              <w:t xml:space="preserve">Error</w:t>
            </w:r>
          </w:p>
        </w:tc>
        <w:tc>
          <w:tcPr>
            <w:tcW w:type="dxa" w:w="5960"/>
            <w:tcBorders>
              <w:top w:val="single" w:color="CCCCCC" w:sz="1"/>
              <w:left w:val="single" w:color="CCCCCC" w:sz="1"/>
              <w:bottom w:val="single" w:color="CCCCCC" w:sz="1"/>
              <w:right w:val="single" w:color="CCCCCC" w:sz="1"/>
            </w:tcBorders>
            <w:shd w:fill="002147" w:val="clear"/>
            <w:tcMar>
              <w:top w:type="dxa" w:w="80"/>
              <w:left w:type="dxa" w:w="140"/>
              <w:bottom w:type="dxa" w:w="80"/>
              <w:right w:type="dxa" w:w="140"/>
            </w:tcMar>
            <w:vAlign w:val="center"/>
          </w:tcPr>
          <w:p>
            <w:r>
              <w:rPr>
                <w:rFonts w:ascii="Arial" w:cs="Arial" w:eastAsia="Arial" w:hAnsi="Arial"/>
                <w:b/>
                <w:bCs/>
                <w:color w:val="FFFFFF"/>
                <w:sz w:val="20"/>
                <w:szCs w:val="20"/>
              </w:rPr>
              <w:t xml:space="preserve">Fix</w:t>
            </w:r>
          </w:p>
        </w:tc>
      </w:tr>
      <w:tr>
        <w:tc>
          <w:tcPr>
            <w:tcW w:type="dxa" w:w="3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"model_decommissioned"</w:t>
            </w:r>
          </w:p>
        </w:tc>
        <w:tc>
          <w:tcPr>
            <w:tcW w:type="dxa" w:w="59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The model in GROQ_MODEL_SUMMARY or GROQ_MODEL_EVALUATION has been retired. Update .env.local and restart the dev server. Check console.groq.com/docs/deprecations for the recommended replacement.</w:t>
            </w:r>
          </w:p>
        </w:tc>
      </w:tr>
      <w:tr>
        <w:tc>
          <w:tcPr>
            <w:tcW w:type="dxa" w:w="3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"GROQ_API_KEY not configured"</w:t>
            </w:r>
          </w:p>
        </w:tc>
        <w:tc>
          <w:tcPr>
            <w:tcW w:type="dxa" w:w="5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The env variable is missing or still set to the placeholder "your-groq-api-key-here". Make sure .env.local is saved and the dev server has been restarted.</w:t>
            </w:r>
          </w:p>
        </w:tc>
      </w:tr>
      <w:tr>
        <w:tc>
          <w:tcPr>
            <w:tcW w:type="dxa" w:w="3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429 Rate Limited</w:t>
            </w:r>
          </w:p>
        </w:tc>
        <w:tc>
          <w:tcPr>
            <w:tcW w:type="dxa" w:w="59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You have hit the free tier limit. The route will retry automatically after Retry-After seconds. If persistent, reduce session frequency or consider paid tier.</w:t>
            </w:r>
          </w:p>
        </w:tc>
      </w:tr>
      <w:tr>
        <w:tc>
          <w:tcPr>
            <w:tcW w:type="dxa" w:w="3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File too large (413)</w:t>
            </w:r>
          </w:p>
        </w:tc>
        <w:tc>
          <w:tcPr>
            <w:tcW w:type="dxa" w:w="5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Audio or video file exceeds Groq's 25MB limit. Split into chunks using the 30-second MediaRecorder interval, or use ffmpeg to segment long videos before sending.</w:t>
            </w:r>
          </w:p>
        </w:tc>
      </w:tr>
      <w:tr>
        <w:tc>
          <w:tcPr>
            <w:tcW w:type="dxa" w:w="3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Empty transcript</w:t>
            </w:r>
          </w:p>
        </w:tc>
        <w:tc>
          <w:tcPr>
            <w:tcW w:type="dxa" w:w="59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Whisper returned an empty string. Usually silence or background noise. The evaluation pipeline handles this gracefully by assigning a score of 0 for that participant.</w:t>
            </w:r>
          </w:p>
        </w:tc>
      </w:tr>
      <w:tr>
        <w:tc>
          <w:tcPr>
            <w:tcW w:type="dxa" w:w="3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JSON parse error from evaluate</w:t>
            </w:r>
          </w:p>
        </w:tc>
        <w:tc>
          <w:tcPr>
            <w:tcW w:type="dxa" w:w="5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The LLM returned a non-JSON response. The route returns a 502 with the raw content. Try switching to llama-3.3-70b-versatile (stronger at following JSON format instructions).</w:t>
            </w:r>
          </w:p>
        </w:tc>
      </w:tr>
    </w:tbl>
    <w:p>
      <w:pPr>
        <w:spacing w:after="0" w:before="200"/>
      </w:pPr>
      <w:r>
        <w:t xml:space="preserve"/>
      </w:r>
    </w:p>
    <w:p>
      <w:pPr>
        <w:pStyle w:val="Heading1"/>
        <w:spacing w:after="160" w:before="320"/>
      </w:pPr>
      <w:r>
        <w:rPr>
          <w:rFonts w:ascii="Arial" w:cs="Arial" w:eastAsia="Arial" w:hAnsi="Arial"/>
          <w:b/>
          <w:bCs/>
          <w:color w:val="002147"/>
          <w:sz w:val="36"/>
          <w:szCs w:val="36"/>
        </w:rPr>
        <w:t xml:space="preserve">8.  Sprint Integration Plan</w:t>
      </w:r>
    </w:p>
    <w:p>
      <w:pPr>
        <w:spacing w:after="80" w:before="80"/>
        <w:jc w:val="left"/>
      </w:pPr>
      <w:r>
        <w:rPr>
          <w:rFonts w:ascii="Arial" w:cs="Arial" w:eastAsia="Arial" w:hAnsi="Arial"/>
          <w:b w:val="false"/>
          <w:bCs w:val="false"/>
          <w:color w:val="1A1A1A"/>
          <w:sz w:val="22"/>
          <w:szCs w:val="22"/>
        </w:rPr>
        <w:t xml:space="preserve">Recommended order for building AI features into the platform: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W w:type="dxa" w:w="1600"/>
            <w:tcBorders>
              <w:top w:val="single" w:color="CCCCCC" w:sz="1"/>
              <w:left w:val="single" w:color="CCCCCC" w:sz="1"/>
              <w:bottom w:val="single" w:color="CCCCCC" w:sz="1"/>
              <w:right w:val="single" w:color="CCCCCC" w:sz="1"/>
            </w:tcBorders>
            <w:shd w:fill="002147" w:val="clear"/>
            <w:tcMar>
              <w:top w:type="dxa" w:w="80"/>
              <w:left w:type="dxa" w:w="140"/>
              <w:bottom w:type="dxa" w:w="80"/>
              <w:right w:type="dxa" w:w="140"/>
            </w:tcMar>
            <w:vAlign w:val="center"/>
          </w:tcPr>
          <w:p>
            <w:r>
              <w:rPr>
                <w:rFonts w:ascii="Arial" w:cs="Arial" w:eastAsia="Arial" w:hAnsi="Arial"/>
                <w:b/>
                <w:bCs/>
                <w:color w:val="FFFFFF"/>
                <w:sz w:val="20"/>
                <w:szCs w:val="20"/>
              </w:rPr>
              <w:t xml:space="preserve">Sprint</w:t>
            </w:r>
          </w:p>
        </w:tc>
        <w:tc>
          <w:tcPr>
            <w:tcW w:type="dxa" w:w="2200"/>
            <w:tcBorders>
              <w:top w:val="single" w:color="CCCCCC" w:sz="1"/>
              <w:left w:val="single" w:color="CCCCCC" w:sz="1"/>
              <w:bottom w:val="single" w:color="CCCCCC" w:sz="1"/>
              <w:right w:val="single" w:color="CCCCCC" w:sz="1"/>
            </w:tcBorders>
            <w:shd w:fill="002147" w:val="clear"/>
            <w:tcMar>
              <w:top w:type="dxa" w:w="80"/>
              <w:left w:type="dxa" w:w="140"/>
              <w:bottom w:type="dxa" w:w="80"/>
              <w:right w:type="dxa" w:w="140"/>
            </w:tcMar>
            <w:vAlign w:val="center"/>
          </w:tcPr>
          <w:p>
            <w:r>
              <w:rPr>
                <w:rFonts w:ascii="Arial" w:cs="Arial" w:eastAsia="Arial" w:hAnsi="Arial"/>
                <w:b/>
                <w:bCs/>
                <w:color w:val="FFFFFF"/>
                <w:sz w:val="20"/>
                <w:szCs w:val="20"/>
              </w:rPr>
              <w:t xml:space="preserve">Features</w:t>
            </w:r>
          </w:p>
        </w:tc>
        <w:tc>
          <w:tcPr>
            <w:tcW w:type="dxa" w:w="5560"/>
            <w:tcBorders>
              <w:top w:val="single" w:color="CCCCCC" w:sz="1"/>
              <w:left w:val="single" w:color="CCCCCC" w:sz="1"/>
              <w:bottom w:val="single" w:color="CCCCCC" w:sz="1"/>
              <w:right w:val="single" w:color="CCCCCC" w:sz="1"/>
            </w:tcBorders>
            <w:shd w:fill="002147" w:val="clear"/>
            <w:tcMar>
              <w:top w:type="dxa" w:w="80"/>
              <w:left w:type="dxa" w:w="140"/>
              <w:bottom w:type="dxa" w:w="80"/>
              <w:right w:type="dxa" w:w="140"/>
            </w:tcMar>
            <w:vAlign w:val="center"/>
          </w:tcPr>
          <w:p>
            <w:r>
              <w:rPr>
                <w:rFonts w:ascii="Arial" w:cs="Arial" w:eastAsia="Arial" w:hAnsi="Arial"/>
                <w:b/>
                <w:bCs/>
                <w:color w:val="FFFFFF"/>
                <w:sz w:val="20"/>
                <w:szCs w:val="20"/>
              </w:rPr>
              <w:t xml:space="preserve">Notes</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r>
              <w:rPr>
                <w:rFonts w:ascii="Arial" w:cs="Arial" w:eastAsia="Arial" w:hAnsi="Arial"/>
                <w:b/>
                <w:bCs/>
                <w:color w:val="1A1A1A"/>
                <w:sz w:val="20"/>
                <w:szCs w:val="20"/>
              </w:rPr>
              <w:t xml:space="preserve">Sprint 2
Weeks 3–4</w:t>
            </w:r>
          </w:p>
        </w:tc>
        <w:tc>
          <w:tcPr>
            <w:tcW w:type="dxa" w:w="2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D — Quiz Explanations
E — Video Captions</w:t>
            </w:r>
          </w:p>
        </w:tc>
        <w:tc>
          <w:tcPr>
            <w:tcW w:type="dxa" w:w="5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Both are admin/instructor tools. Good for testing the Groq connection early with low risk.</w:t>
            </w:r>
          </w:p>
        </w:tc>
      </w:tr>
      <w:tr>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bCs/>
                <w:color w:val="1A1A1A"/>
                <w:sz w:val="20"/>
                <w:szCs w:val="20"/>
              </w:rPr>
              <w:t xml:space="preserve">Sprint 3
Weeks 5–6</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A — Live Transcription</w:t>
            </w:r>
          </w:p>
        </w:tc>
        <w:tc>
          <w:tcPr>
            <w:tcW w:type="dxa" w:w="5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Build alongside LiveKit integration. Transcripts accumulate silently in the background while the session runs.</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r>
              <w:rPr>
                <w:rFonts w:ascii="Arial" w:cs="Arial" w:eastAsia="Arial" w:hAnsi="Arial"/>
                <w:b/>
                <w:bCs/>
                <w:color w:val="1A1A1A"/>
                <w:sz w:val="20"/>
                <w:szCs w:val="20"/>
              </w:rPr>
              <w:t xml:space="preserve">Sprint 4
Weeks 7–8</w:t>
            </w:r>
          </w:p>
        </w:tc>
        <w:tc>
          <w:tcPr>
            <w:tcW w:type="dxa" w:w="2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B — Bloom's Evaluation
C — Session Summary
F — Insight Tags</w:t>
            </w:r>
          </w:p>
        </w:tc>
        <w:tc>
          <w:tcPr>
            <w:tcW w:type="dxa" w:w="5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Core AI features. Build after transcripts are flowing. Evaluation is triggered at slideType 11.</w:t>
            </w:r>
          </w:p>
        </w:tc>
      </w:tr>
    </w:tbl>
    <w:p>
      <w:pPr>
        <w:spacing w:after="0" w:before="200"/>
      </w:pPr>
      <w:r>
        <w:t xml:space="preserve"/>
      </w:r>
    </w:p>
    <w:p>
      <w:pPr>
        <w:pBdr>
          <w:bottom w:val="single" w:color="E87722" w:sz="4"/>
        </w:pBdr>
        <w:spacing w:after="160" w:before="160"/>
      </w:pPr>
      <w:r>
        <w:t xml:space="preserve"/>
      </w:r>
    </w:p>
    <w:p>
      <w:pPr>
        <w:spacing w:after="0" w:before="80"/>
      </w:pPr>
      <w:r>
        <w:t xml:space="preserve"/>
      </w:r>
    </w:p>
    <w:p>
      <w:pPr>
        <w:spacing w:after="40" w:before="0"/>
        <w:jc w:val="center"/>
      </w:pPr>
      <w:r>
        <w:rPr>
          <w:rFonts w:ascii="Arial" w:cs="Arial" w:eastAsia="Arial" w:hAnsi="Arial"/>
          <w:color w:val="444444"/>
          <w:sz w:val="18"/>
          <w:szCs w:val="18"/>
        </w:rPr>
        <w:t xml:space="preserve">WANAC Foundation  •  Taproot Volunteers  •  April 2026</w:t>
      </w:r>
    </w:p>
    <w:p>
      <w:pPr>
        <w:jc w:val="center"/>
      </w:pPr>
      <w:r>
        <w:rPr>
          <w:rFonts w:ascii="Arial" w:cs="Arial" w:eastAsia="Arial" w:hAnsi="Arial"/>
          <w:color w:val="E87722"/>
          <w:sz w:val="18"/>
          <w:szCs w:val="18"/>
        </w:rPr>
        <w:t xml:space="preserve">Generated with Groq Whisper + Groq LLM (Free Tier)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7722" w:sz="4"/>
      </w:pBdr>
      <w:spacing w:after="0" w:before="120"/>
      <w:jc w:val="center"/>
    </w:pPr>
    <w:r>
      <w:rPr>
        <w:rFonts w:ascii="Arial" w:cs="Arial" w:eastAsia="Arial" w:hAnsi="Arial"/>
        <w:color w:val="444444"/>
        <w:sz w:val="18"/>
        <w:szCs w:val="18"/>
      </w:rPr>
      <w:t xml:space="preserve">WANAC Foundation  •  Confidential  •  Page </w:t>
    </w:r>
    <w:r>
      <w:rPr>
        <w:rFonts w:ascii="Arial" w:cs="Arial" w:eastAsia="Arial" w:hAnsi="Arial"/>
        <w:color w:val="44444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7722" w:sz="4"/>
      </w:pBdr>
      <w:spacing w:after="160" w:before="0"/>
    </w:pPr>
    <w:r>
      <w:rPr>
        <w:rFonts w:ascii="Arial" w:cs="Arial" w:eastAsia="Arial" w:hAnsi="Arial"/>
        <w:color w:val="444444"/>
        <w:sz w:val="18"/>
        <w:szCs w:val="18"/>
      </w:rPr>
      <w:t xml:space="preserve">Fireteam AI Integration  </w:t>
    </w:r>
    <w:r>
      <w:rPr>
        <w:rFonts w:ascii="Arial" w:cs="Arial" w:eastAsia="Arial" w:hAnsi="Arial"/>
        <w:color w:val="E87722"/>
        <w:sz w:val="18"/>
        <w:szCs w:val="18"/>
      </w:rPr>
      <w:t xml:space="preserve">|  Groq Whisper + Groq LLM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02147"/>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02147"/>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8bkfwzpcuyqquhut2kxyg" Type="http://schemas.openxmlformats.org/officeDocument/2006/relationships/hyperlink" Target="https://console.groq.com"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2026-04-03T14:36:28.075Z</dcterms:created>
  <dcterms:modified xsi:type="dcterms:W3CDTF">2026-04-03T14:36:28.075Z</dcterms:modified>
</cp:coreProperties>
</file>

<file path=docProps/custom.xml><?xml version="1.0" encoding="utf-8"?>
<Properties xmlns="http://schemas.openxmlformats.org/officeDocument/2006/custom-properties" xmlns:vt="http://schemas.openxmlformats.org/officeDocument/2006/docPropsVTypes"/>
</file>