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5276"/>
          <w:sz w:val="52"/>
          <w:szCs w:val="52"/>
        </w:rPr>
        <w:t xml:space="preserve">CYBERDUDEBIVASH SENTINEL APEX</w:t>
      </w:r>
    </w:p>
    <w:p>
      <w:pPr>
        <w:spacing w:after="120"/>
        <w:jc w:val="center"/>
      </w:pPr>
      <w:r>
        <w:rPr>
          <w:rFonts w:ascii="Arial" w:cs="Arial" w:eastAsia="Arial" w:hAnsi="Arial"/>
          <w:color w:val="2E86C1"/>
          <w:sz w:val="36"/>
          <w:szCs w:val="36"/>
        </w:rPr>
        <w:t xml:space="preserve">Platform Transformation &amp; Enterprise Monetization Strategy</w:t>
      </w:r>
    </w:p>
    <w:p>
      <w:pPr>
        <w:spacing w:after="360"/>
        <w:jc w:val="center"/>
      </w:pPr>
      <w:r>
        <w:rPr>
          <w:rFonts w:ascii="Arial" w:cs="Arial" w:eastAsia="Arial" w:hAnsi="Arial"/>
          <w:i/>
          <w:iCs/>
          <w:color w:val="555555"/>
          <w:sz w:val="28"/>
          <w:szCs w:val="28"/>
        </w:rPr>
        <w:t xml:space="preserve">v161.3 → v2.0 Productization Roadmap</w:t>
      </w:r>
    </w:p>
    <w:p>
      <w:pPr>
        <w:pBdr>
          <w:bottom w:val="single" w:color="2E86C1" w:sz="4" w:space="1"/>
        </w:pBd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sz w:val="20"/>
                <w:szCs w:val="20"/>
              </w:rPr>
              <w:t xml:space="preserve">Prepared For</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Strategic Assessment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Bivash Kumar Nayak</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CONFIDENTIAL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 May 2026</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Platform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Next Review</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SENTINEL APEX v161.3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FINAL DRAFT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Q3 2026</w:t>
            </w:r>
          </w:p>
        </w:tc>
      </w:tr>
    </w:tbl>
    <w:p>
      <w:pPr>
        <w:spacing w:after="80"/>
      </w:pPr>
      <w:r>
        <w:t xml:space="preserve"/>
      </w:r>
    </w:p>
    <w:p>
      <w:r>
        <w:br w:type="page"/>
      </w:r>
    </w:p>
    <w:p>
      <w:pPr>
        <w:pStyle w:val="Heading1"/>
      </w:pPr>
      <w:r>
        <w:rPr>
          <w:b/>
          <w:bCs/>
        </w:rPr>
        <w:t xml:space="preserve">Executive Summary</w:t>
      </w:r>
    </w:p>
    <w:p>
      <w:pPr>
        <w:spacing w:after="120"/>
      </w:pPr>
      <w:r>
        <w:t xml:space="preserve">CYBERDUDEBIVASH SENTINEL APEX is a functioning, live threat intelligence platform at version 161.3 with genuine commercial infrastructure: tiered pricing ($0 free → $49 Pro → $499 Enterprise → $1,999 MSSP), a Gumroad digital product store, STIX 2.1 compliance, MITRE ATT&amp;CK mapping, real-time advisory feeds from 74 sources, and 12 GENESIS operational engines. This is a real product with a real business model — not a prototype.</w:t>
      </w:r>
    </w:p>
    <w:p>
      <w:pPr>
        <w:spacing w:after="80"/>
      </w:pPr>
      <w:r>
        <w:t xml:space="preserve"/>
      </w:r>
    </w:p>
    <w:p>
      <w:pPr>
        <w:spacing w:after="120"/>
      </w:pPr>
      <w:r>
        <w:t xml:space="preserve">This document provides a forensic assessment of the platform's current state based on analysis of live API output, dashboard telemetry, six tactical dossier reports, and the threat intelligence CSV feed. It identifies the specific technical defects, data quality issues, and productization gaps that are currently blocking enterprise sales and subscription growth — and delivers the production-grade remediation code, API specification, and strategic roadmap to close those gaps.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3"/>
              <w:left w:val="single" w:color="2E86C1" w:sz="3"/>
              <w:bottom w:val="single" w:color="2E86C1" w:sz="3"/>
              <w:right w:val="single" w:color="2E86C1" w:sz="3"/>
            </w:tcBorders>
            <w:shd w:fill="EBF5FB" w:val="clear"/>
            <w:tcMar>
              <w:top w:type="dxa" w:w="120"/>
              <w:left w:type="dxa" w:w="180"/>
              <w:bottom w:type="dxa" w:w="120"/>
              <w:right w:type="dxa" w:w="180"/>
            </w:tcMar>
          </w:tcPr>
          <w:p>
            <w:r>
              <w:rPr>
                <w:b/>
                <w:bCs/>
                <w:color w:val="1A5276"/>
                <w:sz w:val="22"/>
                <w:szCs w:val="22"/>
              </w:rPr>
              <w:t xml:space="preserve">ℹ Key Finding: The Platform is 80% of the Way There</w:t>
            </w:r>
          </w:p>
          <w:p>
            <w:pPr>
              <w:spacing w:after="60"/>
            </w:pPr>
            <w:r>
              <w:rPr>
                <w:sz w:val="20"/>
                <w:szCs w:val="20"/>
              </w:rPr>
              <w:t xml:space="preserve">Most of the enterprise-grade surface area already exists: the intelligence pipeline, the report format, the tier model, the detection pack generation, the STIX export.</w:t>
            </w:r>
          </w:p>
          <w:p>
            <w:pPr>
              <w:spacing w:after="60"/>
            </w:pPr>
            <w:r>
              <w:rPr>
                <w:sz w:val="20"/>
                <w:szCs w:val="20"/>
              </w:rPr>
              <w:t xml:space="preserve">What is broken is concentrated in 5 specific defects — all fixable in a focused 30-day engineering sprint.</w:t>
            </w:r>
          </w:p>
          <w:p>
            <w:pPr>
              <w:spacing w:after="60"/>
            </w:pPr>
            <w:r>
              <w:rPr>
                <w:sz w:val="20"/>
                <w:szCs w:val="20"/>
              </w:rPr>
              <w:t xml:space="preserve">Fixing these 5 defects would immediately elevate the platform from 'credible demo' to 'enterprise-sellable product'.</w:t>
            </w:r>
          </w:p>
        </w:tc>
      </w:tr>
    </w:tbl>
    <w:p>
      <w:pPr>
        <w:spacing w:after="80"/>
      </w:pPr>
      <w:r>
        <w:t xml:space="preserve"/>
      </w:r>
    </w:p>
    <w:p>
      <w:r>
        <w:br w:type="page"/>
      </w:r>
    </w:p>
    <w:p>
      <w:pPr>
        <w:pStyle w:val="Heading1"/>
      </w:pPr>
      <w:r>
        <w:rPr>
          <w:b/>
          <w:bCs/>
        </w:rPr>
        <w:t xml:space="preserve">1. Current State — What Is Working</w:t>
      </w:r>
    </w:p>
    <w:p>
      <w:pPr>
        <w:spacing w:after="120"/>
      </w:pPr>
      <w:r>
        <w:t xml:space="preserve">The following capabilities are production-operational and constitute genuine commercial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3"/>
              <w:left w:val="single" w:color="27AE60" w:sz="3"/>
              <w:bottom w:val="single" w:color="27AE60" w:sz="3"/>
              <w:right w:val="single" w:color="27AE60" w:sz="3"/>
            </w:tcBorders>
            <w:shd w:fill="EAFAF1" w:val="clear"/>
            <w:tcMar>
              <w:top w:type="dxa" w:w="120"/>
              <w:left w:type="dxa" w:w="180"/>
              <w:bottom w:type="dxa" w:w="120"/>
              <w:right w:type="dxa" w:w="180"/>
            </w:tcMar>
          </w:tcPr>
          <w:p>
            <w:r>
              <w:rPr>
                <w:b/>
                <w:bCs/>
                <w:color w:val="1E8449"/>
                <w:sz w:val="22"/>
                <w:szCs w:val="22"/>
              </w:rPr>
              <w:t xml:space="preserve">✓ Intelligence Pipeline — Operational</w:t>
            </w:r>
          </w:p>
          <w:p>
            <w:pPr>
              <w:spacing w:after="60"/>
            </w:pPr>
            <w:r>
              <w:rPr>
                <w:sz w:val="20"/>
                <w:szCs w:val="20"/>
              </w:rPr>
              <w:t xml:space="preserve">74 active intel sources with 6-hour sync cycle producing real advisories</w:t>
            </w:r>
          </w:p>
          <w:p>
            <w:pPr>
              <w:spacing w:after="60"/>
            </w:pPr>
            <w:r>
              <w:rPr>
                <w:sz w:val="20"/>
                <w:szCs w:val="20"/>
              </w:rPr>
              <w:t xml:space="preserve">STIX 2.1 compliant object generation with unique stix_id per advisory</w:t>
            </w:r>
          </w:p>
          <w:p>
            <w:pPr>
              <w:spacing w:after="60"/>
            </w:pPr>
            <w:r>
              <w:rPr>
                <w:sz w:val="20"/>
                <w:szCs w:val="20"/>
              </w:rPr>
              <w:t xml:space="preserve">MITRE ATT&amp;CK v16 technique mapping with tactic-phase grouping</w:t>
            </w:r>
          </w:p>
          <w:p>
            <w:pPr>
              <w:spacing w:after="60"/>
            </w:pPr>
            <w:r>
              <w:rPr>
                <w:sz w:val="20"/>
                <w:szCs w:val="20"/>
              </w:rPr>
              <w:t xml:space="preserve">EPSS scores ingested and CISA KEV catalog cross-referencing (logic exists, display bugs aside)</w:t>
            </w:r>
          </w:p>
          <w:p>
            <w:pPr>
              <w:spacing w:after="60"/>
            </w:pPr>
            <w:r>
              <w:rPr>
                <w:sz w:val="20"/>
                <w:szCs w:val="20"/>
              </w:rPr>
              <w:t xml:space="preserve">20-section tactical dossier format covering all required enterprise intel dimensions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3"/>
              <w:left w:val="single" w:color="27AE60" w:sz="3"/>
              <w:bottom w:val="single" w:color="27AE60" w:sz="3"/>
              <w:right w:val="single" w:color="27AE60" w:sz="3"/>
            </w:tcBorders>
            <w:shd w:fill="EAFAF1" w:val="clear"/>
            <w:tcMar>
              <w:top w:type="dxa" w:w="120"/>
              <w:left w:type="dxa" w:w="180"/>
              <w:bottom w:type="dxa" w:w="120"/>
              <w:right w:type="dxa" w:w="180"/>
            </w:tcMar>
          </w:tcPr>
          <w:p>
            <w:r>
              <w:rPr>
                <w:b/>
                <w:bCs/>
                <w:color w:val="1E8449"/>
                <w:sz w:val="22"/>
                <w:szCs w:val="22"/>
              </w:rPr>
              <w:t xml:space="preserve">✓ Commercial Infrastructure — Operational</w:t>
            </w:r>
          </w:p>
          <w:p>
            <w:pPr>
              <w:spacing w:after="60"/>
            </w:pPr>
            <w:r>
              <w:rPr>
                <w:sz w:val="20"/>
                <w:szCs w:val="20"/>
              </w:rPr>
              <w:t xml:space="preserve">4-tier subscription model (Free / Pro $49 / Enterprise $499 / MSSP $1,999)</w:t>
            </w:r>
          </w:p>
          <w:p>
            <w:pPr>
              <w:spacing w:after="60"/>
            </w:pPr>
            <w:r>
              <w:rPr>
                <w:sz w:val="20"/>
                <w:szCs w:val="20"/>
              </w:rPr>
              <w:t xml:space="preserve">Gumroad digital product store with 6+ SKUs ($49–$499 one-time downloads)</w:t>
            </w:r>
          </w:p>
          <w:p>
            <w:pPr>
              <w:spacing w:after="60"/>
            </w:pPr>
            <w:r>
              <w:rPr>
                <w:sz w:val="20"/>
                <w:szCs w:val="20"/>
              </w:rPr>
              <w:t xml:space="preserve">API authentication with JWT, rate limiting per tier, upgrade call-to-action</w:t>
            </w:r>
          </w:p>
          <w:p>
            <w:pPr>
              <w:spacing w:after="60"/>
            </w:pPr>
            <w:r>
              <w:rPr>
                <w:sz w:val="20"/>
                <w:szCs w:val="20"/>
              </w:rPr>
              <w:t xml:space="preserve">GSTIN registration: 21ARKPN8270G1ZP — legally registered private limited company</w:t>
            </w:r>
          </w:p>
          <w:p>
            <w:pPr>
              <w:spacing w:after="60"/>
            </w:pPr>
            <w:r>
              <w:rPr>
                <w:sz w:val="20"/>
                <w:szCs w:val="20"/>
              </w:rPr>
              <w:t xml:space="preserve">WhatsApp/email/Upwork/Fiverr contact channels for enterprise inquiries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3"/>
              <w:left w:val="single" w:color="27AE60" w:sz="3"/>
              <w:bottom w:val="single" w:color="27AE60" w:sz="3"/>
              <w:right w:val="single" w:color="27AE60" w:sz="3"/>
            </w:tcBorders>
            <w:shd w:fill="EAFAF1" w:val="clear"/>
            <w:tcMar>
              <w:top w:type="dxa" w:w="120"/>
              <w:left w:type="dxa" w:w="180"/>
              <w:bottom w:type="dxa" w:w="120"/>
              <w:right w:type="dxa" w:w="180"/>
            </w:tcMar>
          </w:tcPr>
          <w:p>
            <w:r>
              <w:rPr>
                <w:b/>
                <w:bCs/>
                <w:color w:val="1E8449"/>
                <w:sz w:val="22"/>
                <w:szCs w:val="22"/>
              </w:rPr>
              <w:t xml:space="preserve">✓ Detection Engineering Pack — Functional</w:t>
            </w:r>
          </w:p>
          <w:p>
            <w:pPr>
              <w:spacing w:after="60"/>
            </w:pPr>
            <w:r>
              <w:rPr>
                <w:sz w:val="20"/>
                <w:szCs w:val="20"/>
              </w:rPr>
              <w:t xml:space="preserve">Per-advisory Sigma rule generation with vulnerability class detection logic</w:t>
            </w:r>
          </w:p>
          <w:p>
            <w:pPr>
              <w:spacing w:after="60"/>
            </w:pPr>
            <w:r>
              <w:rPr>
                <w:sz w:val="20"/>
                <w:szCs w:val="20"/>
              </w:rPr>
              <w:t xml:space="preserve">YARA rule generation per advisory (structure correct; string content needs fix)</w:t>
            </w:r>
          </w:p>
          <w:p>
            <w:pPr>
              <w:spacing w:after="60"/>
            </w:pPr>
            <w:r>
              <w:rPr>
                <w:sz w:val="20"/>
                <w:szCs w:val="20"/>
              </w:rPr>
              <w:t xml:space="preserve">KQL queries for Microsoft Sentinel / Defender XDR</w:t>
            </w:r>
          </w:p>
          <w:p>
            <w:pPr>
              <w:spacing w:after="60"/>
            </w:pPr>
            <w:r>
              <w:rPr>
                <w:sz w:val="20"/>
                <w:szCs w:val="20"/>
              </w:rPr>
              <w:t xml:space="preserve">SPL searches for Splunk Enterprise Security</w:t>
            </w:r>
          </w:p>
          <w:p>
            <w:pPr>
              <w:spacing w:after="60"/>
            </w:pPr>
            <w:r>
              <w:rPr>
                <w:sz w:val="20"/>
                <w:szCs w:val="20"/>
              </w:rPr>
              <w:t xml:space="preserve">MITRE ATT&amp;CK tags applied to all generated rules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3"/>
              <w:left w:val="single" w:color="27AE60" w:sz="3"/>
              <w:bottom w:val="single" w:color="27AE60" w:sz="3"/>
              <w:right w:val="single" w:color="27AE60" w:sz="3"/>
            </w:tcBorders>
            <w:shd w:fill="EAFAF1" w:val="clear"/>
            <w:tcMar>
              <w:top w:type="dxa" w:w="120"/>
              <w:left w:type="dxa" w:w="180"/>
              <w:bottom w:type="dxa" w:w="120"/>
              <w:right w:type="dxa" w:w="180"/>
            </w:tcMar>
          </w:tcPr>
          <w:p>
            <w:r>
              <w:rPr>
                <w:b/>
                <w:bCs/>
                <w:color w:val="1E8449"/>
                <w:sz w:val="22"/>
                <w:szCs w:val="22"/>
              </w:rPr>
              <w:t xml:space="preserve">✓ Dashboard &amp; Visualizations — Operational</w:t>
            </w:r>
          </w:p>
          <w:p>
            <w:pPr>
              <w:spacing w:after="60"/>
            </w:pPr>
            <w:r>
              <w:rPr>
                <w:sz w:val="20"/>
                <w:szCs w:val="20"/>
              </w:rPr>
              <w:t xml:space="preserve">Live ATT&amp;CK technique heatmap grouped by tactic phase</w:t>
            </w:r>
          </w:p>
          <w:p>
            <w:pPr>
              <w:spacing w:after="60"/>
            </w:pPr>
            <w:r>
              <w:rPr>
                <w:sz w:val="20"/>
                <w:szCs w:val="20"/>
              </w:rPr>
              <w:t xml:space="preserve">CORTEX knowledge graph (27 nodes), QUANTUM feed trust scoring, SOVEREIGN governance</w:t>
            </w:r>
          </w:p>
          <w:p>
            <w:pPr>
              <w:spacing w:after="60"/>
            </w:pPr>
            <w:r>
              <w:rPr>
                <w:sz w:val="20"/>
                <w:szCs w:val="20"/>
              </w:rPr>
              <w:t xml:space="preserve">NEXUS Intelligence v134 with PIR coverage tracking</w:t>
            </w:r>
          </w:p>
          <w:p>
            <w:pPr>
              <w:spacing w:after="60"/>
            </w:pPr>
            <w:r>
              <w:rPr>
                <w:sz w:val="20"/>
                <w:szCs w:val="20"/>
              </w:rPr>
              <w:t xml:space="preserve">TIP+SOAR Command Center with 200 incidents, 200 playbooks, 36 automated response actions</w:t>
            </w:r>
          </w:p>
          <w:p>
            <w:pPr>
              <w:spacing w:after="60"/>
            </w:pPr>
            <w:r>
              <w:rPr>
                <w:sz w:val="20"/>
                <w:szCs w:val="20"/>
              </w:rPr>
              <w:t xml:space="preserve">BUG HUNTER recon engine with 12 sub-engines and live vulnerability findings</w:t>
            </w:r>
          </w:p>
          <w:p>
            <w:pPr>
              <w:spacing w:after="60"/>
            </w:pPr>
            <w:r>
              <w:rPr>
                <w:sz w:val="20"/>
                <w:szCs w:val="20"/>
              </w:rPr>
              <w:t xml:space="preserve">GENESIS 12-engine global intelligence network</w:t>
            </w:r>
          </w:p>
        </w:tc>
      </w:tr>
    </w:tbl>
    <w:p>
      <w:pPr>
        <w:spacing w:after="80"/>
      </w:pPr>
      <w:r>
        <w:t xml:space="preserve"/>
      </w:r>
    </w:p>
    <w:p>
      <w:r>
        <w:br w:type="page"/>
      </w:r>
    </w:p>
    <w:p>
      <w:pPr>
        <w:pStyle w:val="Heading1"/>
      </w:pPr>
      <w:r>
        <w:rPr>
          <w:b/>
          <w:bCs/>
        </w:rPr>
        <w:t xml:space="preserve">2. Critical Defects — Revenue-Blocking Issues</w:t>
      </w:r>
    </w:p>
    <w:p>
      <w:pPr>
        <w:spacing w:after="120"/>
      </w:pPr>
      <w:r>
        <w:t xml:space="preserve">The following five defects were identified through forensic analysis of live platform output. Each one individually would cause a Tier-1 SOC analyst or enterprise security buyer to immediately reject the platform on evaluation. They must be fixed before enterprise outreach scales.</w:t>
      </w:r>
    </w:p>
    <w:p>
      <w:pPr>
        <w:spacing w:after="80"/>
      </w:pPr>
      <w:r>
        <w:t xml:space="preserve"/>
      </w:r>
    </w:p>
    <w:p>
      <w:pPr>
        <w:pStyle w:val="Heading2"/>
      </w:pPr>
      <w:r>
        <w:t xml:space="preserve">Defect 1: IOC Extraction Produces Garbage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20"/>
              <w:left w:type="dxa" w:w="180"/>
              <w:bottom w:type="dxa" w:w="120"/>
              <w:right w:type="dxa" w:w="180"/>
            </w:tcMar>
          </w:tcPr>
          <w:p>
            <w:r>
              <w:rPr>
                <w:b/>
                <w:bCs/>
                <w:color w:val="C0392B"/>
                <w:sz w:val="22"/>
                <w:szCs w:val="22"/>
              </w:rPr>
              <w:t xml:space="preserve">⚠ SEVERITY: CRITICAL — Enterprise Deal Killer</w:t>
            </w:r>
          </w:p>
          <w:p>
            <w:pPr>
              <w:spacing w:after="60"/>
            </w:pPr>
            <w:r>
              <w:rPr>
                <w:sz w:val="20"/>
                <w:szCs w:val="20"/>
              </w:rPr>
              <w:t xml:space="preserve">The IOC extraction engine is extracting JavaScript DOM properties, blog post URLs, and generic software filenames as 'Indicators of Compromise' and pushing them into client SIEM rules.</w:t>
            </w:r>
          </w:p>
          <w:p>
            <w:pPr>
              <w:spacing w:after="60"/>
            </w:pPr>
            <w:r>
              <w:rPr>
                <w:sz w:val="20"/>
                <w:szCs w:val="20"/>
              </w:rPr>
              <w:t xml:space="preserve"/>
            </w:r>
          </w:p>
          <w:p>
            <w:pPr>
              <w:spacing w:after="60"/>
            </w:pPr>
            <w:r>
              <w:rPr>
                <w:sz w:val="20"/>
                <w:szCs w:val="20"/>
              </w:rPr>
              <w:t xml:space="preserve">Observed garbage IOCs in live production output:</w:t>
            </w:r>
          </w:p>
          <w:p>
            <w:pPr>
              <w:spacing w:after="60"/>
            </w:pPr>
            <w:r>
              <w:rPr>
                <w:sz w:val="20"/>
                <w:szCs w:val="20"/>
              </w:rPr>
              <w:t xml:space="preserve">  • 'attack.execution' — listed as a DOMAIN indicator, pushed to Splunk and Sentinel rules</w:t>
            </w:r>
          </w:p>
          <w:p>
            <w:pPr>
              <w:spacing w:after="60"/>
            </w:pPr>
            <w:r>
              <w:rPr>
                <w:sz w:val="20"/>
                <w:szCs w:val="20"/>
              </w:rPr>
              <w:t xml:space="preserve">  • 'document.cookie' — listed as a DOMAIN indicator</w:t>
            </w:r>
          </w:p>
          <w:p>
            <w:pPr>
              <w:spacing w:after="60"/>
            </w:pPr>
            <w:r>
              <w:rPr>
                <w:sz w:val="20"/>
                <w:szCs w:val="20"/>
              </w:rPr>
              <w:t xml:space="preserve">  • 'attack.discovery' — listed as a DOMAIN indicator</w:t>
            </w:r>
          </w:p>
          <w:p>
            <w:pPr>
              <w:spacing w:after="60"/>
            </w:pPr>
            <w:r>
              <w:rPr>
                <w:sz w:val="20"/>
                <w:szCs w:val="20"/>
              </w:rPr>
              <w:t xml:space="preserve">  • 'tools.installer' — listed as a DOMAIN indicator</w:t>
            </w:r>
          </w:p>
          <w:p>
            <w:pPr>
              <w:spacing w:after="60"/>
            </w:pPr>
            <w:r>
              <w:rPr>
                <w:sz w:val="20"/>
                <w:szCs w:val="20"/>
              </w:rPr>
              <w:t xml:space="preserve">  • 'Wireshark.exe' — listed as a DOMAIN indicator</w:t>
            </w:r>
          </w:p>
          <w:p>
            <w:pPr>
              <w:spacing w:after="60"/>
            </w:pPr>
            <w:r>
              <w:rPr>
                <w:sz w:val="20"/>
                <w:szCs w:val="20"/>
              </w:rPr>
              <w:t xml:space="preserve">  • 'https://blog.cyberdudebivash.in/...' — own blog URLs as malicious IOCs in YARA rules</w:t>
            </w:r>
          </w:p>
          <w:p>
            <w:pPr>
              <w:spacing w:after="60"/>
            </w:pPr>
            <w:r>
              <w:rPr>
                <w:sz w:val="20"/>
                <w:szCs w:val="20"/>
              </w:rPr>
              <w:t xml:space="preserve">  • 'https://cybersecuritynews.com/...' — news source URLs as IOCs</w:t>
            </w:r>
          </w:p>
          <w:p>
            <w:pPr>
              <w:spacing w:after="60"/>
            </w:pPr>
            <w:r>
              <w:rPr>
                <w:sz w:val="20"/>
                <w:szCs w:val="20"/>
              </w:rPr>
              <w:t xml:space="preserve"/>
            </w:r>
          </w:p>
          <w:p>
            <w:pPr>
              <w:spacing w:after="60"/>
            </w:pPr>
            <w:r>
              <w:rPr>
                <w:sz w:val="20"/>
                <w:szCs w:val="20"/>
              </w:rPr>
              <w:t xml:space="preserve">Impact: Any enterprise client deploying these SIEM rules would immediately trigger thousands of false positive alerts and block legitimate traffic including to your own blog. This would result in immediate cancellation, public negative reviews, and reputational damage.</w:t>
            </w:r>
          </w:p>
          <w:p>
            <w:pPr>
              <w:spacing w:after="60"/>
            </w:pPr>
            <w:r>
              <w:rPr>
                <w:sz w:val="20"/>
                <w:szCs w:val="20"/>
              </w:rPr>
              <w:t xml:space="preserve"/>
            </w:r>
          </w:p>
          <w:p>
            <w:pPr>
              <w:spacing w:after="60"/>
            </w:pPr>
            <w:r>
              <w:rPr>
                <w:sz w:val="20"/>
                <w:szCs w:val="20"/>
              </w:rPr>
              <w:t xml:space="preserve">Fix: The apex_ioc_extractor.py module delivered with this document replaces the broken extractor with validated regex-based extraction, a comprehensive blocklist, and domain validation against known news/research sources.</w:t>
            </w:r>
          </w:p>
        </w:tc>
      </w:tr>
    </w:tbl>
    <w:p>
      <w:pPr>
        <w:spacing w:after="80"/>
      </w:pPr>
      <w:r>
        <w:t xml:space="preserve"/>
      </w:r>
    </w:p>
    <w:p>
      <w:pPr>
        <w:pStyle w:val="Heading2"/>
      </w:pPr>
      <w:r>
        <w:t xml:space="preserve">Defect 2: EPSS Percentage Display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20"/>
              <w:left w:type="dxa" w:w="180"/>
              <w:bottom w:type="dxa" w:w="120"/>
              <w:right w:type="dxa" w:w="180"/>
            </w:tcMar>
          </w:tcPr>
          <w:p>
            <w:r>
              <w:rPr>
                <w:b/>
                <w:bCs/>
                <w:color w:val="C0392B"/>
                <w:sz w:val="22"/>
                <w:szCs w:val="22"/>
              </w:rPr>
              <w:t xml:space="preserve">⚠ SEVERITY: HIGH — Visible Credibility Damage</w:t>
            </w:r>
          </w:p>
          <w:p>
            <w:pPr>
              <w:spacing w:after="60"/>
            </w:pPr>
            <w:r>
              <w:rPr>
                <w:sz w:val="20"/>
                <w:szCs w:val="20"/>
              </w:rPr>
              <w:t xml:space="preserve">EPSS scores are being multiplied by 100 twice, producing absurd percentages visible to all users:</w:t>
            </w:r>
          </w:p>
          <w:p>
            <w:pPr>
              <w:spacing w:after="60"/>
            </w:pPr>
            <w:r>
              <w:rPr>
                <w:sz w:val="20"/>
                <w:szCs w:val="20"/>
              </w:rPr>
              <w:t xml:space="preserve">  • 63.49% EPSS displayed as '6349%'</w:t>
            </w:r>
          </w:p>
          <w:p>
            <w:pPr>
              <w:spacing w:after="60"/>
            </w:pPr>
            <w:r>
              <w:rPr>
                <w:sz w:val="20"/>
                <w:szCs w:val="20"/>
              </w:rPr>
              <w:t xml:space="preserve">  • 84.49% EPSS displayed as '8449%'</w:t>
            </w:r>
          </w:p>
          <w:p>
            <w:pPr>
              <w:spacing w:after="60"/>
            </w:pPr>
            <w:r>
              <w:rPr>
                <w:sz w:val="20"/>
                <w:szCs w:val="20"/>
              </w:rPr>
              <w:t xml:space="preserve">  • 12.57% EPSS displayed as '1257%'</w:t>
            </w:r>
          </w:p>
          <w:p>
            <w:pPr>
              <w:spacing w:after="60"/>
            </w:pPr>
            <w:r>
              <w:rPr>
                <w:sz w:val="20"/>
                <w:szCs w:val="20"/>
              </w:rPr>
              <w:t xml:space="preserve"/>
            </w:r>
          </w:p>
          <w:p>
            <w:pPr>
              <w:spacing w:after="60"/>
            </w:pPr>
            <w:r>
              <w:rPr>
                <w:sz w:val="20"/>
                <w:szCs w:val="20"/>
              </w:rPr>
              <w:t xml:space="preserve">This appears in both the dashboard and the downloadable tactical dossiers. Any buyer performing due diligence on the AI prediction engine would immediately see this as a fundamental accuracy error.</w:t>
            </w:r>
          </w:p>
          <w:p>
            <w:pPr>
              <w:spacing w:after="60"/>
            </w:pPr>
            <w:r>
              <w:rPr>
                <w:sz w:val="20"/>
                <w:szCs w:val="20"/>
              </w:rPr>
              <w:t xml:space="preserve"/>
            </w:r>
          </w:p>
          <w:p>
            <w:pPr>
              <w:spacing w:after="60"/>
            </w:pPr>
            <w:r>
              <w:rPr>
                <w:sz w:val="20"/>
                <w:szCs w:val="20"/>
              </w:rPr>
              <w:t xml:space="preserve">Fix: The apex_ioc_extractor.py module includes format_epss() and normalize_epss() functions that correctly handle both raw decimal (0.6349) and already-percentage (63.49) input formats.</w:t>
            </w:r>
          </w:p>
        </w:tc>
      </w:tr>
    </w:tbl>
    <w:p>
      <w:pPr>
        <w:spacing w:after="80"/>
      </w:pPr>
      <w:r>
        <w:t xml:space="preserve"/>
      </w:r>
    </w:p>
    <w:p>
      <w:pPr>
        <w:pStyle w:val="Heading2"/>
      </w:pPr>
      <w:r>
        <w:t xml:space="preserve">Defect 3: False CISA KEV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20"/>
              <w:left w:type="dxa" w:w="180"/>
              <w:bottom w:type="dxa" w:w="120"/>
              <w:right w:type="dxa" w:w="180"/>
            </w:tcMar>
          </w:tcPr>
          <w:p>
            <w:r>
              <w:rPr>
                <w:b/>
                <w:bCs/>
                <w:color w:val="C0392B"/>
                <w:sz w:val="22"/>
                <w:szCs w:val="22"/>
              </w:rPr>
              <w:t xml:space="preserve">⚠ SEVERITY: CRITICAL — Compliance and Legal Risk</w:t>
            </w:r>
          </w:p>
          <w:p>
            <w:pPr>
              <w:spacing w:after="60"/>
            </w:pPr>
            <w:r>
              <w:rPr>
                <w:sz w:val="20"/>
                <w:szCs w:val="20"/>
              </w:rPr>
              <w:t xml:space="preserve">The platform is flagging news articles and tools as 'KEV CONFIRMED' without valid CVE IDs. Observed in production:</w:t>
            </w:r>
          </w:p>
          <w:p>
            <w:pPr>
              <w:spacing w:after="60"/>
            </w:pPr>
            <w:r>
              <w:rPr>
                <w:sz w:val="20"/>
                <w:szCs w:val="20"/>
              </w:rPr>
              <w:t xml:space="preserve"/>
            </w:r>
          </w:p>
          <w:p>
            <w:pPr>
              <w:spacing w:after="60"/>
            </w:pPr>
            <w:r>
              <w:rPr>
                <w:sz w:val="20"/>
                <w:szCs w:val="20"/>
              </w:rPr>
              <w:t xml:space="preserve">  Advisory: 'Pentest Agent Suite Bug Bounty Framework for Claude Code'</w:t>
            </w:r>
          </w:p>
          <w:p>
            <w:pPr>
              <w:spacing w:after="60"/>
            </w:pPr>
            <w:r>
              <w:rPr>
                <w:sz w:val="20"/>
                <w:szCs w:val="20"/>
              </w:rPr>
              <w:t xml:space="preserve">  Status shown: MEDIUM KEV CONFIRMED</w:t>
            </w:r>
          </w:p>
          <w:p>
            <w:pPr>
              <w:spacing w:after="60"/>
            </w:pPr>
            <w:r>
              <w:rPr>
                <w:sz w:val="20"/>
                <w:szCs w:val="20"/>
              </w:rPr>
              <w:t xml:space="preserve">  CVE displayed: CVE-2025-55182</w:t>
            </w:r>
          </w:p>
          <w:p>
            <w:pPr>
              <w:spacing w:after="60"/>
            </w:pPr>
            <w:r>
              <w:rPr>
                <w:sz w:val="20"/>
                <w:szCs w:val="20"/>
              </w:rPr>
              <w:t xml:space="preserve">  Reality: This is a news article about a penetration testing tool framework.</w:t>
            </w:r>
          </w:p>
          <w:p>
            <w:pPr>
              <w:spacing w:after="60"/>
            </w:pPr>
            <w:r>
              <w:rPr>
                <w:sz w:val="20"/>
                <w:szCs w:val="20"/>
              </w:rPr>
              <w:t xml:space="preserve">             It is NOT a CISA KEV entry. The CVE ID appears fabricated.</w:t>
            </w:r>
          </w:p>
          <w:p>
            <w:pPr>
              <w:spacing w:after="60"/>
            </w:pPr>
            <w:r>
              <w:rPr>
                <w:sz w:val="20"/>
                <w:szCs w:val="20"/>
              </w:rPr>
              <w:t xml:space="preserve"/>
            </w:r>
          </w:p>
          <w:p>
            <w:pPr>
              <w:spacing w:after="60"/>
            </w:pPr>
            <w:r>
              <w:rPr>
                <w:sz w:val="20"/>
                <w:szCs w:val="20"/>
              </w:rPr>
              <w:t xml:space="preserve">  Advisory: 'CISA Warns of Drupal Core SQL Injection'</w:t>
            </w:r>
          </w:p>
          <w:p>
            <w:pPr>
              <w:spacing w:after="60"/>
            </w:pPr>
            <w:r>
              <w:rPr>
                <w:sz w:val="20"/>
                <w:szCs w:val="20"/>
              </w:rPr>
              <w:t xml:space="preserve">  Status shown: KEV CONFIRMED</w:t>
            </w:r>
          </w:p>
          <w:p>
            <w:pPr>
              <w:spacing w:after="60"/>
            </w:pPr>
            <w:r>
              <w:rPr>
                <w:sz w:val="20"/>
                <w:szCs w:val="20"/>
              </w:rPr>
              <w:t xml:space="preserve">  CVE displayed: CVE-2026-9082</w:t>
            </w:r>
          </w:p>
          <w:p>
            <w:pPr>
              <w:spacing w:after="60"/>
            </w:pPr>
            <w:r>
              <w:rPr>
                <w:sz w:val="20"/>
                <w:szCs w:val="20"/>
              </w:rPr>
              <w:t xml:space="preserve">  EPSS shown: 12.57% (rendered as 1257%)</w:t>
            </w:r>
          </w:p>
          <w:p>
            <w:pPr>
              <w:spacing w:after="60"/>
            </w:pPr>
            <w:r>
              <w:rPr>
                <w:sz w:val="20"/>
                <w:szCs w:val="20"/>
              </w:rPr>
              <w:t xml:space="preserve"/>
            </w:r>
          </w:p>
          <w:p>
            <w:pPr>
              <w:spacing w:after="60"/>
            </w:pPr>
            <w:r>
              <w:rPr>
                <w:sz w:val="20"/>
                <w:szCs w:val="20"/>
              </w:rPr>
              <w:t xml:space="preserve">Impact: Enterprise customers and regulated entities (US federal agencies, financial services) make remediation decisions and regulatory disclosure filings based on KEV status. False KEV flags create legal liability and violate CISA data accuracy obligations.</w:t>
            </w:r>
          </w:p>
          <w:p>
            <w:pPr>
              <w:spacing w:after="60"/>
            </w:pPr>
            <w:r>
              <w:rPr>
                <w:sz w:val="20"/>
                <w:szCs w:val="20"/>
              </w:rPr>
              <w:t xml:space="preserve"/>
            </w:r>
          </w:p>
          <w:p>
            <w:pPr>
              <w:spacing w:after="60"/>
            </w:pPr>
            <w:r>
              <w:rPr>
                <w:sz w:val="20"/>
                <w:szCs w:val="20"/>
              </w:rPr>
              <w:t xml:space="preserve">Fix: The validate_kev_status() function in apex_ioc_extractor.py rejects KEV flags on entries without properly formatted CVE IDs, and requires cross-validation against the live CISA KEV catalog API before confirming.</w:t>
            </w:r>
          </w:p>
        </w:tc>
      </w:tr>
    </w:tbl>
    <w:p>
      <w:pPr>
        <w:spacing w:after="80"/>
      </w:pPr>
      <w:r>
        <w:t xml:space="preserve"/>
      </w:r>
    </w:p>
    <w:p>
      <w:pPr>
        <w:pStyle w:val="Heading2"/>
      </w:pPr>
      <w:r>
        <w:t xml:space="preserve">Defect 4: Sigma Rule Syntax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20"/>
              <w:left w:type="dxa" w:w="180"/>
              <w:bottom w:type="dxa" w:w="120"/>
              <w:right w:type="dxa" w:w="180"/>
            </w:tcMar>
          </w:tcPr>
          <w:p>
            <w:r>
              <w:rPr>
                <w:b/>
                <w:bCs/>
                <w:color w:val="C0392B"/>
                <w:sz w:val="22"/>
                <w:szCs w:val="22"/>
              </w:rPr>
              <w:t xml:space="preserve">⚠ SEVERITY: HIGH — All Generated Rules Are Invalid</w:t>
            </w:r>
          </w:p>
          <w:p>
            <w:pPr>
              <w:spacing w:after="60"/>
            </w:pPr>
            <w:r>
              <w:rPr>
                <w:sz w:val="20"/>
                <w:szCs w:val="20"/>
              </w:rPr>
              <w:t xml:space="preserve">Every generated Sigma rule contains a syntax error in the condition clause:</w:t>
            </w:r>
          </w:p>
          <w:p>
            <w:pPr>
              <w:spacing w:after="60"/>
            </w:pPr>
            <w:r>
              <w:rPr>
                <w:sz w:val="20"/>
                <w:szCs w:val="20"/>
              </w:rPr>
              <w:t xml:space="preserve"/>
            </w:r>
          </w:p>
          <w:p>
            <w:pPr>
              <w:spacing w:after="60"/>
            </w:pPr>
            <w:r>
              <w:rPr>
                <w:sz w:val="20"/>
                <w:szCs w:val="20"/>
              </w:rPr>
              <w:t xml:space="preserve">  BROKEN:   condition: unexpected_outboundor ioc_network_indicators</w:t>
            </w:r>
          </w:p>
          <w:p>
            <w:pPr>
              <w:spacing w:after="60"/>
            </w:pPr>
            <w:r>
              <w:rPr>
                <w:sz w:val="20"/>
                <w:szCs w:val="20"/>
              </w:rPr>
              <w:t xml:space="preserve">  CORRECT:  condition: unexpected_outbound or ioc_network_indicators</w:t>
            </w:r>
          </w:p>
          <w:p>
            <w:pPr>
              <w:spacing w:after="60"/>
            </w:pPr>
            <w:r>
              <w:rPr>
                <w:sz w:val="20"/>
                <w:szCs w:val="20"/>
              </w:rPr>
              <w:t xml:space="preserve"/>
            </w:r>
          </w:p>
          <w:p>
            <w:pPr>
              <w:spacing w:after="60"/>
            </w:pPr>
            <w:r>
              <w:rPr>
                <w:sz w:val="20"/>
                <w:szCs w:val="20"/>
              </w:rPr>
              <w:t xml:space="preserve">A missing space between 'outbound' and 'or' makes the condition keyword unrecognised by all Sigma transpilers (sigmac, pySigma, sigma-cli). A SOC analyst deploying these rules would get a parse error on every single one.</w:t>
            </w:r>
          </w:p>
          <w:p>
            <w:pPr>
              <w:spacing w:after="60"/>
            </w:pPr>
            <w:r>
              <w:rPr>
                <w:sz w:val="20"/>
                <w:szCs w:val="20"/>
              </w:rPr>
              <w:t xml:space="preserve"/>
            </w:r>
          </w:p>
          <w:p>
            <w:pPr>
              <w:spacing w:after="60"/>
            </w:pPr>
            <w:r>
              <w:rPr>
                <w:sz w:val="20"/>
                <w:szCs w:val="20"/>
              </w:rPr>
              <w:t xml:space="preserve">Fix: The apex_sigma_templates.py module uses proper Python string construction for conditions and validates the resulting YAML before returning the rule object.</w:t>
            </w:r>
          </w:p>
        </w:tc>
      </w:tr>
    </w:tbl>
    <w:p>
      <w:pPr>
        <w:spacing w:after="80"/>
      </w:pPr>
      <w:r>
        <w:t xml:space="preserve"/>
      </w:r>
    </w:p>
    <w:p>
      <w:pPr>
        <w:pStyle w:val="Heading2"/>
      </w:pPr>
      <w:r>
        <w:t xml:space="preserve">Defect 5: YARA Rules Match Own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3"/>
              <w:left w:val="single" w:color="C0392B" w:sz="3"/>
              <w:bottom w:val="single" w:color="C0392B" w:sz="3"/>
              <w:right w:val="single" w:color="C0392B" w:sz="3"/>
            </w:tcBorders>
            <w:shd w:fill="FDEDEC" w:val="clear"/>
            <w:tcMar>
              <w:top w:type="dxa" w:w="120"/>
              <w:left w:type="dxa" w:w="180"/>
              <w:bottom w:type="dxa" w:w="120"/>
              <w:right w:type="dxa" w:w="180"/>
            </w:tcMar>
          </w:tcPr>
          <w:p>
            <w:r>
              <w:rPr>
                <w:b/>
                <w:bCs/>
                <w:color w:val="C0392B"/>
                <w:sz w:val="22"/>
                <w:szCs w:val="22"/>
              </w:rPr>
              <w:t xml:space="preserve">⚠ SEVERITY: HIGH — Causes Immediate Client Harm</w:t>
            </w:r>
          </w:p>
          <w:p>
            <w:pPr>
              <w:spacing w:after="60"/>
            </w:pPr>
            <w:r>
              <w:rPr>
                <w:sz w:val="20"/>
                <w:szCs w:val="20"/>
              </w:rPr>
              <w:t xml:space="preserve">YARA rules are generated with strings that match your own blog post URLs and news source URLs:</w:t>
            </w:r>
          </w:p>
          <w:p>
            <w:pPr>
              <w:spacing w:after="60"/>
            </w:pPr>
            <w:r>
              <w:rPr>
                <w:sz w:val="20"/>
                <w:szCs w:val="20"/>
              </w:rPr>
              <w:t xml:space="preserve"/>
            </w:r>
          </w:p>
          <w:p>
            <w:pPr>
              <w:spacing w:after="60"/>
            </w:pPr>
            <w:r>
              <w:rPr>
                <w:sz w:val="20"/>
                <w:szCs w:val="20"/>
              </w:rPr>
              <w:t xml:space="preserve">  $ioc_0 = 'https://blog.cyberdudebivash.in/cisa-warns-of-drupal-...' ascii wide nocase</w:t>
            </w:r>
          </w:p>
          <w:p>
            <w:pPr>
              <w:spacing w:after="60"/>
            </w:pPr>
            <w:r>
              <w:rPr>
                <w:sz w:val="20"/>
                <w:szCs w:val="20"/>
              </w:rPr>
              <w:t xml:space="preserve">  $ioc_1 = 'https://cybersecuritynews.com/drupal-...' ascii wide nocase</w:t>
            </w:r>
          </w:p>
          <w:p>
            <w:pPr>
              <w:spacing w:after="60"/>
            </w:pPr>
            <w:r>
              <w:rPr>
                <w:sz w:val="20"/>
                <w:szCs w:val="20"/>
              </w:rPr>
              <w:t xml:space="preserve"/>
            </w:r>
          </w:p>
          <w:p>
            <w:pPr>
              <w:spacing w:after="60"/>
            </w:pPr>
            <w:r>
              <w:rPr>
                <w:sz w:val="20"/>
                <w:szCs w:val="20"/>
              </w:rPr>
              <w:t xml:space="preserve">When a client deploys these YARA rules via CrowdStrike, Carbon Black, or Velociraptor, they will fire on any system that has ever visited your blog or CyberSecurity News — generating thousands of false positives and potentially quarantining legitimate employee machines.</w:t>
            </w:r>
          </w:p>
          <w:p>
            <w:pPr>
              <w:spacing w:after="60"/>
            </w:pPr>
            <w:r>
              <w:rPr>
                <w:sz w:val="20"/>
                <w:szCs w:val="20"/>
              </w:rPr>
              <w:t xml:space="preserve"/>
            </w:r>
          </w:p>
          <w:p>
            <w:pPr>
              <w:spacing w:after="60"/>
            </w:pPr>
            <w:r>
              <w:rPr>
                <w:sz w:val="20"/>
                <w:szCs w:val="20"/>
              </w:rPr>
              <w:t xml:space="preserve">Fix: apex_sigma_templates.py includes an _is_real_ioc() validator that rejects source URLs, blog URLs, JavaScript properties, and software filenames from YARA string blocks. Only cryptographic hashes, validated threat-actor domains, and confirmed C2 IPs are included.</w:t>
            </w:r>
          </w:p>
        </w:tc>
      </w:tr>
    </w:tbl>
    <w:p>
      <w:pPr>
        <w:spacing w:after="80"/>
      </w:pPr>
      <w:r>
        <w:t xml:space="preserve"/>
      </w:r>
    </w:p>
    <w:p>
      <w:r>
        <w:br w:type="page"/>
      </w:r>
    </w:p>
    <w:p>
      <w:pPr>
        <w:pStyle w:val="Heading1"/>
      </w:pPr>
      <w:r>
        <w:rPr>
          <w:b/>
          <w:bCs/>
        </w:rPr>
        <w:t xml:space="preserve">3. Production Code Deliverables</w:t>
      </w:r>
    </w:p>
    <w:p>
      <w:pPr>
        <w:spacing w:after="120"/>
      </w:pPr>
      <w:r>
        <w:t xml:space="preserve">Three production-grade modules have been delivered to your workspace folder (CYBERDUDEBIVASH-THREAT-INTEL-PLATFORM) as part of this engagement: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1800"/>
        <w:gridCol w:w="1160"/>
      </w:tblGrid>
      <w:tr>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File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Fixes Defects</w:t>
            </w:r>
          </w:p>
        </w:tc>
        <w:tc>
          <w:tcPr>
            <w:tcW w:type="dxa" w:w="1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Lines</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apex_ioc_extractor.py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IOC extraction, EPSS fix, KEV validation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1, 2, 3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~350</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apex_sigma_templates.py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Sigma &amp; YARA rule generation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4, 5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~420</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apex_openapi_v3.yaml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OpenAPI 3.1 full API specification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Schema &amp; Tier model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~600</w:t>
            </w:r>
          </w:p>
        </w:tc>
      </w:tr>
    </w:tbl>
    <w:p>
      <w:pPr>
        <w:spacing w:after="80"/>
      </w:pPr>
      <w:r>
        <w:t xml:space="preserve"/>
      </w:r>
    </w:p>
    <w:p>
      <w:pPr>
        <w:pStyle w:val="Heading2"/>
      </w:pPr>
      <w:r>
        <w:t xml:space="preserve">3.1 IOC Extraction Engine (apex_ioc_extractor.py)</w:t>
      </w:r>
    </w:p>
    <w:p>
      <w:pPr>
        <w:spacing w:after="120"/>
      </w:pPr>
      <w:r>
        <w:t xml:space="preserve">The APEXIOCExtractor class replaces the broken extraction pipeline with a multi-pass regex engine that:</w:t>
      </w:r>
    </w:p>
    <w:p>
      <w:pPr>
        <w:pStyle w:val="ListParagraph"/>
        <w:numPr>
          <w:ilvl w:val="0"/>
          <w:numId w:val="2"/>
        </w:numPr>
        <w:spacing w:after="60"/>
      </w:pPr>
      <w:r>
        <w:rPr>
          <w:b w:val="false"/>
          <w:bCs w:val="false"/>
        </w:rPr>
        <w:t xml:space="preserve">Extracts IPv4/IPv6 addresses, validated domain names, URLs, MD5/SHA1/SHA256/SHA512 hashes, email addresses, Windows registry keys, and CVE IDs</w:t>
      </w:r>
    </w:p>
    <w:p>
      <w:pPr>
        <w:pStyle w:val="ListParagraph"/>
        <w:numPr>
          <w:ilvl w:val="0"/>
          <w:numId w:val="2"/>
        </w:numPr>
        <w:spacing w:after="60"/>
      </w:pPr>
      <w:r>
        <w:rPr>
          <w:b w:val="false"/>
          <w:bCs w:val="false"/>
        </w:rPr>
        <w:t xml:space="preserve">Maintains a comprehensive blocklist of 35+ known-noise patterns including all JavaScript DOM properties, news source domains, own infrastructure, and common software binary names</w:t>
      </w:r>
    </w:p>
    <w:p>
      <w:pPr>
        <w:pStyle w:val="ListParagraph"/>
        <w:numPr>
          <w:ilvl w:val="0"/>
          <w:numId w:val="2"/>
        </w:numPr>
        <w:spacing w:after="60"/>
      </w:pPr>
      <w:r>
        <w:rPr>
          <w:b w:val="false"/>
          <w:bCs w:val="false"/>
        </w:rPr>
        <w:t xml:space="preserve">Validates domain names against a strict ruleset: must have valid TLD, not be a version string, not be a hex string, not be a known safe vendor domain</w:t>
      </w:r>
    </w:p>
    <w:p>
      <w:pPr>
        <w:pStyle w:val="ListParagraph"/>
        <w:numPr>
          <w:ilvl w:val="0"/>
          <w:numId w:val="2"/>
        </w:numPr>
        <w:spacing w:after="60"/>
      </w:pPr>
      <w:r>
        <w:rPr>
          <w:b w:val="false"/>
          <w:bCs w:val="false"/>
        </w:rPr>
        <w:t xml:space="preserve">Rejects private/loopback/multicast IP addresses (RFC 1918 exclusion)</w:t>
      </w:r>
    </w:p>
    <w:p>
      <w:pPr>
        <w:pStyle w:val="ListParagraph"/>
        <w:numPr>
          <w:ilvl w:val="0"/>
          <w:numId w:val="2"/>
        </w:numPr>
        <w:spacing w:after="60"/>
      </w:pPr>
      <w:r>
        <w:rPr>
          <w:b w:val="false"/>
          <w:bCs w:val="false"/>
        </w:rPr>
        <w:t xml:space="preserve">Handles defanged indicators (hxxps://, [.] notation) automatically</w:t>
      </w:r>
    </w:p>
    <w:p>
      <w:pPr>
        <w:pStyle w:val="ListParagraph"/>
        <w:numPr>
          <w:ilvl w:val="0"/>
          <w:numId w:val="2"/>
        </w:numPr>
        <w:spacing w:after="60"/>
      </w:pPr>
      <w:r>
        <w:rPr>
          <w:b w:val="false"/>
          <w:bCs w:val="false"/>
        </w:rPr>
        <w:t xml:space="preserve">Produces STIX 2.1 indicator objects for each validated IOC</w:t>
      </w:r>
    </w:p>
    <w:p>
      <w:pPr>
        <w:spacing w:after="80"/>
      </w:pPr>
      <w:r>
        <w:t xml:space="preserve"/>
      </w:r>
    </w:p>
    <w:p>
      <w:pPr>
        <w:spacing w:after="120"/>
      </w:pPr>
      <w:r>
        <w:t xml:space="preserve">The format_epss() function correctly handles both 0.6349 (decimal) and 63.49 (percentage) input formats, always rendering as '63.49%'. The validate_kev_status() function rejects KEV flags on entries missing properly formatted CVE IDs.</w:t>
      </w:r>
    </w:p>
    <w:p>
      <w:pPr>
        <w:spacing w:after="80"/>
      </w:pPr>
      <w:r>
        <w:t xml:space="preserve"/>
      </w:r>
    </w:p>
    <w:p>
      <w:pPr>
        <w:pStyle w:val="Heading2"/>
      </w:pPr>
      <w:r>
        <w:t xml:space="preserve">3.2 Sigma Rule Generation Engine (apex_sigma_templates.py)</w:t>
      </w:r>
    </w:p>
    <w:p>
      <w:pPr>
        <w:spacing w:after="120"/>
      </w:pPr>
      <w:r>
        <w:t xml:space="preserve">The APEXSigmaGenerator class produces per-vulnerability-class Sigma rules with correct detection logic:</w:t>
      </w:r>
    </w:p>
    <w:p>
      <w:pPr>
        <w:pStyle w:val="ListParagraph"/>
        <w:numPr>
          <w:ilvl w:val="0"/>
          <w:numId w:val="2"/>
        </w:numPr>
        <w:spacing w:after="60"/>
      </w:pPr>
      <w:r>
        <w:rPr>
          <w:b w:val="false"/>
          <w:bCs w:val="false"/>
        </w:rPr>
        <w:t xml:space="preserve">SQL Injection: UNION-based, boolean blind, time-based, stacked query detection patterns</w:t>
      </w:r>
    </w:p>
    <w:p>
      <w:pPr>
        <w:pStyle w:val="ListParagraph"/>
        <w:numPr>
          <w:ilvl w:val="0"/>
          <w:numId w:val="2"/>
        </w:numPr>
        <w:spacing w:after="60"/>
      </w:pPr>
      <w:r>
        <w:rPr>
          <w:b w:val="false"/>
          <w:bCs w:val="false"/>
        </w:rPr>
        <w:t xml:space="preserve">OS Command Injection: Web log injection patterns + process spawning from web service parents</w:t>
      </w:r>
    </w:p>
    <w:p>
      <w:pPr>
        <w:pStyle w:val="ListParagraph"/>
        <w:numPr>
          <w:ilvl w:val="0"/>
          <w:numId w:val="2"/>
        </w:numPr>
        <w:spacing w:after="60"/>
      </w:pPr>
      <w:r>
        <w:rPr>
          <w:b w:val="false"/>
          <w:bCs w:val="false"/>
        </w:rPr>
        <w:t xml:space="preserve">Supply Chain: npm/pip lifecycle hook abuse, CI/CD pipeline tampering, dependency confusion</w:t>
      </w:r>
    </w:p>
    <w:p>
      <w:pPr>
        <w:pStyle w:val="ListParagraph"/>
        <w:numPr>
          <w:ilvl w:val="0"/>
          <w:numId w:val="2"/>
        </w:numPr>
        <w:spacing w:after="60"/>
      </w:pPr>
      <w:r>
        <w:rPr>
          <w:b w:val="false"/>
          <w:bCs w:val="false"/>
        </w:rPr>
        <w:t xml:space="preserve">Remote Code Execution: Reverse shell patterns, web service spawning shells, unusual C2 ports</w:t>
      </w:r>
    </w:p>
    <w:p>
      <w:pPr>
        <w:pStyle w:val="ListParagraph"/>
        <w:numPr>
          <w:ilvl w:val="0"/>
          <w:numId w:val="2"/>
        </w:numPr>
        <w:spacing w:after="60"/>
      </w:pPr>
      <w:r>
        <w:rPr>
          <w:b w:val="false"/>
          <w:bCs w:val="false"/>
        </w:rPr>
        <w:t xml:space="preserve">Buffer Overflow: Application crash events, shellcode process detection</w:t>
      </w:r>
    </w:p>
    <w:p>
      <w:pPr>
        <w:pStyle w:val="ListParagraph"/>
        <w:numPr>
          <w:ilvl w:val="0"/>
          <w:numId w:val="2"/>
        </w:numPr>
        <w:spacing w:after="60"/>
      </w:pPr>
      <w:r>
        <w:rPr>
          <w:b w:val="false"/>
          <w:bCs w:val="false"/>
        </w:rPr>
        <w:t xml:space="preserve">Generic fallback: Only suspicious port detection — no garbage IOC strings</w:t>
      </w:r>
    </w:p>
    <w:p>
      <w:pPr>
        <w:spacing w:after="80"/>
      </w:pPr>
      <w:r>
        <w:t xml:space="preserve"/>
      </w:r>
    </w:p>
    <w:p>
      <w:pPr>
        <w:spacing w:after="120"/>
      </w:pPr>
      <w:r>
        <w:t xml:space="preserve">All condition clauses are properly spaced. YARA string blocks include only real threat indicators (hashes, C2 infrastructure IPs/domains) — never source URLs or JavaScript properties.</w:t>
      </w:r>
    </w:p>
    <w:p>
      <w:pPr>
        <w:spacing w:after="80"/>
      </w:pPr>
      <w:r>
        <w:t xml:space="preserve"/>
      </w:r>
    </w:p>
    <w:p>
      <w:pPr>
        <w:pStyle w:val="Heading2"/>
      </w:pPr>
      <w:r>
        <w:t xml:space="preserve">3.3 OpenAPI 3.1 Specification (apex_openapi_v3.yaml)</w:t>
      </w:r>
    </w:p>
    <w:p>
      <w:pPr>
        <w:spacing w:after="120"/>
      </w:pPr>
      <w:r>
        <w:t xml:space="preserve">The complete API specification defines all endpoints with correct tier gating:</w:t>
      </w:r>
    </w:p>
    <w:p>
      <w:pPr>
        <w:pStyle w:val="ListParagraph"/>
        <w:numPr>
          <w:ilvl w:val="0"/>
          <w:numId w:val="2"/>
        </w:numPr>
        <w:spacing w:after="60"/>
      </w:pPr>
      <w:r>
        <w:rPr>
          <w:b w:val="false"/>
          <w:bCs w:val="false"/>
        </w:rPr>
        <w:t xml:space="preserve">POST /auth/login and /auth/refresh for JWT management</w:t>
      </w:r>
    </w:p>
    <w:p>
      <w:pPr>
        <w:pStyle w:val="ListParagraph"/>
        <w:numPr>
          <w:ilvl w:val="0"/>
          <w:numId w:val="2"/>
        </w:numPr>
        <w:spacing w:after="60"/>
      </w:pPr>
      <w:r>
        <w:rPr>
          <w:b w:val="false"/>
          <w:bCs w:val="false"/>
        </w:rPr>
        <w:t xml:space="preserve">GET /api/feed with severity, threat_type, kev_only, min_epss filters</w:t>
      </w:r>
    </w:p>
    <w:p>
      <w:pPr>
        <w:pStyle w:val="ListParagraph"/>
        <w:numPr>
          <w:ilvl w:val="0"/>
          <w:numId w:val="2"/>
        </w:numPr>
        <w:spacing w:after="60"/>
      </w:pPr>
      <w:r>
        <w:rPr>
          <w:b w:val="false"/>
          <w:bCs w:val="false"/>
        </w:rPr>
        <w:t xml:space="preserve">GET /api/intel/{id} full 20-section dossier with tier-gated fields</w:t>
      </w:r>
    </w:p>
    <w:p>
      <w:pPr>
        <w:pStyle w:val="ListParagraph"/>
        <w:numPr>
          <w:ilvl w:val="0"/>
          <w:numId w:val="2"/>
        </w:numPr>
        <w:spacing w:after="60"/>
      </w:pPr>
      <w:r>
        <w:rPr>
          <w:b w:val="false"/>
          <w:bCs w:val="false"/>
        </w:rPr>
        <w:t xml:space="preserve">GET /api/iocs and /api/iocs/lookup for bulk and single-indicator lookups</w:t>
      </w:r>
    </w:p>
    <w:p>
      <w:pPr>
        <w:pStyle w:val="ListParagraph"/>
        <w:numPr>
          <w:ilvl w:val="0"/>
          <w:numId w:val="2"/>
        </w:numPr>
        <w:spacing w:after="60"/>
      </w:pPr>
      <w:r>
        <w:rPr>
          <w:b w:val="false"/>
          <w:bCs w:val="false"/>
        </w:rPr>
        <w:t xml:space="preserve">GET /api/stix/bundle and /api/stix/{id} for STIX 2.1 export (Pro+)</w:t>
      </w:r>
    </w:p>
    <w:p>
      <w:pPr>
        <w:pStyle w:val="ListParagraph"/>
        <w:numPr>
          <w:ilvl w:val="0"/>
          <w:numId w:val="2"/>
        </w:numPr>
        <w:spacing w:after="60"/>
      </w:pPr>
      <w:r>
        <w:rPr>
          <w:b w:val="false"/>
          <w:bCs w:val="false"/>
        </w:rPr>
        <w:t xml:space="preserve">GET /api/detection/sigma, /yara, /kql for detection rule packs (Pro+)</w:t>
      </w:r>
    </w:p>
    <w:p>
      <w:pPr>
        <w:pStyle w:val="ListParagraph"/>
        <w:numPr>
          <w:ilvl w:val="0"/>
          <w:numId w:val="2"/>
        </w:numPr>
        <w:spacing w:after="60"/>
      </w:pPr>
      <w:r>
        <w:rPr>
          <w:b w:val="false"/>
          <w:bCs w:val="false"/>
        </w:rPr>
        <w:t xml:space="preserve">POST/GET /api/webhooks for SIEM push configuration (Enterprise+)</w:t>
      </w:r>
    </w:p>
    <w:p>
      <w:pPr>
        <w:pStyle w:val="ListParagraph"/>
        <w:numPr>
          <w:ilvl w:val="0"/>
          <w:numId w:val="2"/>
        </w:numPr>
        <w:spacing w:after="60"/>
      </w:pPr>
      <w:r>
        <w:rPr>
          <w:b w:val="false"/>
          <w:bCs w:val="false"/>
        </w:rPr>
        <w:t xml:space="preserve">GET /api/tenants and POST for MSSP tenant management</w:t>
      </w:r>
    </w:p>
    <w:p>
      <w:pPr>
        <w:pStyle w:val="ListParagraph"/>
        <w:numPr>
          <w:ilvl w:val="0"/>
          <w:numId w:val="2"/>
        </w:numPr>
        <w:spacing w:after="60"/>
      </w:pPr>
      <w:r>
        <w:rPr>
          <w:b w:val="false"/>
          <w:bCs w:val="false"/>
        </w:rPr>
        <w:t xml:space="preserve">GET /api/usage for billing metrics</w:t>
      </w:r>
    </w:p>
    <w:p>
      <w:pPr>
        <w:spacing w:after="80"/>
      </w:pPr>
      <w:r>
        <w:t xml:space="preserve"/>
      </w:r>
    </w:p>
    <w:p>
      <w:pPr>
        <w:spacing w:after="120"/>
      </w:pPr>
      <w:r>
        <w:t xml:space="preserve">Critical schema correction: EPSS is defined as number (0.0-1.0) with explicit note that display requires multiplication by 100. IOCEntry type enum excludes JavaScript properties. KEV validation is built into the schema description.</w:t>
      </w:r>
    </w:p>
    <w:p>
      <w:pPr>
        <w:spacing w:after="80"/>
      </w:pPr>
      <w:r>
        <w:t xml:space="preserve"/>
      </w:r>
    </w:p>
    <w:p>
      <w:r>
        <w:br w:type="page"/>
      </w:r>
    </w:p>
    <w:p>
      <w:pPr>
        <w:pStyle w:val="Heading1"/>
      </w:pPr>
      <w:r>
        <w:rPr>
          <w:b/>
          <w:bCs/>
        </w:rPr>
        <w:t xml:space="preserve">4. Monetization &amp; Revenue Strategy</w:t>
      </w:r>
    </w:p>
    <w:p>
      <w:pPr>
        <w:pStyle w:val="Heading2"/>
      </w:pPr>
      <w:r>
        <w:t xml:space="preserve">4.1 Current Revenue Model Assessment</w:t>
      </w:r>
    </w:p>
    <w:p>
      <w:pPr>
        <w:spacing w:after="120"/>
      </w:pPr>
      <w:r>
        <w:t xml:space="preserve">The existing tier model is well-designed for the market. The pricing is competitive and the feature differentiation is clear. The issue is not the pricing — it is that defects in the data quality undermine the value proposition at every tier.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1820"/>
        <w:gridCol w:w="1560"/>
        <w:gridCol w:w="3380"/>
      </w:tblGrid>
      <w:tr>
        <w:tc>
          <w:tcPr>
            <w:tcW w:type="dxa" w:w="156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Tier</w:t>
            </w:r>
          </w:p>
        </w:tc>
        <w:tc>
          <w:tcPr>
            <w:tcW w:type="dxa" w:w="104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Price</w:t>
            </w:r>
          </w:p>
        </w:tc>
        <w:tc>
          <w:tcPr>
            <w:tcW w:type="dxa" w:w="182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Current State</w:t>
            </w:r>
          </w:p>
        </w:tc>
        <w:tc>
          <w:tcPr>
            <w:tcW w:type="dxa" w:w="156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Revenue Potential</w:t>
            </w:r>
          </w:p>
        </w:tc>
        <w:tc>
          <w:tcPr>
            <w:tcW w:type="dxa" w:w="338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Conversion Blocker</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Free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$0/forever</w:t>
            </w:r>
          </w:p>
        </w:tc>
        <w:tc>
          <w:tcPr>
            <w:tcW w:type="dxa" w:w="1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Functional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 generation</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IOC garbage in free previews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Pro</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$49/month</w:t>
            </w:r>
          </w:p>
        </w:tc>
        <w:tc>
          <w:tcPr>
            <w:tcW w:type="dxa" w:w="1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Partially functional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$49×N MRR</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EPSS/KEV errors visible in dossiers</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Enterprise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$499/month</w:t>
            </w:r>
          </w:p>
        </w:tc>
        <w:tc>
          <w:tcPr>
            <w:tcW w:type="dxa" w:w="1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SOC push broken by bad rules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$499×N MRR</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Sigma/YARA defects kill SOC integration</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MSSP</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$1,999/month</w:t>
            </w:r>
          </w:p>
        </w:tc>
        <w:tc>
          <w:tcPr>
            <w:tcW w:type="dxa" w:w="1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Not yet available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$1,999×N MRR</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Needs tenant management API</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Gumroad (one-time)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$49–$499</w:t>
            </w:r>
          </w:p>
        </w:tc>
        <w:tc>
          <w:tcPr>
            <w:tcW w:type="dxa" w:w="18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Functional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Immediate cash flow</w:t>
            </w:r>
          </w:p>
        </w:tc>
        <w:tc>
          <w:tcPr>
            <w:tcW w:type="dxa" w:w="33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YARA rules in kits have same defects</w:t>
            </w:r>
          </w:p>
        </w:tc>
      </w:tr>
    </w:tbl>
    <w:p>
      <w:pPr>
        <w:spacing w:after="80"/>
      </w:pPr>
      <w:r>
        <w:t xml:space="preserve"/>
      </w:r>
    </w:p>
    <w:p>
      <w:pPr>
        <w:pStyle w:val="Heading2"/>
      </w:pPr>
      <w:r>
        <w:t xml:space="preserve">4.2 The 30-Day Revenue Unlock Plan</w:t>
      </w:r>
    </w:p>
    <w:p>
      <w:pPr>
        <w:spacing w:after="120"/>
      </w:pPr>
      <w:r>
        <w:t xml:space="preserve">Fixing the five defects identified in Section 2 is the highest-leverage activity available. Once fixed, the following revenue motions become viable:</w:t>
      </w:r>
    </w:p>
    <w:p>
      <w:pPr>
        <w:spacing w:after="80"/>
      </w:pPr>
      <w:r>
        <w:t xml:space="preserve"/>
      </w:r>
    </w:p>
    <w:p>
      <w:pPr>
        <w:pStyle w:val="ListParagraph"/>
        <w:numPr>
          <w:ilvl w:val="0"/>
          <w:numId w:val="3"/>
        </w:numPr>
        <w:spacing w:after="60"/>
      </w:pPr>
      <w:r>
        <w:t xml:space="preserve">Deploy fixed IOC extraction, EPSS display, and KEV validation (Week 1)</w:t>
      </w:r>
    </w:p>
    <w:p>
      <w:pPr>
        <w:pStyle w:val="ListParagraph"/>
        <w:numPr>
          <w:ilvl w:val="0"/>
          <w:numId w:val="3"/>
        </w:numPr>
        <w:spacing w:after="60"/>
      </w:pPr>
      <w:r>
        <w:t xml:space="preserve">Re-generate all existing Gumroad kit contents with fixed Sigma and YARA rules (Week 2)</w:t>
      </w:r>
    </w:p>
    <w:p>
      <w:pPr>
        <w:pStyle w:val="ListParagraph"/>
        <w:numPr>
          <w:ilvl w:val="0"/>
          <w:numId w:val="3"/>
        </w:numPr>
        <w:spacing w:after="60"/>
      </w:pPr>
      <w:r>
        <w:t xml:space="preserve">Email the existing subscriber base announcing 'v2.0 Detection Quality Upgrade' (Week 2)</w:t>
      </w:r>
    </w:p>
    <w:p>
      <w:pPr>
        <w:pStyle w:val="ListParagraph"/>
        <w:numPr>
          <w:ilvl w:val="0"/>
          <w:numId w:val="3"/>
        </w:numPr>
        <w:spacing w:after="60"/>
      </w:pPr>
      <w:r>
        <w:t xml:space="preserve">Publish blog post: 'How We Fixed Our IOC Extraction Engine' — drives SEO + credibility (Week 3)</w:t>
      </w:r>
    </w:p>
    <w:p>
      <w:pPr>
        <w:pStyle w:val="ListParagraph"/>
        <w:numPr>
          <w:ilvl w:val="0"/>
          <w:numId w:val="3"/>
        </w:numPr>
        <w:spacing w:after="60"/>
      </w:pPr>
      <w:r>
        <w:t xml:space="preserve">Reach out to 20 MSSPs with corrected enterprise demo (Week 3-4)</w:t>
      </w:r>
    </w:p>
    <w:p>
      <w:pPr>
        <w:pStyle w:val="ListParagraph"/>
        <w:numPr>
          <w:ilvl w:val="0"/>
          <w:numId w:val="3"/>
        </w:numPr>
        <w:spacing w:after="60"/>
      </w:pPr>
      <w:r>
        <w:t xml:space="preserve">Enable the MSSP tier with tenant management API using the delivered OpenAPI spec (Week 4)</w:t>
      </w:r>
    </w:p>
    <w:p>
      <w:pPr>
        <w:spacing w:after="80"/>
      </w:pPr>
      <w:r>
        <w:t xml:space="preserve"/>
      </w:r>
    </w:p>
    <w:p>
      <w:pPr>
        <w:pStyle w:val="Heading2"/>
      </w:pPr>
      <w:r>
        <w:t xml:space="preserve">4.3 API Economy Expansion</w:t>
      </w:r>
    </w:p>
    <w:p>
      <w:pPr>
        <w:spacing w:after="120"/>
      </w:pPr>
      <w:r>
        <w:t xml:space="preserve">The API tier model has strong API economy potential. Three additions would significantly increase API revenue:</w:t>
      </w:r>
    </w:p>
    <w:p>
      <w:pPr>
        <w:spacing w:after="80"/>
      </w:pPr>
      <w:r>
        <w:t xml:space="preserve"/>
      </w:r>
    </w:p>
    <w:p>
      <w:pPr>
        <w:pStyle w:val="ListParagraph"/>
        <w:numPr>
          <w:ilvl w:val="0"/>
          <w:numId w:val="2"/>
        </w:numPr>
        <w:spacing w:after="60"/>
      </w:pPr>
      <w:r>
        <w:rPr>
          <w:b w:val="false"/>
          <w:bCs w:val="false"/>
        </w:rPr>
        <w:t xml:space="preserve">Usage-metered billing for STIX bundle exports (charge per-bundle above a monthly allowance)</w:t>
      </w:r>
    </w:p>
    <w:p>
      <w:pPr>
        <w:pStyle w:val="ListParagraph"/>
        <w:numPr>
          <w:ilvl w:val="0"/>
          <w:numId w:val="2"/>
        </w:numPr>
        <w:spacing w:after="60"/>
      </w:pPr>
      <w:r>
        <w:rPr>
          <w:b w:val="false"/>
          <w:bCs w:val="false"/>
        </w:rPr>
        <w:t xml:space="preserve">Detection rule download metering at Enterprise tier (charge per rule pack pulled)</w:t>
      </w:r>
    </w:p>
    <w:p>
      <w:pPr>
        <w:pStyle w:val="ListParagraph"/>
        <w:numPr>
          <w:ilvl w:val="0"/>
          <w:numId w:val="2"/>
        </w:numPr>
        <w:spacing w:after="60"/>
      </w:pPr>
      <w:r>
        <w:rPr>
          <w:b w:val="false"/>
          <w:bCs w:val="false"/>
        </w:rPr>
        <w:t xml:space="preserve">Prediction API calls billed separately at Pro tier ($0.10 per prediction call above 100/month)</w:t>
      </w:r>
    </w:p>
    <w:p>
      <w:pPr>
        <w:spacing w:after="80"/>
      </w:pPr>
      <w:r>
        <w:t xml:space="preserve"/>
      </w:r>
    </w:p>
    <w:p>
      <w:pPr>
        <w:spacing w:after="120"/>
      </w:pPr>
      <w:r>
        <w:t xml:space="preserve">The delivered OpenAPI spec defines the /api/usage endpoint which provides the billing telemetry foundation for metered billing. Integration with Stripe's usage-based billing API would complete this loop.</w:t>
      </w:r>
    </w:p>
    <w:p>
      <w:pPr>
        <w:spacing w:after="80"/>
      </w:pPr>
      <w:r>
        <w:t xml:space="preserve"/>
      </w:r>
    </w:p>
    <w:p>
      <w:pPr>
        <w:pStyle w:val="Heading2"/>
      </w:pPr>
      <w:r>
        <w:t xml:space="preserve">4.4 MSSP Channel — Highest Revenue Opportunity</w:t>
      </w:r>
    </w:p>
    <w:p>
      <w:pPr>
        <w:spacing w:after="120"/>
      </w:pPr>
      <w:r>
        <w:t xml:space="preserve">The MSSP tier at $1,999/month represents the highest single-customer revenue. MSSPs need:</w:t>
      </w:r>
    </w:p>
    <w:p>
      <w:pPr>
        <w:spacing w:after="80"/>
      </w:pPr>
      <w:r>
        <w:t xml:space="preserve"/>
      </w:r>
    </w:p>
    <w:p>
      <w:pPr>
        <w:pStyle w:val="ListParagraph"/>
        <w:numPr>
          <w:ilvl w:val="0"/>
          <w:numId w:val="2"/>
        </w:numPr>
        <w:spacing w:after="60"/>
      </w:pPr>
      <w:r>
        <w:rPr>
          <w:b w:val="false"/>
          <w:bCs w:val="false"/>
        </w:rPr>
        <w:t xml:space="preserve">Tenant isolation — separate API keys and data views per managed client</w:t>
      </w:r>
    </w:p>
    <w:p>
      <w:pPr>
        <w:pStyle w:val="ListParagraph"/>
        <w:numPr>
          <w:ilvl w:val="0"/>
          <w:numId w:val="2"/>
        </w:numPr>
        <w:spacing w:after="60"/>
      </w:pPr>
      <w:r>
        <w:rPr>
          <w:b w:val="false"/>
          <w:bCs w:val="false"/>
        </w:rPr>
        <w:t xml:space="preserve">White-label capability — remove CYBERDUDEBIVASH branding for resale</w:t>
      </w:r>
    </w:p>
    <w:p>
      <w:pPr>
        <w:pStyle w:val="ListParagraph"/>
        <w:numPr>
          <w:ilvl w:val="0"/>
          <w:numId w:val="2"/>
        </w:numPr>
        <w:spacing w:after="60"/>
      </w:pPr>
      <w:r>
        <w:rPr>
          <w:b w:val="false"/>
          <w:bCs w:val="false"/>
        </w:rPr>
        <w:t xml:space="preserve">Bulk API rate limits — 5,000+ requests/minute for multi-client operations</w:t>
      </w:r>
    </w:p>
    <w:p>
      <w:pPr>
        <w:pStyle w:val="ListParagraph"/>
        <w:numPr>
          <w:ilvl w:val="0"/>
          <w:numId w:val="2"/>
        </w:numPr>
        <w:spacing w:after="60"/>
      </w:pPr>
      <w:r>
        <w:rPr>
          <w:b w:val="false"/>
          <w:bCs w:val="false"/>
        </w:rPr>
        <w:t xml:space="preserve">Tenant management API — programmatic provisioning of client workspaces</w:t>
      </w:r>
    </w:p>
    <w:p>
      <w:pPr>
        <w:spacing w:after="80"/>
      </w:pPr>
      <w:r>
        <w:t xml:space="preserve"/>
      </w:r>
    </w:p>
    <w:p>
      <w:pPr>
        <w:spacing w:after="120"/>
      </w:pPr>
      <w:r>
        <w:t xml:space="preserve">The OpenAPI spec defines the /api/tenants endpoints. A single MSSP managing 20 clients at $499/client/month generates $9,980 MRR from one MSSP relationship — equivalent to 5 direct enterprise subscriptions.</w:t>
      </w:r>
    </w:p>
    <w:p>
      <w:pPr>
        <w:spacing w:after="80"/>
      </w:pPr>
      <w:r>
        <w:t xml:space="preserve"/>
      </w:r>
    </w:p>
    <w:p>
      <w:r>
        <w:br w:type="page"/>
      </w:r>
    </w:p>
    <w:p>
      <w:pPr>
        <w:pStyle w:val="Heading1"/>
      </w:pPr>
      <w:r>
        <w:rPr>
          <w:b/>
          <w:bCs/>
        </w:rPr>
        <w:t xml:space="preserve">5. 90-Day Enterprise Readiness Roadmap</w:t>
      </w:r>
    </w:p>
    <w:p>
      <w:pPr>
        <w:pStyle w:val="Heading2"/>
      </w:pPr>
      <w:r>
        <w:t xml:space="preserve">Phase 1: Data Quality &amp; Credibility (Days 1-30)</w:t>
      </w:r>
    </w:p>
    <w:p>
      <w:pPr>
        <w:spacing w:after="120"/>
      </w:pPr>
      <w:r>
        <w:t xml:space="preserve">Goal: Fix all five critical defects. Make every piece of output trustworthy.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000"/>
        <w:gridCol w:w="360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Days</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Deploy apex_ioc_extractor.py to production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Eliminates garbage IOCs from all outputs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Fix EPSS display rendering platform-wide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Corrects all % display errors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Implement validate_kev_status() in advisory pipeline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Prevents false KEV flags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Deploy apex_sigma_templates.py as rule engine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Fixes all Sigma/YARA outputs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Re-generate all Gumroad kit contents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Cleans existing sold products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Quality audit: manual review 20 advisories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Analyst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14-20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Validates all fixes in production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Publish v2.0 quality announcement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20-25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Builds credibility with existing users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Update all demo materials and screenshots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25-30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Removes visible defects from sales materials</w:t>
            </w:r>
          </w:p>
        </w:tc>
      </w:tr>
    </w:tbl>
    <w:p>
      <w:pPr>
        <w:spacing w:after="80"/>
      </w:pPr>
      <w:r>
        <w:t xml:space="preserve"/>
      </w:r>
    </w:p>
    <w:p>
      <w:pPr>
        <w:pStyle w:val="Heading2"/>
      </w:pPr>
      <w:r>
        <w:t xml:space="preserve">Phase 2: Enterprise Hardening (Days 31-60)</w:t>
      </w:r>
    </w:p>
    <w:p>
      <w:pPr>
        <w:spacing w:after="120"/>
      </w:pPr>
      <w:r>
        <w:t xml:space="preserve">Goal: Make the platform passable for enterprise security evaluation.</w:t>
      </w:r>
    </w:p>
    <w:p>
      <w:pPr>
        <w:spacing w:after="80"/>
      </w:pPr>
      <w:r>
        <w:t xml:space="preserve"/>
      </w:r>
    </w:p>
    <w:p>
      <w:pPr>
        <w:pStyle w:val="ListParagraph"/>
        <w:numPr>
          <w:ilvl w:val="0"/>
          <w:numId w:val="2"/>
        </w:numPr>
        <w:spacing w:after="60"/>
      </w:pPr>
      <w:r>
        <w:rPr>
          <w:b w:val="false"/>
          <w:bCs w:val="false"/>
        </w:rPr>
        <w:t xml:space="preserve">Implement API rate limiting with proper 429 responses and Retry-After headers</w:t>
      </w:r>
    </w:p>
    <w:p>
      <w:pPr>
        <w:pStyle w:val="ListParagraph"/>
        <w:numPr>
          <w:ilvl w:val="0"/>
          <w:numId w:val="2"/>
        </w:numPr>
        <w:spacing w:after="60"/>
      </w:pPr>
      <w:r>
        <w:rPr>
          <w:b w:val="false"/>
          <w:bCs w:val="false"/>
        </w:rPr>
        <w:t xml:space="preserve">Add JWT token rotation and revocation endpoint</w:t>
      </w:r>
    </w:p>
    <w:p>
      <w:pPr>
        <w:pStyle w:val="ListParagraph"/>
        <w:numPr>
          <w:ilvl w:val="0"/>
          <w:numId w:val="2"/>
        </w:numPr>
        <w:spacing w:after="60"/>
      </w:pPr>
      <w:r>
        <w:rPr>
          <w:b w:val="false"/>
          <w:bCs w:val="false"/>
        </w:rPr>
        <w:t xml:space="preserve">Implement HMAC-SHA256 webhook payload signing for Enterprise tier</w:t>
      </w:r>
    </w:p>
    <w:p>
      <w:pPr>
        <w:pStyle w:val="ListParagraph"/>
        <w:numPr>
          <w:ilvl w:val="0"/>
          <w:numId w:val="2"/>
        </w:numPr>
        <w:spacing w:after="60"/>
      </w:pPr>
      <w:r>
        <w:rPr>
          <w:b w:val="false"/>
          <w:bCs w:val="false"/>
        </w:rPr>
        <w:t xml:space="preserve">Add /api/health endpoint for SLA monitoring integration</w:t>
      </w:r>
    </w:p>
    <w:p>
      <w:pPr>
        <w:pStyle w:val="ListParagraph"/>
        <w:numPr>
          <w:ilvl w:val="0"/>
          <w:numId w:val="2"/>
        </w:numPr>
        <w:spacing w:after="60"/>
      </w:pPr>
      <w:r>
        <w:rPr>
          <w:b w:val="false"/>
          <w:bCs w:val="false"/>
        </w:rPr>
        <w:t xml:space="preserve">SIEM push connector testing: Splunk HEC, Azure Sentinel, QRadar LEEF</w:t>
      </w:r>
    </w:p>
    <w:p>
      <w:pPr>
        <w:pStyle w:val="ListParagraph"/>
        <w:numPr>
          <w:ilvl w:val="0"/>
          <w:numId w:val="2"/>
        </w:numPr>
        <w:spacing w:after="60"/>
      </w:pPr>
      <w:r>
        <w:rPr>
          <w:b w:val="false"/>
          <w:bCs w:val="false"/>
        </w:rPr>
        <w:t xml:space="preserve">Add ETag and Last-Modified headers to /api/feed for efficient polling</w:t>
      </w:r>
    </w:p>
    <w:p>
      <w:pPr>
        <w:pStyle w:val="ListParagraph"/>
        <w:numPr>
          <w:ilvl w:val="0"/>
          <w:numId w:val="2"/>
        </w:numPr>
        <w:spacing w:after="60"/>
      </w:pPr>
      <w:r>
        <w:rPr>
          <w:b w:val="false"/>
          <w:bCs w:val="false"/>
        </w:rPr>
        <w:t xml:space="preserve">Implement /api/iocs/lookup for real-time IOC reputation checks</w:t>
      </w:r>
    </w:p>
    <w:p>
      <w:pPr>
        <w:pStyle w:val="ListParagraph"/>
        <w:numPr>
          <w:ilvl w:val="0"/>
          <w:numId w:val="2"/>
        </w:numPr>
        <w:spacing w:after="60"/>
      </w:pPr>
      <w:r>
        <w:rPr>
          <w:b w:val="false"/>
          <w:bCs w:val="false"/>
        </w:rPr>
        <w:t xml:space="preserve">Create API developer documentation from the delivered OpenAPI spec</w:t>
      </w:r>
    </w:p>
    <w:p>
      <w:pPr>
        <w:spacing w:after="80"/>
      </w:pPr>
      <w:r>
        <w:t xml:space="preserve"/>
      </w:r>
    </w:p>
    <w:p>
      <w:pPr>
        <w:pStyle w:val="Heading2"/>
      </w:pPr>
      <w:r>
        <w:t xml:space="preserve">Phase 3: MSSP &amp; Scale (Days 61-90)</w:t>
      </w:r>
    </w:p>
    <w:p>
      <w:pPr>
        <w:spacing w:after="120"/>
      </w:pPr>
      <w:r>
        <w:t xml:space="preserve">Goal: Launch MSSP tier. Sign first MSSP partner.</w:t>
      </w:r>
    </w:p>
    <w:p>
      <w:pPr>
        <w:spacing w:after="80"/>
      </w:pPr>
      <w:r>
        <w:t xml:space="preserve"/>
      </w:r>
    </w:p>
    <w:p>
      <w:pPr>
        <w:pStyle w:val="ListParagraph"/>
        <w:numPr>
          <w:ilvl w:val="0"/>
          <w:numId w:val="2"/>
        </w:numPr>
        <w:spacing w:after="60"/>
      </w:pPr>
      <w:r>
        <w:rPr>
          <w:b w:val="false"/>
          <w:bCs w:val="false"/>
        </w:rPr>
        <w:t xml:space="preserve">Build tenant provisioning API (/api/tenants POST/GET/DELETE)</w:t>
      </w:r>
    </w:p>
    <w:p>
      <w:pPr>
        <w:pStyle w:val="ListParagraph"/>
        <w:numPr>
          <w:ilvl w:val="0"/>
          <w:numId w:val="2"/>
        </w:numPr>
        <w:spacing w:after="60"/>
      </w:pPr>
      <w:r>
        <w:rPr>
          <w:b w:val="false"/>
          <w:bCs w:val="false"/>
        </w:rPr>
        <w:t xml:space="preserve">Implement per-tenant API key namespacing and data isolation</w:t>
      </w:r>
    </w:p>
    <w:p>
      <w:pPr>
        <w:pStyle w:val="ListParagraph"/>
        <w:numPr>
          <w:ilvl w:val="0"/>
          <w:numId w:val="2"/>
        </w:numPr>
        <w:spacing w:after="60"/>
      </w:pPr>
      <w:r>
        <w:rPr>
          <w:b w:val="false"/>
          <w:bCs w:val="false"/>
        </w:rPr>
        <w:t xml:space="preserve">White-label configuration: custom logo, domain CNAME, branded dossier headers</w:t>
      </w:r>
    </w:p>
    <w:p>
      <w:pPr>
        <w:pStyle w:val="ListParagraph"/>
        <w:numPr>
          <w:ilvl w:val="0"/>
          <w:numId w:val="2"/>
        </w:numPr>
        <w:spacing w:after="60"/>
      </w:pPr>
      <w:r>
        <w:rPr>
          <w:b w:val="false"/>
          <w:bCs w:val="false"/>
        </w:rPr>
        <w:t xml:space="preserve">MSSP dashboard: tenant health overview, aggregate usage metrics</w:t>
      </w:r>
    </w:p>
    <w:p>
      <w:pPr>
        <w:pStyle w:val="ListParagraph"/>
        <w:numPr>
          <w:ilvl w:val="0"/>
          <w:numId w:val="2"/>
        </w:numPr>
        <w:spacing w:after="60"/>
      </w:pPr>
      <w:r>
        <w:rPr>
          <w:b w:val="false"/>
          <w:bCs w:val="false"/>
        </w:rPr>
        <w:t xml:space="preserve">Partner program page: MSSP pricing, onboarding guide, SLA terms</w:t>
      </w:r>
    </w:p>
    <w:p>
      <w:pPr>
        <w:pStyle w:val="ListParagraph"/>
        <w:numPr>
          <w:ilvl w:val="0"/>
          <w:numId w:val="2"/>
        </w:numPr>
        <w:spacing w:after="60"/>
      </w:pPr>
      <w:r>
        <w:rPr>
          <w:b w:val="false"/>
          <w:bCs w:val="false"/>
        </w:rPr>
        <w:t xml:space="preserve">Target outreach: 10 Indian MSSPs, 5 global MSSPs via LinkedIn</w:t>
      </w:r>
    </w:p>
    <w:p>
      <w:pPr>
        <w:pStyle w:val="ListParagraph"/>
        <w:numPr>
          <w:ilvl w:val="0"/>
          <w:numId w:val="2"/>
        </w:numPr>
        <w:spacing w:after="60"/>
      </w:pPr>
      <w:r>
        <w:rPr>
          <w:b w:val="false"/>
          <w:bCs w:val="false"/>
        </w:rPr>
        <w:t xml:space="preserve">Integrate Stripe usage-based billing for metered API calls</w:t>
      </w:r>
    </w:p>
    <w:p>
      <w:pPr>
        <w:spacing w:after="80"/>
      </w:pPr>
      <w:r>
        <w:t xml:space="preserve"/>
      </w:r>
    </w:p>
    <w:p>
      <w:r>
        <w:br w:type="page"/>
      </w:r>
    </w:p>
    <w:p>
      <w:pPr>
        <w:pStyle w:val="Heading1"/>
      </w:pPr>
      <w:r>
        <w:rPr>
          <w:b/>
          <w:bCs/>
        </w:rPr>
        <w:t xml:space="preserve">6. Competitive Positioning &amp; Market Reality</w:t>
      </w:r>
    </w:p>
    <w:p>
      <w:pPr>
        <w:pStyle w:val="Heading2"/>
      </w:pPr>
      <w:r>
        <w:t xml:space="preserve">6.1 Genuine Differentiators</w:t>
      </w:r>
    </w:p>
    <w:p>
      <w:pPr>
        <w:spacing w:after="120"/>
      </w:pPr>
      <w:r>
        <w:t xml:space="preserve">SENTINEL APEX has several characteristics that are genuinely differentiated in the Indian and emerging-market CTI space:</w:t>
      </w:r>
    </w:p>
    <w:p>
      <w:pPr>
        <w:spacing w:after="80"/>
      </w:pPr>
      <w:r>
        <w:t xml:space="preserve"/>
      </w:r>
    </w:p>
    <w:p>
      <w:pPr>
        <w:pStyle w:val="ListParagraph"/>
        <w:numPr>
          <w:ilvl w:val="0"/>
          <w:numId w:val="2"/>
        </w:numPr>
        <w:spacing w:after="60"/>
      </w:pPr>
      <w:r>
        <w:rPr>
          <w:b w:val="false"/>
          <w:bCs w:val="false"/>
        </w:rPr>
        <w:t xml:space="preserve">Price point: $49/month Pro tier vs. $1,500-$5,000+/month for Recorded Future, ThreatConnect, Anomali</w:t>
      </w:r>
    </w:p>
    <w:p>
      <w:pPr>
        <w:pStyle w:val="ListParagraph"/>
        <w:numPr>
          <w:ilvl w:val="0"/>
          <w:numId w:val="2"/>
        </w:numPr>
        <w:spacing w:after="60"/>
      </w:pPr>
      <w:r>
        <w:rPr>
          <w:b w:val="false"/>
          <w:bCs w:val="false"/>
        </w:rPr>
        <w:t xml:space="preserve">GSTIN-registered India-based provider — enables procurement through Indian vendor channels</w:t>
      </w:r>
    </w:p>
    <w:p>
      <w:pPr>
        <w:pStyle w:val="ListParagraph"/>
        <w:numPr>
          <w:ilvl w:val="0"/>
          <w:numId w:val="2"/>
        </w:numPr>
        <w:spacing w:after="60"/>
      </w:pPr>
      <w:r>
        <w:rPr>
          <w:b w:val="false"/>
          <w:bCs w:val="false"/>
        </w:rPr>
        <w:t xml:space="preserve">Full 20-section dossier format at free tier preview — more detailed than most freemium CTI platforms</w:t>
      </w:r>
    </w:p>
    <w:p>
      <w:pPr>
        <w:pStyle w:val="ListParagraph"/>
        <w:numPr>
          <w:ilvl w:val="0"/>
          <w:numId w:val="2"/>
        </w:numPr>
        <w:spacing w:after="60"/>
      </w:pPr>
      <w:r>
        <w:rPr>
          <w:b w:val="false"/>
          <w:bCs w:val="false"/>
        </w:rPr>
        <w:t xml:space="preserve">AI prediction engine (SENTINEL-AI v2) with sector-specific 30-day forecasts</w:t>
      </w:r>
    </w:p>
    <w:p>
      <w:pPr>
        <w:pStyle w:val="ListParagraph"/>
        <w:numPr>
          <w:ilvl w:val="0"/>
          <w:numId w:val="2"/>
        </w:numPr>
        <w:spacing w:after="60"/>
      </w:pPr>
      <w:r>
        <w:rPr>
          <w:b w:val="false"/>
          <w:bCs w:val="false"/>
        </w:rPr>
        <w:t xml:space="preserve">Integrated detection pack (Sigma+YARA+KQL+SPL) per advisory — most platforms sell this separately</w:t>
      </w:r>
    </w:p>
    <w:p>
      <w:pPr>
        <w:spacing w:after="80"/>
      </w:pPr>
      <w:r>
        <w:t xml:space="preserve"/>
      </w:r>
    </w:p>
    <w:p>
      <w:pPr>
        <w:pStyle w:val="Heading2"/>
      </w:pPr>
      <w:r>
        <w:t xml:space="preserve">6.2 What Needs to Be True to Win Enterprise Deals</w:t>
      </w:r>
    </w:p>
    <w:p>
      <w:pPr>
        <w:spacing w:after="120"/>
      </w:pPr>
      <w:r>
        <w:t xml:space="preserve">The path to winning Indian enterprise and government accounts requires:</w:t>
      </w:r>
    </w:p>
    <w:p>
      <w:pPr>
        <w:spacing w:after="80"/>
      </w:pPr>
      <w:r>
        <w:t xml:space="preserve"/>
      </w:r>
    </w:p>
    <w:p>
      <w:pPr>
        <w:pStyle w:val="ListParagraph"/>
        <w:numPr>
          <w:ilvl w:val="0"/>
          <w:numId w:val="2"/>
        </w:numPr>
        <w:spacing w:after="60"/>
      </w:pPr>
      <w:r>
        <w:rPr>
          <w:b w:val="false"/>
          <w:bCs w:val="false"/>
        </w:rPr>
        <w:t xml:space="preserve">Zero tolerance for false data: No garbage IOCs, no false KEV flags, no absurd EPSS displays</w:t>
      </w:r>
    </w:p>
    <w:p>
      <w:pPr>
        <w:pStyle w:val="ListParagraph"/>
        <w:numPr>
          <w:ilvl w:val="0"/>
          <w:numId w:val="2"/>
        </w:numPr>
        <w:spacing w:after="60"/>
      </w:pPr>
      <w:r>
        <w:rPr>
          <w:b w:val="false"/>
          <w:bCs w:val="false"/>
        </w:rPr>
        <w:t xml:space="preserve">SOC integration that works: Rules that deploy cleanly without parse errors or false positives</w:t>
      </w:r>
    </w:p>
    <w:p>
      <w:pPr>
        <w:pStyle w:val="ListParagraph"/>
        <w:numPr>
          <w:ilvl w:val="0"/>
          <w:numId w:val="2"/>
        </w:numPr>
        <w:spacing w:after="60"/>
      </w:pPr>
      <w:r>
        <w:rPr>
          <w:b w:val="false"/>
          <w:bCs w:val="false"/>
        </w:rPr>
        <w:t xml:space="preserve">A reference customer: One named enterprise customer testimonial is worth more than any feature</w:t>
      </w:r>
    </w:p>
    <w:p>
      <w:pPr>
        <w:pStyle w:val="ListParagraph"/>
        <w:numPr>
          <w:ilvl w:val="0"/>
          <w:numId w:val="2"/>
        </w:numPr>
        <w:spacing w:after="60"/>
      </w:pPr>
      <w:r>
        <w:rPr>
          <w:b w:val="false"/>
          <w:bCs w:val="false"/>
        </w:rPr>
        <w:t xml:space="preserve">Compliance alignment: DPDP Act compliance documentation for Indian data handling</w:t>
      </w:r>
    </w:p>
    <w:p>
      <w:pPr>
        <w:pStyle w:val="ListParagraph"/>
        <w:numPr>
          <w:ilvl w:val="0"/>
          <w:numId w:val="2"/>
        </w:numPr>
        <w:spacing w:after="60"/>
      </w:pPr>
      <w:r>
        <w:rPr>
          <w:b w:val="false"/>
          <w:bCs w:val="false"/>
        </w:rPr>
        <w:t xml:space="preserve">SLA in writing: Even a simple 99% uptime SLA signals enterprise maturity</w:t>
      </w:r>
    </w:p>
    <w:p>
      <w:pPr>
        <w:spacing w:after="80"/>
      </w:pPr>
      <w:r>
        <w:t xml:space="preserve"/>
      </w:r>
    </w:p>
    <w:p>
      <w:pPr>
        <w:pStyle w:val="Heading2"/>
      </w:pPr>
      <w:r>
        <w:t xml:space="preserve">6.3 Realistic 12-Month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Revenue Stream</w:t>
            </w:r>
          </w:p>
        </w:tc>
        <w:tc>
          <w:tcPr>
            <w:tcW w:type="dxa" w:w="164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Q3 2026 Target</w:t>
            </w:r>
          </w:p>
        </w:tc>
        <w:tc>
          <w:tcPr>
            <w:tcW w:type="dxa" w:w="164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Q4 2026 Target</w:t>
            </w:r>
          </w:p>
        </w:tc>
        <w:tc>
          <w:tcPr>
            <w:tcW w:type="dxa" w:w="1640"/>
            <w:tcBorders>
              <w:top w:val="single" w:color="CCCCCC" w:sz="1"/>
              <w:left w:val="single" w:color="CCCCCC" w:sz="1"/>
              <w:bottom w:val="single" w:color="CCCCCC" w:sz="1"/>
              <w:right w:val="single" w:color="CCCCCC" w:sz="1"/>
            </w:tcBorders>
            <w:shd w:fill="21618C" w:val="clear"/>
            <w:tcMar>
              <w:top w:type="dxa" w:w="80"/>
              <w:left w:type="dxa" w:w="120"/>
              <w:bottom w:type="dxa" w:w="80"/>
              <w:right w:type="dxa" w:w="120"/>
            </w:tcMar>
          </w:tcPr>
          <w:p>
            <w:r>
              <w:rPr>
                <w:b/>
                <w:bCs/>
                <w:color w:val="FFFFFF"/>
                <w:sz w:val="20"/>
                <w:szCs w:val="20"/>
              </w:rPr>
              <w:t xml:space="preserve">Q1 2027 Target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Pro subscriptions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$1,470 MRR (30 subs)</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$2,450 MRR (50 subs)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$4,900 MRR (100 subs)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Enterprise subscriptions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$499 MRR (1 acct)</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$2,495 MRR (5 accts)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$7,485 MRR (15 accts)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MSSP tier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$1,999 MRR (1 partner)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$5,997 MRR (3 partners)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Gumroad one-time sales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$500/mo</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$1,000/mo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$2,000/mo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Consulting / Upwork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$2,000/mo</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$3,000/mo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$4,000/mo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Total MRR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~$4,500/mo</w:t>
            </w:r>
          </w:p>
        </w:tc>
        <w:tc>
          <w:tcPr>
            <w:tcW w:type="dxa" w:w="1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~$11,000/mo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~$24,400/mo</w:t>
            </w:r>
          </w:p>
        </w:tc>
      </w:tr>
    </w:tbl>
    <w:p>
      <w:pPr>
        <w:spacing w:after="80"/>
      </w:pPr>
      <w:r>
        <w:t xml:space="preserve"/>
      </w:r>
    </w:p>
    <w:p>
      <w:pPr>
        <w:spacing w:after="120"/>
      </w:pPr>
      <w:r>
        <w:t xml:space="preserve">These targets are achievable within the existing platform architecture after the five defects are fixed. They do not require new major features — they require data quality, execution, and targeted sales outreach.</w:t>
      </w:r>
    </w:p>
    <w:p>
      <w:pPr>
        <w:spacing w:after="80"/>
      </w:pPr>
      <w:r>
        <w:t xml:space="preserve"/>
      </w:r>
    </w:p>
    <w:p>
      <w:r>
        <w:br w:type="page"/>
      </w:r>
    </w:p>
    <w:p>
      <w:pPr>
        <w:pStyle w:val="Heading1"/>
      </w:pPr>
      <w:r>
        <w:rPr>
          <w:b/>
          <w:bCs/>
        </w:rPr>
        <w:t xml:space="preserve">7. Immediate Action Checklist</w:t>
      </w:r>
    </w:p>
    <w:p>
      <w:pPr>
        <w:spacing w:after="120"/>
      </w:pPr>
      <w:r>
        <w:t xml:space="preserve">Ranked by revenue impact. Complete items 1-5 before any new feature development.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000"/>
        <w:gridCol w:w="1200"/>
        <w:gridCol w:w="1560"/>
        <w:gridCol w:w="3160"/>
      </w:tblGrid>
      <w:tr>
        <w:tc>
          <w:tcPr>
            <w:tcW w:type="dxa" w:w="4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Revenue Impact</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Risk if Skipped</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Deploy apex_ioc_extractor.py — fix IOC garbage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1-2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unblocks all tiers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Every SOC demo fails</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 EPSS display (format_epss function)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MEDIUM — visible credibility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Buyers see absurd numbers</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 KEV validation gate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 legal risk</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False compliance claims</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Deploy new Sigma/YARA engine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2-3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Pro/Enterprise core value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Rules break client SIEMs</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Re-generate all Gumroad kit contents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4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existing customer trust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Existing buyers have broken rules</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Implement /api/health endpoint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LOW-MED — SLA enablement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Cannot offer uptime SLA</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webhook HMAC signing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 — Enterprise requirement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Cannot pass enterprise security review</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MSSP tenant API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2-3 weeks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$1,999/mo per partner</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MSSP tier unavailable</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 quality improvement blog post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2 hours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 — SEO + credibility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Miss trust-building opportunity</w:t>
            </w:r>
          </w:p>
        </w:tc>
      </w:tr>
      <w:tr>
        <w:tc>
          <w:tcPr>
            <w:tcW w:type="dxa" w:w="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 10 Indian MSSP outreach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1 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HIGH — channel multiplier</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sz w:val="20"/>
                <w:szCs w:val="20"/>
              </w:rPr>
              <w:t xml:space="preserve">Slow growth</w:t>
            </w:r>
          </w:p>
        </w:tc>
      </w:tr>
    </w:tbl>
    <w:p>
      <w:pPr>
        <w:spacing w:after="80"/>
      </w:pPr>
      <w:r>
        <w:t xml:space="preserve"/>
      </w:r>
    </w:p>
    <w:p>
      <w:pPr>
        <w:pBdr>
          <w:bottom w:val="single" w:color="2E86C1" w:sz="4" w:space="1"/>
        </w:pBdr>
        <w:spacing w:after="160"/>
      </w:pPr>
      <w:r>
        <w:t xml:space="preserve"/>
      </w:r>
    </w:p>
    <w:p>
      <w:pPr>
        <w:spacing w:after="120" w:before="240"/>
      </w:pPr>
      <w:r>
        <w:rPr>
          <w:rFonts w:ascii="Arial" w:cs="Arial" w:eastAsia="Arial" w:hAnsi="Arial"/>
          <w:b/>
          <w:bCs/>
          <w:color w:val="1A5276"/>
          <w:sz w:val="28"/>
          <w:szCs w:val="28"/>
        </w:rPr>
        <w:t xml:space="preserve">Conclusion</w:t>
      </w:r>
    </w:p>
    <w:p>
      <w:pPr>
        <w:spacing w:after="120"/>
      </w:pPr>
      <w:r>
        <w:t xml:space="preserve">SENTINEL APEX is not a platform that needs a complete rebuild. It is a platform that needs five targeted fixes and focused commercial execution. The business infrastructure, the intelligence pipeline, the report format, the detection pack generation, the pricing model — these are all in place and working. The defects identified in this document are embarrassing precisely because everything else is good. Once fixed, the platform will be genuinely competitive in the Indian and emerging-market enterprise CTI space at a price point that larger vendors cannot match.</w:t>
      </w:r>
    </w:p>
    <w:p>
      <w:pPr>
        <w:spacing w:after="80"/>
      </w:pPr>
      <w:r>
        <w:t xml:space="preserve"/>
      </w:r>
    </w:p>
    <w:p>
      <w:pPr>
        <w:spacing w:after="120"/>
      </w:pPr>
      <w:r>
        <w:t xml:space="preserve">The three production modules delivered with this document (apex_ioc_extractor.py, apex_sigma_templates.py, apex_openapi_v3.yaml) implement the core fixes. Deploy them, re-generate your Gumroad kit contents, publish a quality update, and begin MSSP outreach. That is the path to $10,000+ MRR by Q4 2026.</w:t>
      </w:r>
    </w:p>
    <w:p>
      <w:pPr>
        <w:spacing w:after="80"/>
      </w:pPr>
      <w:r>
        <w:t xml:space="preserve"/>
      </w:r>
    </w:p>
    <w:p>
      <w:pPr>
        <w:pBdr>
          <w:bottom w:val="single" w:color="2E86C1" w:sz="4" w:space="1"/>
        </w:pBdr>
        <w:spacing w:after="160"/>
      </w:pPr>
      <w:r>
        <w:t xml:space="preserve"/>
      </w:r>
    </w:p>
    <w:p>
      <w:pPr>
        <w:spacing w:before="120"/>
        <w:jc w:val="center"/>
      </w:pPr>
      <w:r>
        <w:rPr>
          <w:rFonts w:ascii="Arial" w:cs="Arial" w:eastAsia="Arial" w:hAnsi="Arial"/>
          <w:color w:val="888888"/>
          <w:sz w:val="18"/>
          <w:szCs w:val="18"/>
        </w:rPr>
        <w:t xml:space="preserve">CYBERDUDEBIVASH PRIVATE LIMITED  ·  Jajpur Road, Odisha, India  ·  GSTIN: 21ARKPN8270G1ZP</w:t>
      </w:r>
    </w:p>
    <w:p>
      <w:pPr>
        <w:spacing w:after="120"/>
        <w:jc w:val="center"/>
      </w:pPr>
      <w:r>
        <w:rPr>
          <w:rFonts w:ascii="Arial" w:cs="Arial" w:eastAsia="Arial" w:hAnsi="Arial"/>
          <w:color w:val="2E86C1"/>
          <w:sz w:val="18"/>
          <w:szCs w:val="18"/>
        </w:rPr>
        <w:t xml:space="preserve">bivash@cyberdudebivash.com  ·  +91 8179881447  ·  cyberdudebivash.in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3"/>
      </w:pBdr>
    </w:pPr>
    <w:r>
      <w:rPr>
        <w:color w:val="888888"/>
        <w:sz w:val="18"/>
        <w:szCs w:val="18"/>
      </w:rPr>
      <w:t xml:space="preserve">CONFIDENTIAL  ·  CYBERDUDEBIVASH PRIVATE LIMITED  ·  ODISHA, INDIA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pBdr>
    </w:pPr>
    <w:r>
      <w:rPr>
        <w:color w:val="555555"/>
        <w:sz w:val="18"/>
        <w:szCs w:val="18"/>
      </w:rPr>
      <w:t xml:space="preserve">CYBERDUDEBIVASH SENTINEL APEX  —  Platform Transformation &amp; Monetization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pBdr>
      <w:spacing w:after="18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1618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2026-05-25T14:10:40.149Z</dcterms:created>
  <dcterms:modified xsi:type="dcterms:W3CDTF">2026-05-25T14:10:40.149Z</dcterms:modified>
</cp:coreProperties>
</file>

<file path=docProps/custom.xml><?xml version="1.0" encoding="utf-8"?>
<Properties xmlns="http://schemas.openxmlformats.org/officeDocument/2006/custom-properties" xmlns:vt="http://schemas.openxmlformats.org/officeDocument/2006/docPropsVTypes"/>
</file>