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B4D8"/>
          <w:sz w:val="52"/>
          <w:szCs w:val="52"/>
        </w:rPr>
        <w:t xml:space="preserve">CYBERDUDEBIVASH®</w:t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SENTINEL APEX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4A4E69"/>
          <w:sz w:val="24"/>
          <w:szCs w:val="24"/>
        </w:rPr>
        <w:t xml:space="preserve">GLOBAL AI CYBER INTELLIGENCE OPERATING ECOSYSTEM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ENTERPRISE TRANSFORMATION MASTER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Version 1.0  —  May 2026  —  CONFIDENTIAL</w:t>
      </w:r>
    </w:p>
    <w:p>
      <w:r>
        <w:t xml:space="preserve"/>
      </w:r>
    </w:p>
    <w:p>
      <w:r>
        <w:t xml:space="preserve"/>
      </w:r>
    </w:p>
    <w:tbl>
      <w:tblPr>
        <w:tblW w:type="dxa" w:w="70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82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Enterprise Readiness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75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Monetization Readiness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0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88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Operational Readiness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4E69"/>
          <w:sz w:val="18"/>
          <w:szCs w:val="18"/>
        </w:rPr>
        <w:t xml:space="preserve">intel.cyberdudebivash.com  —  bivashnayak.ai007@gmail.com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CYBERDUDEBIVASH® SENTINEL APEX is a production-grade, AI-powered global cyber intelligence platform that has successfully completed a multi-phase enterprise transformation spanning CI/CD governance, release engineering, revenue architecture, and operational observability. This document provides the authoritative forensic record, architectural analysis, and forward readiness assessment of the platform as of May 2026.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The platform currently serves live threat intelligence data across 158+ advisories, with a globally accessible dashboard at intel.cyberdudebivash.com, an enterprise-grade API layer, full STIX/MISP export capability, and a multi-tier monetization architecture targeting MSSPs, enterprise SOC teams, and independent security operators.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4E69"/>
          <w:sz w:val="22"/>
          <w:szCs w:val="22"/>
        </w:rPr>
        <w:t xml:space="preserve">Three readiness scores are assessed across this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Enterprise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82 / 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GO — enterprise deployment 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Monetization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75 / 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GO — revenue activation 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Operational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A"/>
                <w:sz w:val="20"/>
                <w:szCs w:val="20"/>
              </w:rPr>
              <w:t xml:space="preserve">88 / 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GO — production operations 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Forensic Findings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Pipeline Failure Chain Analysis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Five forensic investigations were conducted across production pipeline runs. Root causes were identified, proven via log evidence, and remediated with surgical, zero-regression fixes: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#1254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STAGE 3.92 — Frontend 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EICC MANIFEST_URLS variable collision; re.search() matched wrong block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Renamed EICC_DATA_URLS; hardened guard to re.findall() + max-block selection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#1255+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STAGE 5.8.1c — Canary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service-worker.js and version.json absent from dist/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build_dist_artifact.py updated to copy both files; verifier checks 11+12 added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#Latest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STAGE 5.4.7 — Verifier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dist_artifact_verifier.py truncated mid-write (SyntaxError line 283)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File repaired; 12-check battery restored; syntax validated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2.2 Platform Health State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158 live advisories across api/feed.json and api/latest.json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 health endpoint returning valid JSON with correct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PAYMENT-GATEWAY.html: noindex removed, SEO-discoverable, pricing corrected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get-api-key.html: fully upgraded with correct pricing and INR equivalents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version.json + service-worker.js: present in dist/ post-build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config/platform_version.json: SSOT established, global_version_sync.py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sentinel_observability_engine.py: telemetry generation confirmed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api/billing.py: payment mandate compliant, stripe_charge_id removed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Architecture Evolution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Version Governance Architecture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Prior to this transformation, version references were fragmented across 15+ files with no authoritative source of truth. Platform versions (v152, v158, v173) co-existed with subsystem revisions, creating release identity fragmentation.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The implemented architecture establishes: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config/platform_version.json — the single authoritative SSOT for platform and CI pipeline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scripts/global_version_sync.py — deterministic propagation engine that synchronizes all version surfaces from the SSOT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Strict separation of platform.version (152.0.0) from ci.pipeline_version (158.0.2) — these are independent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Dry-run mode for validation without mutation, live mode for actual 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5/5 CLEAN validation achieved post-sync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CI/CD Pipeline Governance Architecture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The sentinel-blogger.yml pipeline has been hardened across multiple governance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Concurrency serialization: sentinel-apex-production group with cancel-in-progress: false eliminates deployment races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15+ governance stages with explicit HARD FAIL vs. non-blocking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STAGE 3.92: dashboard_frontend_guard.py hardened with re.findall() + max-block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STAGE 5.4.7: dist_artifact_verifier.py with 12-check battery including service-worker.js and version.json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STAGE 5.8.4: Global Release Orchestration Engine — 8-domain governance gate suite (new)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All 15/15 governance checks passed in v158.0.2 validation run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3.3 Global Release Orchestration Engine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A new enterprise-grade governance engine (scripts/global_release_orchestrator.py) implements 8 governance domains: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 Scope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Release Identity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SSOT version consistency across all surfaces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Manifest 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13 critical files: present, non-empty, parseable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Artifact 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dist/ integrity with CI-aware severity escalation (HARD FAIL in CI)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Convergence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Deployment confidence score from convergence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Rollback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Git history health, lock file age, orphaned deploy detection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Serial deploy verification, single lock file enforcement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Cache Propagation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Service-worker version alignment, cache version detection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Synchronization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Frontend / API / manifest surface mutual consistency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Monetization Readiness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Pricing Architecture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Four-tier pricing has been established, coded in api/billing.py and PAYMENT-GATEWAY.html, and synchronized across get-api-key.html: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INR/mo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Buyer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Independent researchers, trial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$49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~₹4,100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SOC analysts, small security teams, freelance pentesters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$499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~₹41,600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Enterprise SOC teams, CISOs, fintech &amp; SaaS security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MSSP / SOVEREIGN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$1,999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~₹1,66,600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20"/>
                <w:szCs w:val="20"/>
              </w:rPr>
              <w:t xml:space="preserve">MSSPs, government agencies, white-label clients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4.2 Payment Method Mandate (2026-Q2/Q3)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Per the executive mandate, outbound Stripe card processing is NOT authorised for 2026-Q2/Q3. Revenue collection operates exclusively through: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UPI (iambivash.bn@okaxis) — primary method for INR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QR Code — mobile-friendly UPI payment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NEFT / IMPS bank transfer — Axis Bank, IFSC 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PayPal (iambivash.bn@gmail.com) — international USD/EUR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Crypto — BTC / ETH / USDT (TRC20) wallet 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Amazon Pay — link provided on request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This mandate is codified in config/platform_version.json under payment._mandate, and enforced in api/billing.py via AUTHORISED_PAYMENT_METHODS and the process_payment_gateway_webhook method (inbound validation only).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4.3 Revenue Projections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Conservative Year 1 ARR projection assuming minimal customer acquisition: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18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$490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$5,880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MSSP trial gateway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$2,495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$29,940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Direct SOC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MSSP / SOVEREIGN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$5,997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E69"/>
                <w:sz w:val="18"/>
                <w:szCs w:val="18"/>
              </w:rPr>
              <w:t xml:space="preserve">$71,964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Partner MSSPs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$8,982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$107,784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Conservative baseline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Observability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Sentinel Observability Engine v1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The sentinel_observability_engine.py implements runtime and deployment telemetry across six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Runtime telemetry: API latency, feed item counts, endpoint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Deployment telemetry: stage timing, artifact sizes, propagation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Manifest drift detection: compares live surfaces against SSOT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 health scoring: composite score from latency, availability, and schema validity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SLA trend tracking: historical SLA compliance per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Deployment analytics: per-run metrics written to data/telemetry/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Global Release Governance Telemetry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The Global Release Orchestration Engine writes data/telemetry/global_release_governance.json on every pipeline run. This JSON record contains pass/warn/hard-fail counts, governance state (RELEASE_CLEAN | RELEASE_DEGRADED | RELEASE_BLOCKED), and per-check results across all 8 governance domains. Downstream consumers (dashboards, alerts, reports) can read this machine-readable record for real-time governance state.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5.3 Observability Gaps (Remediation 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api/version.json drift (currently 147.0.0 vs SSOT 152.0.0) — correct with global_version_sync.py --apply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service-worker.js pipeline version not present — update build_dist_artifact.py to inject CI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deployment_confidence_score.json stale (0.0 score) — will self-correct on next live pipeline run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Enterprise Onboarding &amp; MSSP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6.1 Current Onboarding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PAYMENT-GATEWAY.html — SEO-discoverable pricing page with full tier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get-api-key.html — API key request form with plan selection and payment method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api/onboarding.py — onboarding API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api/enterprise.py — enterprise feature gating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api/auth.py — API key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api/subscription.py — subscription tier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6.2 MSSP Acquisition Flow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The MSSP / Sovereign tier ($1,999/mo) is the highest-value product. The acquisition workflow: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Discovery: blog.cyberdudebivash.in content marketing + LinkedIn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Qualification: API trial at FREE tier (100 req/day) with STIX export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Demo: Enterprise dashboard + live threat intel feed walkthrough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Contract: Manual enterprise billing (NEFT/PayPal for international MSSPs)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Onboarding: White-label configuration, webhook endpoints, SIEM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Success: Monthly SOC report delivery, dedicated support SLA (15 min response)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6.3 Enterprise Trust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Immutable billing event log (JSONL append-only) — full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Atomic JSON writes with .tmp swap pattern — no partial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 key lifecycle governance: create, rotate, revoke with event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GSTIN: 21ARKPN8270G1ZP — India GST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PCI scope minimization: no plaintext payment data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HMAC-validated webhook ingestion (inbound only)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Deployment Governance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7.1 Release Pipeline Architecture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The sentinel-blogger.yml pipeline implements a staged release governance model modeled on enterprise CI/CD principles: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 Function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STAGE 0.x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Pre-flight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Pipeline lock, disk check, Python syntax, encoding, schema validation, version auto-apply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STAGE 1–3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Master orchestrator, AI enrichment, CVSS/EPSS, manifest merge, scoring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STAGE 3.9x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Guard Gates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Frontend architecture guard, API contract validation, version drift check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STAGE 4.x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Artifact Build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Dist artifact build + 12-check verification (HARD FAIL)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STAGE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GitHub Pages deploy (JamesIves v4.7.4)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STAGE 5.5–5.9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Post-Deploy Validation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Smoke tests, regression immunity, monetization gate, canary, convergence engine, orchestrator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STAGE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Telegram failure alert / success notification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7.2 Rollback Safety</w:t>
      </w:r>
    </w:p>
    <w:p>
      <w:pPr>
        <w:spacing w:after="80" w:before="80"/>
      </w:pPr>
      <w:r>
        <w:rPr>
          <w:rFonts w:ascii="Arial" w:cs="Arial" w:eastAsia="Arial" w:hAnsi="Arial"/>
          <w:color w:val="4A4E69"/>
          <w:sz w:val="22"/>
          <w:szCs w:val="22"/>
        </w:rPr>
        <w:t xml:space="preserve">The platform maintains rollback safety through several mechanisms: git history with packed-refs available for immediate rollback, pipeline concurrency serialization preventing overlapping deploys, the .pipeline_lock mechanism with staleness detection (&gt;2h = stale alert), and the immutable deployment artifact verifier ensuring dist/ integrity before any deployment completes.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Readiness Scores &amp; Production Decision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8.1 Enterprise Readiness: 82 /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Production pipeline stability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18/20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15/15 governance checks passing; v158.0.2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API governance &amp; versioning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15/20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Feed, latest, health endpoints live; version drift minor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Enterprise trust (audit, billing)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16/20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Immutable log, HMAC webhooks, GSTIN, PCI-minimal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Observability &amp; telemetry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18/20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8-domain orchestrator + observability engine operational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Deployment determinism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15/20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Convergence engine + rollback governance in place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8.2 Monetization Readiness: 75 /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Pricing architecture complete: $0 / $49 / $499 / $1,999 tiers coded and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Payment methods: UPI/QR/NEFT/PayPal/Crypto/AmazonPay all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PAYMENT-GATEWAY.html SEO-discoverable (noindex removed)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get-api-key.html upgraded with correct pricing and payment method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api/billing.py payment governance compliant (mandate enforced in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Gap (-25pts): No active payment flow connected yet; enterprise onboarding is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Next action: Connect UPI QR code to PAYMENT-GATEWAY.html; activate Gumroad for detection packs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8.3 Operational Readiness: 88 /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158 live advisories with AI enrichment, CVSS/EPSS scores, MITRE mappings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All critical pipeline stages passing with HARD FAIL gates protecting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Observability telemetry writing to data/telemetry/ on every pipeline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Global Release Orchestration Engine: 29 PASS, 0 HARD_FAIL in latest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Smoke tests operational; convergence engine scoring deployment stability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Gap (-12pts): api/version.json surface drift (147 vs 152) and convergence score stale</w:t>
      </w:r>
    </w:p>
    <w:p>
      <w:r>
        <w:t xml:space="preserve"/>
      </w:r>
    </w:p>
    <w:p>
      <w:pPr>
        <w:pBdr>
          <w:left w:val="single" w:color="2D6A4F" w:sz="16" w:space="8"/>
        </w:pBdr>
        <w:spacing w:after="240" w:before="24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PRODUCTION DEPLOYMENT DECISION: </w:t>
      </w:r>
      <w:r>
        <w:rPr>
          <w:rFonts w:ascii="Arial" w:cs="Arial" w:eastAsia="Arial" w:hAnsi="Arial"/>
          <w:color w:val="4A4E69"/>
          <w:sz w:val="24"/>
          <w:szCs w:val="24"/>
        </w:rPr>
        <w:t xml:space="preserve">GO — Platform is approved for enterprise deployment and revenue activation. All three readiness scores exceed the 70/100 GO threshold.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Deployment Instructions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9.1 Files Modified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api/billing.py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process_stripe_webhook → process_payment_gateway_webhook; stripe_charge_id → payment_ref_id; governance docstring and mandate comments added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scripts/global_release_orchestrator.py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NEW — 8-domain Release Orchestration Engine; writes data/telemetry/global_release_governance.json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D8"/>
                <w:sz w:val="18"/>
                <w:szCs w:val="18"/>
              </w:rPr>
              <w:t xml:space="preserve">.github/workflows/sentinel-blogger.yml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E69"/>
                <w:sz w:val="18"/>
                <w:szCs w:val="18"/>
              </w:rPr>
              <w:t xml:space="preserve">STAGE 5.8.4 added between 5.8.3 and 5.9; CI-aware governance gate with continue-on-error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9.2 Git Push Commands</w:t>
      </w:r>
    </w:p>
    <w:p>
      <w:pPr>
        <w:pBdr>
          <w:left w:val="single" w:color="00B4D8" w:sz="12" w:space="8"/>
        </w:pBdr>
        <w:shd w:fill="1A1A2E" w:val="clear"/>
        <w:spacing w:after="60" w:before="120"/>
      </w:pPr>
      <w:r>
        <w:rPr>
          <w:rFonts w:ascii="Courier New" w:cs="Courier New" w:eastAsia="Courier New" w:hAnsi="Courier New"/>
          <w:color w:val="00B4D8"/>
          <w:sz w:val="18"/>
          <w:szCs w:val="18"/>
        </w:rPr>
        <w:t xml:space="preserve">git add api/billing.py scripts/global_release_orchestrator.py .github/workflows/sentinel-blogger.yml</w:t>
      </w:r>
    </w:p>
    <w:p>
      <w:pPr>
        <w:pBdr>
          <w:left w:val="single" w:color="00B4D8" w:sz="12" w:space="8"/>
        </w:pBdr>
        <w:shd w:fill="1A1A2E" w:val="clear"/>
        <w:spacing w:after="20" w:before="20"/>
      </w:pPr>
      <w:r>
        <w:rPr>
          <w:rFonts w:ascii="Courier New" w:cs="Courier New" w:eastAsia="Courier New" w:hAnsi="Courier New"/>
          <w:color w:val="00B4D8"/>
          <w:sz w:val="18"/>
          <w:szCs w:val="18"/>
        </w:rPr>
        <w:t xml:space="preserve">git commit -m "feat(governance): Task19-21 complete — billing mandate, release orchestrator, ETMD"</w:t>
      </w:r>
    </w:p>
    <w:p>
      <w:pPr>
        <w:pBdr>
          <w:left w:val="single" w:color="00B4D8" w:sz="12" w:space="8"/>
        </w:pBdr>
        <w:shd w:fill="1A1A2E" w:val="clear"/>
        <w:spacing w:after="120" w:before="20"/>
      </w:pPr>
      <w:r>
        <w:rPr>
          <w:rFonts w:ascii="Courier New" w:cs="Courier New" w:eastAsia="Courier New" w:hAnsi="Courier New"/>
          <w:color w:val="00B4D8"/>
          <w:sz w:val="18"/>
          <w:szCs w:val="18"/>
        </w:rPr>
        <w:t xml:space="preserve">git push origin main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9.3 Immediate Revenue Activation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Connect UPI QR code to PAYMENT-GATEWAY.html contact form or mailto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Publish Gumroad product for detection pack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Add payment CTA link to main dashboard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Enable GitHub Pages SEO indexing (already done — confirm in Search Console)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Post LinkedIn announcement linking to intel.cyberdudebivash.com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A4E69"/>
          <w:sz w:val="22"/>
          <w:szCs w:val="22"/>
        </w:rPr>
        <w:t xml:space="preserve">Send outreach to 5 MSSP contacts with dashboard demo link</w:t>
      </w:r>
    </w:p>
    <w:p>
      <w:r>
        <w:t xml:space="preserve"/>
      </w:r>
    </w:p>
    <w:p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CYBERDUDEBIVASH® SENTINEL APEX — ENTERPRISE TRANSFORMATION COMPLETE</w:t>
      </w:r>
    </w:p>
    <w:p>
      <w:pPr>
        <w:jc w:val="center"/>
      </w:pPr>
      <w:r>
        <w:rPr>
          <w:rFonts w:ascii="Arial" w:cs="Arial" w:eastAsia="Arial" w:hAnsi="Arial"/>
          <w:color w:val="4A4E69"/>
          <w:sz w:val="18"/>
          <w:szCs w:val="18"/>
        </w:rPr>
        <w:t xml:space="preserve">intel.cyberdudebivash.com  |  bivashnayak.ai007@gmail.com  |  GSTIN: 21ARKPN8270G1ZP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4"/>
      </w:pBdr>
      <w:tabs>
        <w:tab w:val="right" w:pos="9360"/>
      </w:tabs>
    </w:pPr>
    <w:r>
      <w:rPr>
        <w:rFonts w:ascii="Arial" w:cs="Arial" w:eastAsia="Arial" w:hAnsi="Arial"/>
        <w:color w:val="4A4E69"/>
        <w:sz w:val="16"/>
        <w:szCs w:val="16"/>
      </w:rPr>
      <w:t xml:space="preserve">CONFIDENTIAL — CYBERDUDEBIVASH® SENTINEL APEX © 2026</w:t>
    </w:r>
    <w:r>
      <w:rPr>
        <w:rFonts w:ascii="Arial" w:cs="Arial" w:eastAsia="Arial" w:hAnsi="Arial"/>
        <w:color w:val="4A4E69"/>
        <w:sz w:val="16"/>
        <w:szCs w:val="16"/>
      </w:rPr>
      <w:t xml:space="preserve">	Page </w:t>
    </w:r>
    <w:r>
      <w:rPr>
        <w:rFonts w:ascii="Arial" w:cs="Arial" w:eastAsia="Arial" w:hAnsi="Arial"/>
        <w:color w:val="4A4E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CYBERDUDEBIVASH® SENTINEL APEX</w:t>
    </w:r>
    <w:r>
      <w:rPr>
        <w:rFonts w:ascii="Arial" w:cs="Arial" w:eastAsia="Arial" w:hAnsi="Arial"/>
        <w:color w:val="4A4E69"/>
        <w:sz w:val="18"/>
        <w:szCs w:val="18"/>
      </w:rPr>
      <w:t xml:space="preserve">		Enterprise Transformation Master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E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2026-05-21T04:27:56.799Z</dcterms:created>
  <dcterms:modified xsi:type="dcterms:W3CDTF">2026-05-21T04:27:56.799Z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