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Arial" w:cs="Arial" w:eastAsia="Arial" w:hAnsi="Arial"/>
          <w:b/>
          <w:bCs/>
          <w:color w:val="1F3864"/>
          <w:sz w:val="56"/>
          <w:szCs w:val="56"/>
        </w:rPr>
        <w:t xml:space="preserve">CYBERDUDEBIVASH® SENTINEL APEX</w:t>
      </w:r>
    </w:p>
    <w:p>
      <w:pPr>
        <w:spacing w:after="200" w:before="0"/>
      </w:pPr>
      <w:r>
        <w:rPr>
          <w:rFonts w:ascii="Arial" w:cs="Arial" w:eastAsia="Arial" w:hAnsi="Arial"/>
          <w:b/>
          <w:bCs/>
          <w:color w:val="C00000"/>
          <w:sz w:val="40"/>
          <w:szCs w:val="40"/>
        </w:rPr>
        <w:t xml:space="preserve">COMPREHENSIVE EXECUTIVE FORENSIC AUDIT</w:t>
      </w:r>
    </w:p>
    <w:p>
      <w:pPr>
        <w:spacing w:after="600" w:before="0"/>
      </w:pPr>
      <w:r>
        <w:rPr>
          <w:rFonts w:ascii="Arial" w:cs="Arial" w:eastAsia="Arial" w:hAnsi="Arial"/>
          <w:i/>
          <w:iCs/>
          <w:color w:val="404040"/>
          <w:sz w:val="22"/>
          <w:szCs w:val="22"/>
        </w:rPr>
        <w:t xml:space="preserve">Production · Commercial · Intelligence Maturity · Revenue Transformation | June 2, 2026 | v167.2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OVERALL VERDICT: NOT READY FOR ENTERPRISE SALE</w:t>
            </w:r>
          </w:p>
        </w:tc>
        <w:tc>
          <w:tcPr>
            <w:tcW w:type="dxa" w:w="7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Platform infrastructure is production-grade. Intelligence layer is commercially non-viable. Every advisory attributed to fictional actor UNC-CDB. Zero real actor/campaign/malware database. 3 IOCs across 32 advisories. No payment processing. 30-day transformation roadmap follows.</w:t>
            </w:r>
          </w:p>
        </w:tc>
      </w:tr>
    </w:tbl>
    <w:p>
      <w:pPr>
        <w:spacing w:after="40" w:before="40"/>
      </w:pPr>
      <w:r>
        <w:t xml:space="preserve"/>
      </w:r>
    </w:p>
    <w:p>
      <w:pPr>
        <w:spacing w:after="40" w:before="40"/>
      </w:pPr>
      <w:r>
        <w:t xml:space="preserve"/>
      </w:r>
    </w:p>
    <w:p>
      <w:pPr>
        <w:pBdr>
          <w:bottom w:val="single" w:color="1F3864" w:sz="4" w:space="2"/>
        </w:pBdr>
        <w:spacing w:after="100" w:before="0"/>
      </w:pPr>
      <w:r>
        <w:rPr>
          <w:rFonts w:ascii="Arial" w:cs="Arial" w:eastAsia="Arial" w:hAnsi="Arial"/>
          <w:b/>
          <w:bCs/>
          <w:color w:val="1F3864"/>
          <w:sz w:val="28"/>
          <w:szCs w:val="28"/>
        </w:rPr>
        <w:t xml:space="preserve">EXECUTIVE SUMMARY</w:t>
      </w:r>
    </w:p>
    <w:p>
      <w:pPr>
        <w:spacing w:after="40" w:before="40"/>
      </w:pPr>
      <w:r>
        <w:t xml:space="preserve"/>
      </w:r>
    </w:p>
    <w:p>
      <w:pPr>
        <w:spacing w:after="80" w:before="80"/>
      </w:pPr>
      <w:r>
        <w:rPr>
          <w:rFonts w:ascii="Arial" w:cs="Arial" w:eastAsia="Arial" w:hAnsi="Arial"/>
          <w:sz w:val="22"/>
          <w:szCs w:val="22"/>
        </w:rPr>
        <w:t xml:space="preserve">This audit delivers a brutally honest assessment of SENTINEL APEX v167.2 against Fortune 100 CISO, global MSSP, national CERT, and managed SOC director standards. The platform demonstrates production-grade Cloudflare infrastructure, compelling UI/UX, and correct structural positioning in the CTI market. However, the intelligence layer — the core value proposition — is fundamentally insufficient for commercial sale today.</w:t>
      </w:r>
    </w:p>
    <w:p>
      <w:pPr>
        <w:spacing w:after="40" w:before="40"/>
      </w:pPr>
      <w:r>
        <w:t xml:space="preserve"/>
      </w:r>
    </w:p>
    <w:p>
      <w:pPr>
        <w:spacing w:after="80" w:before="80"/>
      </w:pPr>
      <w:r>
        <w:rPr>
          <w:rFonts w:ascii="Arial" w:cs="Arial" w:eastAsia="Arial" w:hAnsi="Arial"/>
          <w:sz w:val="22"/>
          <w:szCs w:val="22"/>
        </w:rPr>
        <w:t xml:space="preserve">The single most critical finding: every advisory is attributed to fictional actor 'UNC-CDB', every campaign is 'UNCLASSIFIED' or AI-generated (OPERATION HYDRA-SHIELD), CVSS/EPSS are blank on 28 of 32 advisories, and the platform collectively has 3 IOCs. An enterprise CISO would open this, search for APT41 or LockBit, find nothing, and cancel within the week. The platform must be transformed from a feed-aggregator-with-UI into an intelligence production system.</w:t>
      </w:r>
    </w:p>
    <w:p>
      <w:pPr>
        <w:spacing w:after="40" w:before="40"/>
      </w:pPr>
      <w:r>
        <w:t xml:space="preserve"/>
      </w:r>
    </w:p>
    <w:p>
      <w:pPr>
        <w:spacing w:after="80" w:before="80"/>
      </w:pPr>
      <w:r>
        <w:rPr>
          <w:rFonts w:ascii="Arial" w:cs="Arial" w:eastAsia="Arial" w:hAnsi="Arial"/>
          <w:sz w:val="22"/>
          <w:szCs w:val="22"/>
        </w:rPr>
        <w:t xml:space="preserve">This document provides the complete 10-phase diagnosis with exact root causes, business/technical/customer/revenue impacts, and a sequenced 120-day transformation roadmap to compete with Recorded Future, Mandiant Intelligence, and CrowdStrike Falcon Intelligence.</w:t>
      </w:r>
    </w:p>
    <w:p>
      <w:r>
        <w:br w:type="page"/>
      </w:r>
    </w:p>
    <w:p>
      <w:pPr>
        <w:pStyle w:val="Heading1"/>
        <w:pBdr>
          <w:bottom w:val="single" w:color="1F3864" w:sz="8" w:space="4"/>
        </w:pBdr>
        <w:spacing w:after="200" w:before="400"/>
      </w:pPr>
      <w:r>
        <w:rPr>
          <w:rFonts w:ascii="Arial" w:cs="Arial" w:eastAsia="Arial" w:hAnsi="Arial"/>
          <w:b/>
          <w:bCs/>
          <w:color w:val="1F3864"/>
          <w:sz w:val="36"/>
          <w:szCs w:val="36"/>
        </w:rPr>
        <w:t xml:space="preserve">PHASE 1 — EXECUTIVE CAPABILITY SCORECARD</w:t>
      </w:r>
    </w:p>
    <w:p>
      <w:pPr>
        <w:spacing w:after="80" w:before="80"/>
      </w:pPr>
      <w:r>
        <w:rPr>
          <w:rFonts w:ascii="Arial" w:cs="Arial" w:eastAsia="Arial" w:hAnsi="Arial"/>
          <w:sz w:val="22"/>
          <w:szCs w:val="22"/>
        </w:rPr>
        <w:t xml:space="preserve">Scores reflect production state of v167.2 as observed in dashboard, intel feed (CSV), and tactical dossier. Benchmark: 70+ = commercially viable | 40–69 = partial capability | below 40 = commercial blocker.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3160"/>
      </w:tblGrid>
      <w:tr>
        <w:trPr>
          <w:tblHeader/>
        </w:trPr>
        <w:tc>
          <w:tcPr>
            <w:tcW w:type="dxa" w:w="5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CAPABILITY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SCORE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KEY FINDING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Threat Intelligence (Overall)</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28/100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Aggregated blog/CVE feed. No original intelligence production.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 Threat Intelligence Depth</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22/100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Zero real actor profiles. All 32 advisories attribute to fictional UNC-CDB.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Threat Hunting Support</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35/100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Hunt queries exist but match CVE strings in logs — not behavioral TTPs.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 Tracking</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8/100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No real threat actors. APT28, APT29, Lazarus, LockBit entirely absent.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Campaign Tracking</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10/100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OPERATION HYDRA-SHIELD is AI-generated. Zero real campaign intelligence.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Malware Intelligence</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12/100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No malware knowledge base. No family/variant/behavioral relationships.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Intelligence</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15/100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No IP/domain/ASN/cert intelligence. No passive DNS. No IOC pivoting.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IOC Intelligence</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18/100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3 IOCs across 32 advisories. CVSS/EPSS blank on 28 of 32 items. KEV inaccurate.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Engineering</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38/100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Sigma/YARA/KQL exist but search for CVE ID strings, not attack behaviors.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Economy</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833C00"/>
                <w:sz w:val="20"/>
                <w:szCs w:val="20"/>
              </w:rPr>
              <w:t xml:space="preserve">45/100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REST API functional. STIX 2.1 present. Auth/rate-limiting documentation weak.</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Readiness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25/100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No multi-tenancy. No SSO/SAML. No RBAC. No audit logs. No contractual SLA.</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MSSP Readiness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18/100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No multi-tenant architecture. No white-label. No client management portal.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Monetization Readiness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30/100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Pricing tiers defined. No payment gateway. No trial activation. No billing portal.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Retention</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20/100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No daily-use workflow. No alerting. No watch lists. No real integrations.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Competitive Positioning</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32/100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UI best-in-class for solo-built platform. Intel depth below AlienVault OTX (free).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&amp; UX</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833C00"/>
                <w:sz w:val="20"/>
                <w:szCs w:val="20"/>
              </w:rPr>
              <w:t xml:space="preserve">65/100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Genuinely excellent UI. Navigation clean. Responsive. Strong first impression.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STIX 2.1 Compliance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833C00"/>
                <w:sz w:val="20"/>
                <w:szCs w:val="20"/>
              </w:rPr>
              <w:t xml:space="preserve">52/100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STIX bundles generated per advisory. Relationships thin. No knowledge graph.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ATT&amp;CK Mapping</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833C00"/>
                <w:sz w:val="20"/>
                <w:szCs w:val="20"/>
              </w:rPr>
              <w:t xml:space="preserve">40/100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Techniques inferred from vuln class label. Not empirically observed TTPs.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Integrations (Webhook)</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833C00"/>
                <w:sz w:val="20"/>
                <w:szCs w:val="20"/>
              </w:rPr>
              <w:t xml:space="preserve">42/100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Splunk/Sentinel/QRadar listed as supported. Webhook push not implemented.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OpenCTI / MISP Compatibility</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35/100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MISP export referenced. OpenCTI connector absent. No TAXII 2.1 endpoint.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 Revenue Model</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28/100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Tiers defined. No live payment. No conversion funnel. No self-serve trial.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Multi-Tenant Architecture</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5/100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Single-tenant. No tenant isolation at any layer. Not MSSP-deployable today.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RBAC</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8/100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JWT auth present. No role definitions. No permission model. No audit trail.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Scalability Infrastructure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833C00"/>
                <w:sz w:val="20"/>
                <w:szCs w:val="20"/>
              </w:rPr>
              <w:t xml:space="preserve">55/100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18"/>
                <w:szCs w:val="18"/>
              </w:rPr>
              <w:t xml:space="preserve">Cloudflare edge + R2 + Workers is production-grade. Correct architecture.</w:t>
            </w:r>
          </w:p>
        </w:tc>
      </w:tr>
    </w:tbl>
    <w:p>
      <w:pPr>
        <w:spacing w:after="40" w:before="40"/>
      </w:pPr>
      <w:r>
        <w:t xml:space="preserve"/>
      </w:r>
    </w:p>
    <w:p>
      <w:pPr>
        <w:spacing w:after="40" w:before="40"/>
      </w:pPr>
      <w:r>
        <w:t xml:space="preserve"/>
      </w:r>
    </w:p>
    <w:p>
      <w:pPr>
        <w:pStyle w:val="Heading2"/>
        <w:spacing w:after="160" w:before="280"/>
      </w:pPr>
      <w:r>
        <w:rPr>
          <w:rFonts w:ascii="Arial" w:cs="Arial" w:eastAsia="Arial" w:hAnsi="Arial"/>
          <w:b/>
          <w:bCs/>
          <w:color w:val="2E75B6"/>
          <w:sz w:val="28"/>
          <w:szCs w:val="28"/>
        </w:rPr>
        <w:t xml:space="preserve">OVERALL PLATFORM RATING: 28.6 / 100</w:t>
      </w:r>
    </w:p>
    <w:p>
      <w:pPr>
        <w:spacing w:after="80" w:before="80"/>
      </w:pPr>
      <w:r>
        <w:rPr>
          <w:rFonts w:ascii="Arial" w:cs="Arial" w:eastAsia="Arial" w:hAnsi="Arial"/>
          <w:sz w:val="22"/>
          <w:szCs w:val="22"/>
        </w:rPr>
        <w:t xml:space="preserve">Infrastructure and UX score 55–65. Intelligence layer scores 8–22. Since intelligence is the product in a CTI platform, the blended score is 28.6. This is a high-potential MVP requiring a focused 90–120 day transformation before commercial launch.</w:t>
      </w:r>
    </w:p>
    <w:p>
      <w:r>
        <w:br w:type="page"/>
      </w:r>
    </w:p>
    <w:p>
      <w:pPr>
        <w:pStyle w:val="Heading1"/>
        <w:pBdr>
          <w:bottom w:val="single" w:color="1F3864" w:sz="8" w:space="4"/>
        </w:pBdr>
        <w:spacing w:after="200" w:before="400"/>
      </w:pPr>
      <w:r>
        <w:rPr>
          <w:rFonts w:ascii="Arial" w:cs="Arial" w:eastAsia="Arial" w:hAnsi="Arial"/>
          <w:b/>
          <w:bCs/>
          <w:color w:val="1F3864"/>
          <w:sz w:val="36"/>
          <w:szCs w:val="36"/>
        </w:rPr>
        <w:t xml:space="preserve">PHASE 2 — ENTERPRISE CUSTOMER REPLACEMENT AUDIT</w:t>
      </w:r>
    </w:p>
    <w:p>
      <w:pPr>
        <w:spacing w:after="40" w:before="40"/>
      </w:pPr>
      <w:r>
        <w:t xml:space="preserve"/>
      </w:r>
    </w:p>
    <w:p>
      <w:pPr>
        <w:pStyle w:val="Heading2"/>
        <w:spacing w:after="160" w:before="280"/>
      </w:pPr>
      <w:r>
        <w:rPr>
          <w:rFonts w:ascii="Arial" w:cs="Arial" w:eastAsia="Arial" w:hAnsi="Arial"/>
          <w:b/>
          <w:bCs/>
          <w:color w:val="2E75B6"/>
          <w:sz w:val="28"/>
          <w:szCs w:val="28"/>
        </w:rPr>
        <w:t xml:space="preserve">2.1  Can a Recorded Future Customer Replace With SENTINEL APEX?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NO — NOT TODAY</w:t>
            </w:r>
          </w:p>
        </w:tc>
        <w:tc>
          <w:tcPr>
            <w:tcW w:type="dxa" w:w="7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Recorded Future delivers dark web, criminal forum, paste site, vulnerability DB, brand intelligence, and geopolitical risk across 60+ source types. SENTINEL APEX has none of these. Absence: real actor profiles, dark web coverage, brand monitoring, geopolitical intelligence, analyst-produced notes, vulnerability exploitation timeline, supply chain risk, attack surface management, sanctions intelligence. Gap is 3–5 years of data collection.</w:t>
            </w:r>
          </w:p>
        </w:tc>
      </w:tr>
    </w:tbl>
    <w:p>
      <w:pPr>
        <w:spacing w:after="40" w:before="40"/>
      </w:pPr>
      <w:r>
        <w:t xml:space="preserve"/>
      </w:r>
    </w:p>
    <w:p>
      <w:pPr>
        <w:pStyle w:val="Heading2"/>
        <w:spacing w:after="160" w:before="280"/>
      </w:pPr>
      <w:r>
        <w:rPr>
          <w:rFonts w:ascii="Arial" w:cs="Arial" w:eastAsia="Arial" w:hAnsi="Arial"/>
          <w:b/>
          <w:bCs/>
          <w:color w:val="2E75B6"/>
          <w:sz w:val="28"/>
          <w:szCs w:val="28"/>
        </w:rPr>
        <w:t xml:space="preserve">2.2  CrowdStrike Falcon Intelligence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NO — NOT TODAY</w:t>
            </w:r>
          </w:p>
        </w:tc>
        <w:tc>
          <w:tcPr>
            <w:tcW w:type="dxa" w:w="7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Falcon Intelligence sources TTPs from 300M+ endpoint sensors. SENTINEL APEX has no endpoint telemetry, no malware sandbox, no eCrime attribution. Actor database difference: Falcon tracks 215 named adversaries sourced from real IR data. SENTINEL APEX tracks 1 fictional cluster (UNC-CDB) from blog aggregation. The gap in actor intelligence alone is disqualifying.</w:t>
            </w:r>
          </w:p>
        </w:tc>
      </w:tr>
    </w:tbl>
    <w:p>
      <w:pPr>
        <w:spacing w:after="40" w:before="40"/>
      </w:pPr>
      <w:r>
        <w:t xml:space="preserve"/>
      </w:r>
    </w:p>
    <w:p>
      <w:pPr>
        <w:pStyle w:val="Heading2"/>
        <w:spacing w:after="160" w:before="280"/>
      </w:pPr>
      <w:r>
        <w:rPr>
          <w:rFonts w:ascii="Arial" w:cs="Arial" w:eastAsia="Arial" w:hAnsi="Arial"/>
          <w:b/>
          <w:bCs/>
          <w:color w:val="2E75B6"/>
          <w:sz w:val="28"/>
          <w:szCs w:val="28"/>
        </w:rPr>
        <w:t xml:space="preserve">2.3  Mandiant Intelligence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NO — NOT TODAY</w:t>
            </w:r>
          </w:p>
        </w:tc>
        <w:tc>
          <w:tcPr>
            <w:tcW w:type="dxa" w:w="7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Mandiant Intelligence customers expect analyst-produced APT research grounded in real IR case data. SENTINEL APEX has no original research, no analyst narratives, no IR data. The dossier audited (WordPress auth bypass) produced 0 IOCs, attributed to 'Untracked Threat Cluster', scored LOW with AI confidence 53%. Mandiant would deliver a 40-page APT campaign profile for the same research subject.</w:t>
            </w:r>
          </w:p>
        </w:tc>
      </w:tr>
    </w:tbl>
    <w:p>
      <w:pPr>
        <w:spacing w:after="40" w:before="40"/>
      </w:pPr>
      <w:r>
        <w:t xml:space="preserve"/>
      </w:r>
    </w:p>
    <w:p>
      <w:pPr>
        <w:pStyle w:val="Heading2"/>
        <w:spacing w:after="160" w:before="280"/>
      </w:pPr>
      <w:r>
        <w:rPr>
          <w:rFonts w:ascii="Arial" w:cs="Arial" w:eastAsia="Arial" w:hAnsi="Arial"/>
          <w:b/>
          <w:bCs/>
          <w:color w:val="2E75B6"/>
          <w:sz w:val="28"/>
          <w:szCs w:val="28"/>
        </w:rPr>
        <w:t xml:space="preserve">2.4  Flashpoint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NO — NOT TODAY</w:t>
            </w:r>
          </w:p>
        </w:tc>
        <w:tc>
          <w:tcPr>
            <w:tcW w:type="dxa" w:w="7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Flashpoint buyers pay for dark web / criminal forum intelligence, fraud intelligence, and vulnerability context from underground sources. SENTINEL APEX has zero dark web coverage, no forum monitoring, no fraud intelligence, no criminal marketplace data. Zero capability overlap with Flashpoint's core value proposition.</w:t>
            </w:r>
          </w:p>
        </w:tc>
      </w:tr>
    </w:tbl>
    <w:p>
      <w:pPr>
        <w:spacing w:after="40" w:before="40"/>
      </w:pPr>
      <w:r>
        <w:t xml:space="preserve"/>
      </w:r>
    </w:p>
    <w:p>
      <w:pPr>
        <w:pStyle w:val="Heading2"/>
        <w:spacing w:after="160" w:before="280"/>
      </w:pPr>
      <w:r>
        <w:rPr>
          <w:rFonts w:ascii="Arial" w:cs="Arial" w:eastAsia="Arial" w:hAnsi="Arial"/>
          <w:b/>
          <w:bCs/>
          <w:color w:val="2E75B6"/>
          <w:sz w:val="28"/>
          <w:szCs w:val="28"/>
        </w:rPr>
        <w:t xml:space="preserve">2.5  Cyble Customer (Most Realistic Competitive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36C09"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PARTIAL — SUPPLEMENT NOT REPLACE</w:t>
            </w:r>
          </w:p>
        </w:tc>
        <w:tc>
          <w:tcPr>
            <w:tcW w:type="dxa" w:w="7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Cyble is the closest comparable at the India SMB/MSSP tier. SENTINEL APEX overlaps on CVE feed aggregation and STIX output. Cyble provides dark web monitoring, brand protection, data leak detection, and eCrime intelligence that SENTINEL APEX lacks. SENTINEL APEX UI/UX is arguably superior. This is the most realistic near-term competitive target: win on UX + price + India-first positioning.</w:t>
            </w:r>
          </w:p>
        </w:tc>
      </w:tr>
    </w:tbl>
    <w:p>
      <w:pPr>
        <w:spacing w:after="40" w:before="40"/>
      </w:pPr>
      <w:r>
        <w:t xml:space="preserve"/>
      </w:r>
    </w:p>
    <w:p>
      <w:pPr>
        <w:pStyle w:val="Heading2"/>
        <w:spacing w:after="160" w:before="280"/>
      </w:pPr>
      <w:r>
        <w:rPr>
          <w:rFonts w:ascii="Arial" w:cs="Arial" w:eastAsia="Arial" w:hAnsi="Arial"/>
          <w:b/>
          <w:bCs/>
          <w:color w:val="2E75B6"/>
          <w:sz w:val="28"/>
          <w:szCs w:val="28"/>
        </w:rPr>
        <w:t xml:space="preserve">2.6  OpenCTI User Attempting to Migrate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NO — NOT YET</w:t>
            </w:r>
          </w:p>
        </w:tc>
        <w:tc>
          <w:tcPr>
            <w:tcW w:type="dxa" w:w="7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OpenCTI users expect a STIX 2.1 knowledge graph with relationship traversal: Actor → Campaign → Malware → Infrastructure → IOC. SENTINEL APEX generates STIX bundles per-advisory but has no persistent knowledge graph, no entity deduplication, no relationship traversal, and no analyst workbench. OpenCTI is free — SENTINEL APEX needs significantly more operational value to justify a paid migration.</w:t>
            </w:r>
          </w:p>
        </w:tc>
      </w:tr>
    </w:tbl>
    <w:p>
      <w:pPr>
        <w:spacing w:after="40" w:before="40"/>
      </w:pPr>
      <w:r>
        <w:t xml:space="preserve"/>
      </w:r>
    </w:p>
    <w:p>
      <w:pPr>
        <w:spacing w:after="40" w:before="40"/>
      </w:pPr>
      <w:r>
        <w:t xml:space="preserve"/>
      </w:r>
    </w:p>
    <w:p>
      <w:pPr>
        <w:pStyle w:val="Heading2"/>
        <w:spacing w:after="160" w:before="280"/>
      </w:pPr>
      <w:r>
        <w:rPr>
          <w:rFonts w:ascii="Arial" w:cs="Arial" w:eastAsia="Arial" w:hAnsi="Arial"/>
          <w:b/>
          <w:bCs/>
          <w:color w:val="2E75B6"/>
          <w:sz w:val="28"/>
          <w:szCs w:val="28"/>
        </w:rPr>
        <w:t xml:space="preserve">2.7  Critical Capability Gap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Capability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Required by Enterprise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SENTINEL APEX 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Named Threat Actor DB (200+ actors)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Mandatory on Day 1 evaluation</w:t>
            </w:r>
          </w:p>
        </w:tc>
        <w:tc>
          <w:tcPr>
            <w:tcW w:type="dxa" w:w="3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Absent — 1 fictional cluster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Dark Web / Criminal Forum Intel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Core value prop for 60% of enterprise buyers</w:t>
            </w:r>
          </w:p>
        </w:tc>
        <w:tc>
          <w:tcPr>
            <w:tcW w:type="dxa" w:w="3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Absent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Malware Knowledge Base (500+ families)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Used daily by SOC/CTI teams</w:t>
            </w:r>
          </w:p>
        </w:tc>
        <w:tc>
          <w:tcPr>
            <w:tcW w:type="dxa" w:w="3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Absent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Infrastructure Intel (Passive DNS, WHOIS)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Required for IOC pivoting &amp; threat hunting</w:t>
            </w:r>
          </w:p>
        </w:tc>
        <w:tc>
          <w:tcPr>
            <w:tcW w:type="dxa" w:w="3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Absent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IOC Volume (100+/day with real attribution)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Daily operational feed requirement</w:t>
            </w:r>
          </w:p>
        </w:tc>
        <w:tc>
          <w:tcPr>
            <w:tcW w:type="dxa" w:w="3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b/>
                <w:bCs/>
                <w:color w:val="833C00"/>
                <w:sz w:val="17"/>
                <w:szCs w:val="17"/>
              </w:rPr>
              <w:t xml:space="preserve">3 total across 32 advisories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Original Research / Analyst Reports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Differentiates from free feeds</w:t>
            </w:r>
          </w:p>
        </w:tc>
        <w:tc>
          <w:tcPr>
            <w:tcW w:type="dxa" w:w="3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Absent — AI-inferred from blogs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Victim / Sector Targeting Intelligence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Board-level risk reporting requirement</w:t>
            </w:r>
          </w:p>
        </w:tc>
        <w:tc>
          <w:tcPr>
            <w:tcW w:type="dxa" w:w="3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Absent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Malware Sandbox / Dynamic Analysis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Used by malware analysts</w:t>
            </w:r>
          </w:p>
        </w:tc>
        <w:tc>
          <w:tcPr>
            <w:tcW w:type="dxa" w:w="3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Absent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Brand / Credential Exposure Monitoring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Widely expected in enterprise tiers</w:t>
            </w:r>
          </w:p>
        </w:tc>
        <w:tc>
          <w:tcPr>
            <w:tcW w:type="dxa" w:w="3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Absent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SIEM Webhook Push (real-time)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SOC integration requirement</w:t>
            </w:r>
          </w:p>
        </w:tc>
        <w:tc>
          <w:tcPr>
            <w:tcW w:type="dxa" w:w="3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Listed, not implemented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Multi-Tenant Customer Isolation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MSSP / MSP requirement</w:t>
            </w:r>
          </w:p>
        </w:tc>
        <w:tc>
          <w:tcPr>
            <w:tcW w:type="dxa" w:w="3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Absent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Contractual SLA (99.9%+)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Required for enterprise procurement</w:t>
            </w:r>
          </w:p>
        </w:tc>
        <w:tc>
          <w:tcPr>
            <w:tcW w:type="dxa" w:w="3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b/>
                <w:bCs/>
                <w:color w:val="833C00"/>
                <w:sz w:val="17"/>
                <w:szCs w:val="17"/>
              </w:rPr>
              <w:t xml:space="preserve">No contractual SLA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Payment Processing (self-serve)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Revenue collection requirement</w:t>
            </w:r>
          </w:p>
        </w:tc>
        <w:tc>
          <w:tcPr>
            <w:tcW w:type="dxa" w:w="3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Absent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SOC 2 / ISO 27001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Enterprise security questionnaire requirement</w:t>
            </w:r>
          </w:p>
        </w:tc>
        <w:tc>
          <w:tcPr>
            <w:tcW w:type="dxa" w:w="3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Absent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TAXII 2.1 Server Endpoint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OpenCTI/MISP integration standard</w:t>
            </w:r>
          </w:p>
        </w:tc>
        <w:tc>
          <w:tcPr>
            <w:tcW w:type="dxa" w:w="3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Absent</w:t>
            </w:r>
          </w:p>
        </w:tc>
      </w:tr>
    </w:tbl>
    <w:p>
      <w:r>
        <w:br w:type="page"/>
      </w:r>
    </w:p>
    <w:p>
      <w:pPr>
        <w:pStyle w:val="Heading1"/>
        <w:pBdr>
          <w:bottom w:val="single" w:color="1F3864" w:sz="8" w:space="4"/>
        </w:pBdr>
        <w:spacing w:after="200" w:before="400"/>
      </w:pPr>
      <w:r>
        <w:rPr>
          <w:rFonts w:ascii="Arial" w:cs="Arial" w:eastAsia="Arial" w:hAnsi="Arial"/>
          <w:b/>
          <w:bCs/>
          <w:color w:val="1F3864"/>
          <w:sz w:val="36"/>
          <w:szCs w:val="36"/>
        </w:rPr>
        <w:t xml:space="preserve">PHASE 3 — ACTOR INTELLIGENCE TRANSFORMATION</w:t>
      </w:r>
    </w:p>
    <w:p>
      <w:pPr>
        <w:pStyle w:val="Heading2"/>
        <w:spacing w:after="160" w:before="280"/>
      </w:pPr>
      <w:r>
        <w:rPr>
          <w:rFonts w:ascii="Arial" w:cs="Arial" w:eastAsia="Arial" w:hAnsi="Arial"/>
          <w:b/>
          <w:bCs/>
          <w:color w:val="2E75B6"/>
          <w:sz w:val="28"/>
          <w:szCs w:val="28"/>
        </w:rPr>
        <w:t xml:space="preserve">3.1  Current State: UNC-CDB Is a Commercial Liability</w:t>
      </w:r>
    </w:p>
    <w:p>
      <w:pPr>
        <w:spacing w:after="80" w:before="80"/>
      </w:pPr>
      <w:r>
        <w:rPr>
          <w:rFonts w:ascii="Arial" w:cs="Arial" w:eastAsia="Arial" w:hAnsi="Arial"/>
          <w:sz w:val="22"/>
          <w:szCs w:val="22"/>
        </w:rPr>
        <w:t xml:space="preserve">Every single advisory attributes to 'UNC-CDB' or 'Untracked Threat Cluster'. This is the most damaging intelligence deficiency. A threat intelligence platform that cannot tell a buyer whether LockBit, APT41, or Lazarus Group is targeting their sector has zero enterprise value. The actor attribution module is a placeholder — it applies a generic label to all advisories regardless of content.</w:t>
      </w:r>
    </w:p>
    <w:p>
      <w:pPr>
        <w:spacing w:after="40" w:before="40"/>
      </w:pPr>
      <w:r>
        <w:t xml:space="preserve"/>
      </w:r>
    </w:p>
    <w:p>
      <w:pPr>
        <w:pStyle w:val="Heading2"/>
        <w:spacing w:after="160" w:before="280"/>
      </w:pPr>
      <w:r>
        <w:rPr>
          <w:rFonts w:ascii="Arial" w:cs="Arial" w:eastAsia="Arial" w:hAnsi="Arial"/>
          <w:b/>
          <w:bCs/>
          <w:color w:val="2E75B6"/>
          <w:sz w:val="28"/>
          <w:szCs w:val="28"/>
        </w:rPr>
        <w:t xml:space="preserve">3.2  Target Actor Database — Knowledge Graph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Entity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Core Fields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Relationships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Free Data Sources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ThreatActor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name, aliases[], nation_state, motivation, first_seen, sophistication, targeting_sectors[], geographic_nexus[]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Campaign, → Malware, → Infrastructure, → IOC, → Victim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MITRE ATT&amp;CK Groups, MISP Galaxy, Malpedia, ETDA APT Groups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Campaign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name, actor_fk, start_date, end_date, status, targets[], ttps[], ioc_count, confidence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ThreatActor, → Malware, → Infrastructure, → Victim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MITRE ATT&amp;CK Campaigns, CTI blog RSS, CISA advisories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MalwareFamily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name, type, aliases[], capabilities[], c2_protocols[], yara_rules[], sigma_rules[]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ThreatActor, → Campaign, → Infrastructure, → IOC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Malpedia, MalwareBazaar, MITRE ATT&amp;CK Software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Infrastructure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ip/domain, asn, hosting_provider, first_seen, last_seen, tags[]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ThreatActor, → Campaign, → MalwareFamily, → IOC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Passive DNS (CIRCL), WHOIS, AbuseIPDB, Shodan free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IOC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type, value, confidence, first_seen, tlp, source, tags[]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ThreatActor, → Campaign, → MalwareFamily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URLhaus, MalwareBazaar, OTX, AbuseIPDB</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Victim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org_name, sector, country, incident_date, impact_type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 ThreatActor, → Campaign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News, Ransomwha.re, HaveIBeenPwned</w:t>
            </w:r>
          </w:p>
        </w:tc>
      </w:tr>
    </w:tbl>
    <w:p>
      <w:pPr>
        <w:spacing w:after="40" w:before="40"/>
      </w:pPr>
      <w:r>
        <w:t xml:space="preserve"/>
      </w:r>
    </w:p>
    <w:p>
      <w:pPr>
        <w:pStyle w:val="Heading2"/>
        <w:spacing w:after="160" w:before="280"/>
      </w:pPr>
      <w:r>
        <w:rPr>
          <w:rFonts w:ascii="Arial" w:cs="Arial" w:eastAsia="Arial" w:hAnsi="Arial"/>
          <w:b/>
          <w:bCs/>
          <w:color w:val="2E75B6"/>
          <w:sz w:val="28"/>
          <w:szCs w:val="28"/>
        </w:rPr>
        <w:t xml:space="preserve">3.3  Priority Actor Profiles — Minimum Viable Actor DB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500"/>
        <w:gridCol w:w="1900"/>
        <w:gridCol w:w="3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Actor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Origin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Sector Target</w:t>
            </w:r>
          </w:p>
        </w:tc>
        <w:tc>
          <w:tcPr>
            <w:tcW w:type="dxa" w:w="1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Primary Malware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Why Critical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APT28 (Fancy Bear)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Russia/GRU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Government, Defense, NATO</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X-Agent, Sofacy, Zebrocy</w:t>
            </w:r>
          </w:p>
        </w:tc>
        <w:tc>
          <w:tcPr>
            <w:tcW w:type="dxa" w:w="30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sz w:val="16"/>
                <w:szCs w:val="16"/>
              </w:rPr>
              <w:t xml:space="preserve">Most searched APT globally. Absence is instant credibility loss.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APT29 (Cozy Bear)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Russia/SVR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Government, Tech, Think Tanks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SUNBURST, WellMess, Cobalt Strike</w:t>
            </w:r>
          </w:p>
        </w:tc>
        <w:tc>
          <w:tcPr>
            <w:tcW w:type="dxa" w:w="30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sz w:val="16"/>
                <w:szCs w:val="16"/>
              </w:rPr>
              <w:t xml:space="preserve">SolarWinds attribution. Every US/EU gov buyer asks about this.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APT41 (Winnti)</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China/MSS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Healthcare, Tech, Finance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HIGHNOON, MESSAGETAP, Derusbi</w:t>
            </w:r>
          </w:p>
        </w:tc>
        <w:tc>
          <w:tcPr>
            <w:tcW w:type="dxa" w:w="30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sz w:val="16"/>
                <w:szCs w:val="16"/>
              </w:rPr>
              <w:t xml:space="preserve">Most active espionage group. India-relevant (border tensions).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Lazarus Group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North Korea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Finance, Crypto, Defense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BLINDINGCAN, MATA, AppleJeus</w:t>
            </w:r>
          </w:p>
        </w:tc>
        <w:tc>
          <w:tcPr>
            <w:tcW w:type="dxa" w:w="30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sz w:val="16"/>
                <w:szCs w:val="16"/>
              </w:rPr>
              <w:t xml:space="preserve">$3B+ in crypto stolen. Every BFSI buyer tracks this.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Volt Typhoon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China/PLA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Critical Infrastructure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LOLBins only (living off the land)</w:t>
            </w:r>
          </w:p>
        </w:tc>
        <w:tc>
          <w:tcPr>
            <w:tcW w:type="dxa" w:w="30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sz w:val="16"/>
                <w:szCs w:val="16"/>
              </w:rPr>
              <w:t xml:space="preserve">CISA advisory. Every CII operator's top fear. India-relevant.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Mustang Panda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China/PLA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Government, NGOs, South Asia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PlugX, Korplug, THOR</w:t>
            </w:r>
          </w:p>
        </w:tc>
        <w:tc>
          <w:tcPr>
            <w:tcW w:type="dxa" w:w="30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sz w:val="16"/>
                <w:szCs w:val="16"/>
              </w:rPr>
              <w:t xml:space="preserve">Specifically targets India, Pakistan, Myanmar, Bangladesh.</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FIN7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Eastern Europe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Retail, Hospitality, Finance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Carbanak, GRIFFON, POWERTRASH</w:t>
            </w:r>
          </w:p>
        </w:tc>
        <w:tc>
          <w:tcPr>
            <w:tcW w:type="dxa" w:w="30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sz w:val="16"/>
                <w:szCs w:val="16"/>
              </w:rPr>
              <w:t xml:space="preserve">$1B+ stolen. Every retail/POS buyer tracks this.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Scattered Spider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Western English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Telecom, Finance, Cloud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ALPHV/BlackCat, Okta phishing</w:t>
            </w:r>
          </w:p>
        </w:tc>
        <w:tc>
          <w:tcPr>
            <w:tcW w:type="dxa" w:w="30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sz w:val="16"/>
                <w:szCs w:val="16"/>
              </w:rPr>
              <w:t xml:space="preserve">MGM/Caesars. Board-level awareness worldwide.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LockBit 3.0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Russia/affiliate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All sectors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LockBit 3.0 ransomware</w:t>
            </w:r>
          </w:p>
        </w:tc>
        <w:tc>
          <w:tcPr>
            <w:tcW w:type="dxa" w:w="30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sz w:val="16"/>
                <w:szCs w:val="16"/>
              </w:rPr>
              <w:t xml:space="preserve">#1 ransomware by victim count 2022–2024. Every buyer asks.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Black Basta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Russia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Healthcare, Manufacturing</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Black Basta, Qakbot loader</w:t>
            </w:r>
          </w:p>
        </w:tc>
        <w:tc>
          <w:tcPr>
            <w:tcW w:type="dxa" w:w="30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sz w:val="16"/>
                <w:szCs w:val="16"/>
              </w:rPr>
              <w:t xml:space="preserve">Mass healthcare attacks. CISA advisory issued.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Akira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Russia/affiliate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SMB, Education, Healthcare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Akira ransomware</w:t>
            </w:r>
          </w:p>
        </w:tc>
        <w:tc>
          <w:tcPr>
            <w:tcW w:type="dxa" w:w="30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sz w:val="16"/>
                <w:szCs w:val="16"/>
              </w:rPr>
              <w:t xml:space="preserve">Fastest growing ransomware 2024. 250+ victims.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Cl0p (TA505)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Russia/Ukraine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Finance, Healthcare, Gov</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MOVEit, GoAnywhere exploits</w:t>
            </w:r>
          </w:p>
        </w:tc>
        <w:tc>
          <w:tcPr>
            <w:tcW w:type="dxa" w:w="30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rFonts w:ascii="Arial" w:cs="Arial" w:eastAsia="Arial" w:hAnsi="Arial"/>
                <w:sz w:val="16"/>
                <w:szCs w:val="16"/>
              </w:rPr>
              <w:t xml:space="preserve">Mass-exploitation specialist. Zero-day supply chain attacks.</w:t>
            </w:r>
          </w:p>
        </w:tc>
      </w:tr>
    </w:tbl>
    <w:p>
      <w:pPr>
        <w:spacing w:after="40" w:before="40"/>
      </w:pPr>
      <w:r>
        <w:t xml:space="preserve"/>
      </w:r>
    </w:p>
    <w:p>
      <w:pPr>
        <w:pStyle w:val="Heading2"/>
        <w:spacing w:after="160" w:before="280"/>
      </w:pPr>
      <w:r>
        <w:rPr>
          <w:rFonts w:ascii="Arial" w:cs="Arial" w:eastAsia="Arial" w:hAnsi="Arial"/>
          <w:b/>
          <w:bCs/>
          <w:color w:val="2E75B6"/>
          <w:sz w:val="28"/>
          <w:szCs w:val="28"/>
        </w:rPr>
        <w:t xml:space="preserve">3.4  Implementation Plan</w:t>
      </w:r>
    </w:p>
    <w:p>
      <w:pPr>
        <w:spacing w:after="80" w:before="80"/>
      </w:pPr>
      <w:r>
        <w:rPr>
          <w:rFonts w:ascii="Arial" w:cs="Arial" w:eastAsia="Arial" w:hAnsi="Arial"/>
          <w:sz w:val="22"/>
          <w:szCs w:val="22"/>
        </w:rPr>
        <w:t xml:space="preserve">Day 1–7: Build actor_ingestion.py. Sources: MITRE ATT&amp;CK Groups STIX API (github.com/mitre-attack/attack-stix-data), Malpedia REST API (/api/families), MISP Galaxy (raw.githubusercontent.com/MISP/misp-galaxy). Output: actors_db.json with 50 profiles, stix/actor_profiles/ directory. Integrate actor lookup in advisory pipeline: when source text mentions known actor name or alias, set actor_id instead of UNC-CDB. Day 7–14: Build actor profile UI pages at /actors/{actor_id} with TTP heatmap, campaign list, malware list, IOC pivot. Effort: 10 person-days total.</w:t>
      </w:r>
    </w:p>
    <w:p>
      <w:r>
        <w:br w:type="page"/>
      </w:r>
    </w:p>
    <w:p>
      <w:pPr>
        <w:pStyle w:val="Heading1"/>
        <w:pBdr>
          <w:bottom w:val="single" w:color="1F3864" w:sz="8" w:space="4"/>
        </w:pBdr>
        <w:spacing w:after="200" w:before="400"/>
      </w:pPr>
      <w:r>
        <w:rPr>
          <w:rFonts w:ascii="Arial" w:cs="Arial" w:eastAsia="Arial" w:hAnsi="Arial"/>
          <w:b/>
          <w:bCs/>
          <w:color w:val="1F3864"/>
          <w:sz w:val="36"/>
          <w:szCs w:val="36"/>
        </w:rPr>
        <w:t xml:space="preserve">PHASE 4 — CAMPAIGN INTELLIGENCE TRANSFORMATION</w:t>
      </w:r>
    </w:p>
    <w:p>
      <w:pPr>
        <w:pStyle w:val="Heading2"/>
        <w:spacing w:after="160" w:before="280"/>
      </w:pPr>
      <w:r>
        <w:rPr>
          <w:rFonts w:ascii="Arial" w:cs="Arial" w:eastAsia="Arial" w:hAnsi="Arial"/>
          <w:b/>
          <w:bCs/>
          <w:color w:val="2E75B6"/>
          <w:sz w:val="28"/>
          <w:szCs w:val="28"/>
        </w:rPr>
        <w:t xml:space="preserve">4.1  Root Cause: Synthetic Campaign Names Destroy Platform Credibility</w:t>
      </w:r>
    </w:p>
    <w:p>
      <w:pPr>
        <w:spacing w:after="80" w:before="80"/>
      </w:pPr>
      <w:r>
        <w:rPr>
          <w:rFonts w:ascii="Arial" w:cs="Arial" w:eastAsia="Arial" w:hAnsi="Arial"/>
          <w:sz w:val="22"/>
          <w:szCs w:val="22"/>
        </w:rPr>
        <w:t xml:space="preserve">'OPERATION HYDRA-SHIELD' and 'OPERATION ECLIPSE-ARROW' are algorithmically generated names applied to all advisories. They have no relationship to real-world campaigns, no timeline, no malware linkage, no victim data. When an experienced CTI analyst sees these names they immediately recognize them as fabricated and lose confidence in the entire platform. This single issue — more than any other — prevents SENTINEL APEX from being taken seriously by professional CTI buyers.</w:t>
      </w:r>
    </w:p>
    <w:p>
      <w:pPr>
        <w:spacing w:after="40" w:before="40"/>
      </w:pPr>
      <w:r>
        <w:t xml:space="preserve"/>
      </w:r>
    </w:p>
    <w:p>
      <w:pPr>
        <w:pStyle w:val="Heading2"/>
        <w:spacing w:after="160" w:before="280"/>
      </w:pPr>
      <w:r>
        <w:rPr>
          <w:rFonts w:ascii="Arial" w:cs="Arial" w:eastAsia="Arial" w:hAnsi="Arial"/>
          <w:b/>
          <w:bCs/>
          <w:color w:val="2E75B6"/>
          <w:sz w:val="28"/>
          <w:szCs w:val="28"/>
        </w:rPr>
        <w:t xml:space="preserve">4.2  Campaign Record Architecture — Mandatory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Specification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campaign_id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Stable STIX campaign--UUID. Never regenerated. Persisted in D1.</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name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Real campaign name as named by original discoverer (e.g., 'SolarWinds Supply Chain', 'Operation Aurora'). NEVER AI-generated. Source: MITRE ATT&amp;CK Campaigns or original research citation.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actor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FK → ThreatActor. Set to NULL if genuinely unattributed. Never fabricate attribution.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first_observed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Earliest confirmed incident date. Sources: Mandiant/CrowdStrike reports, CISA advisories, news.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status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ACTIVE | DORMANT | TERMINATED — derived from last_observed date with 90-day dormancy threshold.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targeted_sectors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Array of ISAC sector codes. Sources: victim reporting, FS-ISAC, H-ISAC alerts.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malware_used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FK array → MalwareFamily. Each malware must have documented behavioral indicators.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ttps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ATT&amp;CK technique IDs. ONLY empirically observed in this campaign — never inferred from vuln class.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iocs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FK array → IOC entities. Each IOC must include confidence score and source attribution.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confidence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LOW / MEDIUM / HIGH / CONFIRMED. Based on number of corroborating sources.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references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Source URLs with publication dates. At least 1 source required for any non-NULL campaign.</w:t>
            </w:r>
          </w:p>
        </w:tc>
      </w:tr>
    </w:tbl>
    <w:p>
      <w:pPr>
        <w:spacing w:after="40" w:before="40"/>
      </w:pPr>
      <w:r>
        <w:t xml:space="preserve"/>
      </w:r>
    </w:p>
    <w:p>
      <w:pPr>
        <w:pStyle w:val="Heading2"/>
        <w:spacing w:after="160" w:before="280"/>
      </w:pPr>
      <w:r>
        <w:rPr>
          <w:rFonts w:ascii="Arial" w:cs="Arial" w:eastAsia="Arial" w:hAnsi="Arial"/>
          <w:b/>
          <w:bCs/>
          <w:color w:val="2E75B6"/>
          <w:sz w:val="28"/>
          <w:szCs w:val="28"/>
        </w:rPr>
        <w:t xml:space="preserve">4.3  Free Data Sources for Real Campaign Population</w:t>
      </w:r>
    </w:p>
    <w:p>
      <w:pPr>
        <w:spacing w:after="80" w:before="80"/>
      </w:pPr>
      <w:r>
        <w:rPr>
          <w:rFonts w:ascii="Arial" w:cs="Arial" w:eastAsia="Arial" w:hAnsi="Arial"/>
          <w:sz w:val="22"/>
          <w:szCs w:val="22"/>
        </w:rPr>
        <w:t xml:space="preserve">MITRE ATT&amp;CK Campaigns collection (free, STIX API): 30+ named campaigns with full actor + TTP + malware mapping. CTI Research Blogs (RSS): Mandiant blog, Microsoft MSTIC, Google TAG, Sekoia.io, SentinelLabs, Talos Intelligence, Unit 42 — each publishes 2–4 campaigns per month. GitHub: APT_CyberCriminal_Campagin_Collections, threat-intel-feeds. CISA Advisories (AA##-NNN format). Ransomwha.re API for ransomware campaign victim tracking (free).</w:t>
      </w:r>
    </w:p>
    <w:p>
      <w:pPr>
        <w:spacing w:after="80" w:before="80"/>
      </w:pPr>
      <w:r>
        <w:rPr>
          <w:rFonts w:ascii="Arial" w:cs="Arial" w:eastAsia="Arial" w:hAnsi="Arial"/>
          <w:sz w:val="22"/>
          <w:szCs w:val="22"/>
        </w:rPr>
        <w:t xml:space="preserve">Implementation: campaign_ingestion.py syncs MITRE ATT&amp;CK Campaigns via STIX API weekly. Blog parser (feedparser + BeautifulSoup) extracts campaign mentions from 15 RSS feeds daily. Human curation layer: flag high-confidence new campaigns for 30-second review. Target: 30 real campaigns live by Day 10, 100 by Day 60.</w:t>
      </w:r>
    </w:p>
    <w:p>
      <w:r>
        <w:br w:type="page"/>
      </w:r>
    </w:p>
    <w:p>
      <w:pPr>
        <w:pStyle w:val="Heading1"/>
        <w:pBdr>
          <w:bottom w:val="single" w:color="1F3864" w:sz="8" w:space="4"/>
        </w:pBdr>
        <w:spacing w:after="200" w:before="400"/>
      </w:pPr>
      <w:r>
        <w:rPr>
          <w:rFonts w:ascii="Arial" w:cs="Arial" w:eastAsia="Arial" w:hAnsi="Arial"/>
          <w:b/>
          <w:bCs/>
          <w:color w:val="1F3864"/>
          <w:sz w:val="36"/>
          <w:szCs w:val="36"/>
        </w:rPr>
        <w:t xml:space="preserve">PHASE 5 — MALWARE INTELLIGENCE KNOWLEDGE BASE</w:t>
      </w:r>
    </w:p>
    <w:p>
      <w:pPr>
        <w:pStyle w:val="Heading2"/>
        <w:spacing w:after="160" w:before="280"/>
      </w:pPr>
      <w:r>
        <w:rPr>
          <w:rFonts w:ascii="Arial" w:cs="Arial" w:eastAsia="Arial" w:hAnsi="Arial"/>
          <w:b/>
          <w:bCs/>
          <w:color w:val="2E75B6"/>
          <w:sz w:val="28"/>
          <w:szCs w:val="28"/>
        </w:rPr>
        <w:t xml:space="preserve">5.1  Current Gap Assessment</w:t>
      </w:r>
    </w:p>
    <w:p>
      <w:pPr>
        <w:spacing w:after="80" w:before="80"/>
      </w:pPr>
      <w:r>
        <w:rPr>
          <w:rFonts w:ascii="Arial" w:cs="Arial" w:eastAsia="Arial" w:hAnsi="Arial"/>
          <w:sz w:val="22"/>
          <w:szCs w:val="22"/>
        </w:rPr>
        <w:t xml:space="preserve">The tactical dossier reviewed (WordPress auth bypass) states in the kill chain: 'Backdoor/RAT installed; persistence via registry, scheduled tasks, or WMI subscriptions.' No malware family is identified. The YARA rule generated searches for the CVE ID string 'CDB-ADVISORY-200-000-WORDPRESS-SITES-AT-RIS' in memory — no production malware would contain this string. The Sigma rule searches for this string in SecurityAlert table. These rules have zero detection value and would be immediately identified as non-functional by any SOC analyst.</w:t>
      </w:r>
    </w:p>
    <w:p>
      <w:pPr>
        <w:spacing w:after="40" w:before="40"/>
      </w:pPr>
      <w:r>
        <w:t xml:space="preserve"/>
      </w:r>
    </w:p>
    <w:p>
      <w:pPr>
        <w:pStyle w:val="Heading2"/>
        <w:spacing w:after="160" w:before="280"/>
      </w:pPr>
      <w:r>
        <w:rPr>
          <w:rFonts w:ascii="Arial" w:cs="Arial" w:eastAsia="Arial" w:hAnsi="Arial"/>
          <w:b/>
          <w:bCs/>
          <w:color w:val="2E75B6"/>
          <w:sz w:val="28"/>
          <w:szCs w:val="28"/>
        </w:rPr>
        <w:t xml:space="preserve">5.2  Priority Malware Families for Initial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200"/>
        <w:gridCol w:w="2000"/>
        <w:gridCol w:w="1800"/>
        <w:gridCol w:w="16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Family</w:t>
            </w:r>
          </w:p>
        </w:tc>
        <w:tc>
          <w:tcPr>
            <w:tcW w:type="dxa" w:w="1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Actor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Key TTPs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YARA Source</w:t>
            </w:r>
          </w:p>
        </w:tc>
        <w:tc>
          <w:tcPr>
            <w:tcW w:type="dxa" w:w="16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LockBit 3.0</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Ransomware</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LockBit</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T1486, T1083, T1490, T1489</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MalwareBazaar (100+ samples)</w:t>
            </w:r>
          </w:p>
        </w:tc>
        <w:tc>
          <w:tcPr>
            <w:tcW w:type="dxa" w:w="166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b/>
                <w:bCs/>
                <w:color w:val="C00000"/>
                <w:sz w:val="16"/>
                <w:szCs w:val="16"/>
              </w:rPr>
              <w:t xml:space="preserve">CRITICAL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BlackCat/ALPHV</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Ransomware</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ALPHV Group</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T1486, T1567.002, T1078</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MalwareBazaar, ANY.RUN</w:t>
            </w:r>
          </w:p>
        </w:tc>
        <w:tc>
          <w:tcPr>
            <w:tcW w:type="dxa" w:w="166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b/>
                <w:bCs/>
                <w:color w:val="C00000"/>
                <w:sz w:val="16"/>
                <w:szCs w:val="16"/>
              </w:rPr>
              <w:t xml:space="preserve">CRITICAL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Black Basta</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Ransomware</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Black Basta</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T1486, T1021.002, T1055</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Elastic Security GitHub</w:t>
            </w:r>
          </w:p>
        </w:tc>
        <w:tc>
          <w:tcPr>
            <w:tcW w:type="dxa" w:w="166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b/>
                <w:bCs/>
                <w:color w:val="C00000"/>
                <w:sz w:val="16"/>
                <w:szCs w:val="16"/>
              </w:rPr>
              <w:t xml:space="preserve">CRITICAL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Qakbot</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Loader/Banker</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TA570</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T1566.001, T1059.003, T1055.012</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abuse.ch, MalwareBazaar</w:t>
            </w:r>
          </w:p>
        </w:tc>
        <w:tc>
          <w:tcPr>
            <w:tcW w:type="dxa" w:w="166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b/>
                <w:bCs/>
                <w:color w:val="833C00"/>
                <w:sz w:val="16"/>
                <w:szCs w:val="16"/>
              </w:rPr>
              <w:t xml:space="preserve">HIGH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Emotet</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Botnet/Loader</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TA542</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T1566.001, T1027, T1071.001</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CISA YARA rules (free)</w:t>
            </w:r>
          </w:p>
        </w:tc>
        <w:tc>
          <w:tcPr>
            <w:tcW w:type="dxa" w:w="166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b/>
                <w:bCs/>
                <w:color w:val="833C00"/>
                <w:sz w:val="16"/>
                <w:szCs w:val="16"/>
              </w:rPr>
              <w:t xml:space="preserve">HIGH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Bumblebee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Loader</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Various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T1566.001, T1218.011, T1055</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Elastic, Unit 42 GitHub</w:t>
            </w:r>
          </w:p>
        </w:tc>
        <w:tc>
          <w:tcPr>
            <w:tcW w:type="dxa" w:w="166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b/>
                <w:bCs/>
                <w:color w:val="833C00"/>
                <w:sz w:val="16"/>
                <w:szCs w:val="16"/>
              </w:rPr>
              <w:t xml:space="preserve">HIGH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DarkGate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RAT/Loader</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TA571</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T1566.002, T1059, T1071</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MalwareBazaar 2024</w:t>
            </w:r>
          </w:p>
        </w:tc>
        <w:tc>
          <w:tcPr>
            <w:tcW w:type="dxa" w:w="166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b/>
                <w:bCs/>
                <w:color w:val="833C00"/>
                <w:sz w:val="16"/>
                <w:szCs w:val="16"/>
              </w:rPr>
              <w:t xml:space="preserve">HIGH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Cobalt Strike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C2 Framework</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Multiple APTs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T1055, T1071.001, T1059.001</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SentinelOne CS rules</w:t>
            </w:r>
          </w:p>
        </w:tc>
        <w:tc>
          <w:tcPr>
            <w:tcW w:type="dxa" w:w="166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b/>
                <w:bCs/>
                <w:color w:val="C00000"/>
                <w:sz w:val="16"/>
                <w:szCs w:val="16"/>
              </w:rPr>
              <w:t xml:space="preserve">CRITICAL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Sliver</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C2 Framework</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Nation-state</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T1071, T1055, T1027</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BishopFox GitHub (free)</w:t>
            </w:r>
          </w:p>
        </w:tc>
        <w:tc>
          <w:tcPr>
            <w:tcW w:type="dxa" w:w="166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b/>
                <w:bCs/>
                <w:color w:val="833C00"/>
                <w:sz w:val="16"/>
                <w:szCs w:val="16"/>
              </w:rPr>
              <w:t xml:space="preserve">HIGH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Lumma Stealer</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Infostealer</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Lumma affiliate</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T1555, T1552, T1041</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MalwareBazaar 2024</w:t>
            </w:r>
          </w:p>
        </w:tc>
        <w:tc>
          <w:tcPr>
            <w:tcW w:type="dxa" w:w="166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b/>
                <w:bCs/>
                <w:color w:val="833C00"/>
                <w:sz w:val="16"/>
                <w:szCs w:val="16"/>
              </w:rPr>
              <w:t xml:space="preserve">HIGH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AsyncRAT</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RAT</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Multiple</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T1059.001, T1095, T1547</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abuse.ch AsyncRAT feed</w:t>
            </w:r>
          </w:p>
        </w:tc>
        <w:tc>
          <w:tcPr>
            <w:tcW w:type="dxa" w:w="166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b/>
                <w:bCs/>
                <w:color w:val="833C00"/>
                <w:sz w:val="16"/>
                <w:szCs w:val="16"/>
              </w:rPr>
              <w:t xml:space="preserve">MEDIUM</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Remcos</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RAT</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TA505, APT33</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T1059, T1083, T1113</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MalwareBazaar samples</w:t>
            </w:r>
          </w:p>
        </w:tc>
        <w:tc>
          <w:tcPr>
            <w:tcW w:type="dxa" w:w="166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b/>
                <w:bCs/>
                <w:color w:val="833C00"/>
                <w:sz w:val="16"/>
                <w:szCs w:val="16"/>
              </w:rPr>
              <w:t xml:space="preserve">MEDIUM</w:t>
            </w:r>
          </w:p>
        </w:tc>
      </w:tr>
    </w:tbl>
    <w:p>
      <w:pPr>
        <w:spacing w:after="40" w:before="40"/>
      </w:pPr>
      <w:r>
        <w:t xml:space="preserve"/>
      </w:r>
    </w:p>
    <w:p>
      <w:pPr>
        <w:pStyle w:val="Heading2"/>
        <w:spacing w:after="160" w:before="280"/>
      </w:pPr>
      <w:r>
        <w:rPr>
          <w:rFonts w:ascii="Arial" w:cs="Arial" w:eastAsia="Arial" w:hAnsi="Arial"/>
          <w:b/>
          <w:bCs/>
          <w:color w:val="2E75B6"/>
          <w:sz w:val="28"/>
          <w:szCs w:val="28"/>
        </w:rPr>
        <w:t xml:space="preserve">5.3  Implementation — malware_ingestion.py</w:t>
      </w:r>
    </w:p>
    <w:p>
      <w:pPr>
        <w:spacing w:after="80" w:before="80"/>
      </w:pPr>
      <w:r>
        <w:rPr>
          <w:rFonts w:ascii="Arial" w:cs="Arial" w:eastAsia="Arial" w:hAnsi="Arial"/>
          <w:sz w:val="22"/>
          <w:szCs w:val="22"/>
        </w:rPr>
        <w:t xml:space="preserve">Sources: MalwareBazaar API (/api/v1/ query tag:lockbit → downloads samples metadata + YARA rules free). Malpedia REST API (/api/get/families → 2,000 families with actor relationships + YARA rules). MITRE ATT&amp;CK Software collection (590+ entries with TTP mappings, free STIX API). ANY.RUN public feed (dynamic analysis sandbox results, free tier). Target: 100 malware families with real YARA rules by Day 30. Each family profile served at /api/malware/{family_slug}.</w:t>
      </w:r>
    </w:p>
    <w:p>
      <w:r>
        <w:br w:type="page"/>
      </w:r>
    </w:p>
    <w:p>
      <w:pPr>
        <w:pStyle w:val="Heading1"/>
        <w:pBdr>
          <w:bottom w:val="single" w:color="1F3864" w:sz="8" w:space="4"/>
        </w:pBdr>
        <w:spacing w:after="200" w:before="400"/>
      </w:pPr>
      <w:r>
        <w:rPr>
          <w:rFonts w:ascii="Arial" w:cs="Arial" w:eastAsia="Arial" w:hAnsi="Arial"/>
          <w:b/>
          <w:bCs/>
          <w:color w:val="1F3864"/>
          <w:sz w:val="36"/>
          <w:szCs w:val="36"/>
        </w:rPr>
        <w:t xml:space="preserve">PHASE 6 — INFRASTRUCTURE INTELLIGENCE</w:t>
      </w:r>
    </w:p>
    <w:p>
      <w:pPr>
        <w:pStyle w:val="Heading2"/>
        <w:spacing w:after="160" w:before="280"/>
      </w:pPr>
      <w:r>
        <w:rPr>
          <w:rFonts w:ascii="Arial" w:cs="Arial" w:eastAsia="Arial" w:hAnsi="Arial"/>
          <w:b/>
          <w:bCs/>
          <w:color w:val="2E75B6"/>
          <w:sz w:val="28"/>
          <w:szCs w:val="28"/>
        </w:rPr>
        <w:t xml:space="preserve">6.1  Current State: Zero Infrastructure Intelligence</w:t>
      </w:r>
    </w:p>
    <w:p>
      <w:pPr>
        <w:spacing w:after="80" w:before="80"/>
      </w:pPr>
      <w:r>
        <w:rPr>
          <w:rFonts w:ascii="Arial" w:cs="Arial" w:eastAsia="Arial" w:hAnsi="Arial"/>
          <w:sz w:val="22"/>
          <w:szCs w:val="22"/>
        </w:rPr>
        <w:t xml:space="preserve">The platform cannot enrich a single IP address, cannot tell a buyer if evil-domain.ru was registered 3 days ago, cannot show certificate transparency log alerts for brand impersonation, and cannot pivot from an IOC to related infrastructure. These are table-stakes features for any CTI platform used daily by SOC teams.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Module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Free Data Sources</w:t>
            </w:r>
          </w:p>
        </w:tc>
        <w:tc>
          <w:tcPr>
            <w:tcW w:type="dxa" w:w="4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API Endpoint &amp; Implementation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IP Intelligence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AbuseIPDB (free 1K req/day), IPinfo.io (50K/month free), ipapi.co (1K/day)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GET /api/ioc/ip/{ip} → AbuseIPDB confidence + country + ISP + abuse categories. Cache in R2 (ioc/ip/{ip}.json, 24h TTL).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Domain Intelligence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URLhaus (free API), OpenPhish (free feed), PhishTank (free API), urlscan.io (free tier)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GET /api/ioc/domain/{domain} → registrar, creation date, NS, MX, URLhaus categories, screenshot. R2 cache 6h TTL.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Passive DNS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CIRCL pDNS (free, no auth), SecurityTrails (free 50/month), RiskIQ Community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GET /api/ioc/pdns/{value} → historical A/MX/NS resolutions with timestamps. Critical for infrastructure pivot analysis.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Certificate Transparency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crt.sh REST API (completely free, no limits), Certstream WebSocket (free)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GET /api/ioc/certs/{domain} → all certificates issued to domain + wildcards. Certstream ingestion for brand monitoring alerts.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ASN Intelligence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BGPView REST API (free, no auth), RIPE NCC REST API (free), PeeringDB (free)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GET /api/ioc/asn/{asn} → ASN description, prefixes, peers, known malicious hosting flag.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WHOIS Intelligence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ARIN/RIPE/APNIC WHOIS (free APIs), DomainTools Community (free)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GET /api/ioc/whois/{domain} → registrant, creation/expiry, registrar. Age-based suspicion scoring (&lt; 7 days = HIGH RISK).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IOC Pivot Graph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Aggregated from all above modules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GET /api/ioc/pivot/{value} → return all related IOCs, actors, campaigns, malware connected to this indicator. Graph traversal via D1 relationships table.</w:t>
            </w:r>
          </w:p>
        </w:tc>
      </w:tr>
    </w:tbl>
    <w:p>
      <w:r>
        <w:br w:type="page"/>
      </w:r>
    </w:p>
    <w:p>
      <w:pPr>
        <w:pStyle w:val="Heading1"/>
        <w:pBdr>
          <w:bottom w:val="single" w:color="1F3864" w:sz="8" w:space="4"/>
        </w:pBdr>
        <w:spacing w:after="200" w:before="400"/>
      </w:pPr>
      <w:r>
        <w:rPr>
          <w:rFonts w:ascii="Arial" w:cs="Arial" w:eastAsia="Arial" w:hAnsi="Arial"/>
          <w:b/>
          <w:bCs/>
          <w:color w:val="1F3864"/>
          <w:sz w:val="36"/>
          <w:szCs w:val="36"/>
        </w:rPr>
        <w:t xml:space="preserve">PHASE 7 — ENTERPRISE CTI OPERATING SYSTEM</w:t>
      </w:r>
    </w:p>
    <w:p>
      <w:pPr>
        <w:pStyle w:val="Heading2"/>
        <w:spacing w:after="160" w:before="280"/>
      </w:pPr>
      <w:r>
        <w:rPr>
          <w:rFonts w:ascii="Arial" w:cs="Arial" w:eastAsia="Arial" w:hAnsi="Arial"/>
          <w:b/>
          <w:bCs/>
          <w:color w:val="2E75B6"/>
          <w:sz w:val="28"/>
          <w:szCs w:val="28"/>
        </w:rPr>
        <w:t xml:space="preserve">7.1  Vision: Feed Aggregator → CTI Operating System</w:t>
      </w:r>
    </w:p>
    <w:p>
      <w:pPr>
        <w:spacing w:after="80" w:before="80"/>
      </w:pPr>
      <w:r>
        <w:rPr>
          <w:rFonts w:ascii="Arial" w:cs="Arial" w:eastAsia="Arial" w:hAnsi="Arial"/>
          <w:sz w:val="22"/>
          <w:szCs w:val="22"/>
        </w:rPr>
        <w:t xml:space="preserve">Current SENTINEL APEX: analysts read advisories. Target SENTINEL APEX: analysts produce intelligence, manage investigations, track actors, run hunts, and export detections. This is the difference between a newspaper and a workbench. The workbench platform commands 10x the price point and generates 80% lower churn.</w:t>
      </w:r>
    </w:p>
    <w:p>
      <w:pPr>
        <w:spacing w:after="40" w:before="40"/>
      </w:pPr>
      <w:r>
        <w:t xml:space="preserve"/>
      </w:r>
    </w:p>
    <w:p>
      <w:pPr>
        <w:pStyle w:val="Heading2"/>
        <w:spacing w:after="160" w:before="280"/>
      </w:pPr>
      <w:r>
        <w:rPr>
          <w:rFonts w:ascii="Arial" w:cs="Arial" w:eastAsia="Arial" w:hAnsi="Arial"/>
          <w:b/>
          <w:bCs/>
          <w:color w:val="2E75B6"/>
          <w:sz w:val="28"/>
          <w:szCs w:val="28"/>
        </w:rPr>
        <w:t xml:space="preserve">7.2  Seven Workbench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Workbench</w:t>
            </w:r>
          </w:p>
        </w:tc>
        <w:tc>
          <w:tcPr>
            <w:tcW w:type="dxa" w:w="3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Core Functions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UI / API</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Actor Workbench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Create/edit actor profiles; link campaigns+malware+infra; TTP timeline; sector victimology; STIX export; confidence decay engine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Actor card UI; ATT&amp;CK Navigator embed; relationship graph (D3.js); GET+POST /api/actors/{id}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Campaign Workbench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Campaign CRUD; actor linkage; IOC bulk import; TTP mapping wizard; victim tracking; status management; detection pack auto-generation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Campaign timeline (Gantt); kill chain mapping; IOC table with pivot; GET+POST /api/campaigns/{id}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Malware Workbench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Family management; variant tree; behavioral indicator library; YARA/Sigma rule library; actor/campaign linkage; hash lookup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Family taxonomy tree; behavioral capability matrix; rule editor with syntax validation; GET /api/malware/{slug}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Infrastructure Workbench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IOC bulk upload; passive DNS lookup; cert monitoring; IP geolocation; ASN profiling; pivot graph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Pivot graph (Cytoscape.js); bulk IOC triage table; cert timeline; GET /api/ioc/pivot/{value}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IOC Workbench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Bulk ingest; deduplication; confidence decay (30/60/90 day); expiry management; TLP assignment; MISP/STIX bulk export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IOC table with filters+sort; bulk triage UI; confidence timeline; GET /api/iocs?actor=&amp;campaign=&amp;type=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Threat Hunting Workbench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Hunt query library (KQL/SPL/EQL/SIGMA); per-ATT&amp;CK-technique queries; SIEM connector; hunt scheduling; result pivot to campaign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Query browser by tactic/technique; SIEM test runner; GET /api/hunt-queries?technique=T1486</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7"/>
                <w:szCs w:val="17"/>
              </w:rPr>
              <w:t xml:space="preserve">Detection Engineering WB</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Sigma/YARA/KQL/SPL authoring; behavioral rule templates per vuln class; FP rate tracking; deployment integration; ATT&amp;CK coverage heatmap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Rule editor (Monaco); ATT&amp;CK heatmap; deployment tracker; GET /api/detection-packs/{advisory_id}</w:t>
            </w:r>
          </w:p>
        </w:tc>
      </w:tr>
    </w:tbl>
    <w:p>
      <w:pPr>
        <w:spacing w:after="40" w:before="40"/>
      </w:pPr>
      <w:r>
        <w:t xml:space="preserve"/>
      </w:r>
    </w:p>
    <w:p>
      <w:pPr>
        <w:pStyle w:val="Heading2"/>
        <w:spacing w:after="160" w:before="280"/>
      </w:pPr>
      <w:r>
        <w:rPr>
          <w:rFonts w:ascii="Arial" w:cs="Arial" w:eastAsia="Arial" w:hAnsi="Arial"/>
          <w:b/>
          <w:bCs/>
          <w:color w:val="2E75B6"/>
          <w:sz w:val="28"/>
          <w:szCs w:val="28"/>
        </w:rPr>
        <w:t xml:space="preserve">7.3  Data Architecture Migration</w:t>
      </w:r>
    </w:p>
    <w:p>
      <w:pPr>
        <w:spacing w:after="80" w:before="80"/>
      </w:pPr>
      <w:r>
        <w:rPr>
          <w:rFonts w:ascii="Arial" w:cs="Arial" w:eastAsia="Arial" w:hAnsi="Arial"/>
          <w:sz w:val="22"/>
          <w:szCs w:val="22"/>
        </w:rPr>
        <w:t xml:space="preserve">Current: Flat JSON in R2 (feed.json, feed_manifest.json). Not queryable. Not relational. Target: Cloudflare D1 (serverless SQLite) for entities + relationships (actors, campaigns, malware, iocs, relationships tables). Cloudflare KV for read-cache of hot entity cards (actor profiles, campaign summaries — 1h TTL). R2 retained for STIX bundle storage, PDF reports, and bulk IOC exports. Cloudflare Vectorize for semantic search ('find campaigns similar to SolarWinds'). This entire stack is zero-infrastructure — serverless, globally distributed, minimal cost.</w:t>
      </w:r>
    </w:p>
    <w:p>
      <w:r>
        <w:br w:type="page"/>
      </w:r>
    </w:p>
    <w:p>
      <w:pPr>
        <w:pStyle w:val="Heading1"/>
        <w:pBdr>
          <w:bottom w:val="single" w:color="1F3864" w:sz="8" w:space="4"/>
        </w:pBdr>
        <w:spacing w:after="200" w:before="400"/>
      </w:pPr>
      <w:r>
        <w:rPr>
          <w:rFonts w:ascii="Arial" w:cs="Arial" w:eastAsia="Arial" w:hAnsi="Arial"/>
          <w:b/>
          <w:bCs/>
          <w:color w:val="1F3864"/>
          <w:sz w:val="36"/>
          <w:szCs w:val="36"/>
        </w:rPr>
        <w:t xml:space="preserve">PHASE 8 — MSSP REVENUE ENGINE</w:t>
      </w:r>
    </w:p>
    <w:p>
      <w:pPr>
        <w:pStyle w:val="Heading2"/>
        <w:spacing w:after="160" w:before="280"/>
      </w:pPr>
      <w:r>
        <w:rPr>
          <w:rFonts w:ascii="Arial" w:cs="Arial" w:eastAsia="Arial" w:hAnsi="Arial"/>
          <w:b/>
          <w:bCs/>
          <w:color w:val="2E75B6"/>
          <w:sz w:val="28"/>
          <w:szCs w:val="28"/>
        </w:rPr>
        <w:t xml:space="preserve">8.1  Revised 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600"/>
        <w:gridCol w:w="2200"/>
        <w:gridCol w:w="1560"/>
        <w:gridCol w:w="17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Tier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Price/Mo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Target Buyer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Core Features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Gross Margin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Conversion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8"/>
                <w:szCs w:val="18"/>
              </w:rPr>
              <w:t xml:space="preserve">FREE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Analyst, student, startup</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32 advisories/day, basic feed, STIX read-only, 1 user</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~80%</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Email → nurture → trial</w:t>
            </w:r>
          </w:p>
        </w:tc>
      </w:tr>
      <w:tr>
        <w:tc>
          <w:tcPr>
            <w:tcW w:type="dxa" w:w="1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sz w:val="18"/>
                <w:szCs w:val="18"/>
              </w:rPr>
              <w:t xml:space="preserve">PRO</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$49</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Individual analyst, startup CISO</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Full IOC table, Sigma/YARA/KQL, PDF dossiers, STIX export, 3 users</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~87%</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7-day free trial → card</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bCs/>
                <w:sz w:val="18"/>
                <w:szCs w:val="18"/>
              </w:rPr>
              <w:t xml:space="preserve">TEAM</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$149</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5–20 person security team</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All Pro + 10 users, SIEM webhook, actor tracking, campaign tracking, API</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~88%</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Annual option (−20%)</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b/>
                <w:bCs/>
                <w:sz w:val="18"/>
                <w:szCs w:val="18"/>
              </w:rPr>
              <w:t xml:space="preserve">SOC</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$499</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SOC team, MSSP sub-tenant</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All Team + 25 users, malware KB, infra intel, IOC pivot, SOAR export, SLA 99.5%</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~85%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Demo → 14-day POC → MSA</w:t>
            </w:r>
          </w:p>
        </w:tc>
      </w:tr>
      <w:tr>
        <w:tc>
          <w:tcPr>
            <w:tcW w:type="dxa" w:w="12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b/>
                <w:bCs/>
                <w:sz w:val="18"/>
                <w:szCs w:val="18"/>
              </w:rPr>
              <w:t xml:space="preserve">ENTERPRISE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$2,500–$10K</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Fortune 500, national CERT</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All SOC + unlimited users, multi-tenant, white-label, custom integration, dedicated SLA</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~82%</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Enterprise sales motion</w:t>
            </w:r>
          </w:p>
        </w:tc>
      </w:tr>
      <w:tr>
        <w:tc>
          <w:tcPr>
            <w:tcW w:type="dxa" w:w="1200"/>
            <w:tcBorders>
              <w:top w:val="single" w:color="CCCCCC" w:sz="1"/>
              <w:left w:val="single" w:color="CCCCCC" w:sz="1"/>
              <w:bottom w:val="single" w:color="CCCCCC" w:sz="1"/>
              <w:right w:val="single" w:color="CCCCCC" w:sz="1"/>
            </w:tcBorders>
            <w:shd w:fill="EAD1DC" w:val="clear"/>
            <w:tcMar>
              <w:top w:type="dxa" w:w="60"/>
              <w:left w:type="dxa" w:w="80"/>
              <w:bottom w:type="dxa" w:w="60"/>
              <w:right w:type="dxa" w:w="80"/>
            </w:tcMar>
          </w:tcPr>
          <w:p>
            <w:r>
              <w:rPr>
                <w:rFonts w:ascii="Arial" w:cs="Arial" w:eastAsia="Arial" w:hAnsi="Arial"/>
                <w:b/>
                <w:bCs/>
                <w:sz w:val="18"/>
                <w:szCs w:val="18"/>
              </w:rPr>
              <w:t xml:space="preserve">MSSP</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$5K–$25K</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MSSP 10–100 clients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White-label portal, per-client management, client reporting, 30% reseller margin</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~75%</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MSSP partnership agreement</w:t>
            </w:r>
          </w:p>
        </w:tc>
      </w:tr>
      <w:tr>
        <w:tc>
          <w:tcPr>
            <w:tcW w:type="dxa" w:w="1200"/>
            <w:tcBorders>
              <w:top w:val="single" w:color="CCCCCC" w:sz="1"/>
              <w:left w:val="single" w:color="CCCCCC" w:sz="1"/>
              <w:bottom w:val="single" w:color="CCCCCC" w:sz="1"/>
              <w:right w:val="single" w:color="CCCCCC" w:sz="1"/>
            </w:tcBorders>
            <w:shd w:fill="D9EAD3" w:val="clear"/>
            <w:tcMar>
              <w:top w:type="dxa" w:w="60"/>
              <w:left w:type="dxa" w:w="80"/>
              <w:bottom w:type="dxa" w:w="60"/>
              <w:right w:type="dxa" w:w="80"/>
            </w:tcMar>
          </w:tcPr>
          <w:p>
            <w:r>
              <w:rPr>
                <w:rFonts w:ascii="Arial" w:cs="Arial" w:eastAsia="Arial" w:hAnsi="Arial"/>
                <w:b/>
                <w:bCs/>
                <w:sz w:val="18"/>
                <w:szCs w:val="18"/>
              </w:rPr>
              <w:t xml:space="preserve">GOVERNMENT</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8"/>
                <w:szCs w:val="18"/>
              </w:rPr>
              <w:t xml:space="preserve">Custom (₹)</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CERT-In, NCIIPC, MoD</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Sovereign deployment, DPDP compliance, GEM procurement, ₹ billing</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~70%</w:t>
            </w:r>
          </w:p>
        </w:tc>
        <w:tc>
          <w:tcPr>
            <w:tcW w:type="dxa" w:w="1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5"/>
                <w:szCs w:val="15"/>
              </w:rPr>
              <w:t xml:space="preserve">RFP/GEM tender</w:t>
            </w:r>
          </w:p>
        </w:tc>
      </w:tr>
    </w:tbl>
    <w:p>
      <w:pPr>
        <w:spacing w:after="40" w:before="40"/>
      </w:pPr>
      <w:r>
        <w:t xml:space="preserve"/>
      </w:r>
    </w:p>
    <w:p>
      <w:pPr>
        <w:pStyle w:val="Heading2"/>
        <w:spacing w:after="160" w:before="280"/>
      </w:pPr>
      <w:r>
        <w:rPr>
          <w:rFonts w:ascii="Arial" w:cs="Arial" w:eastAsia="Arial" w:hAnsi="Arial"/>
          <w:b/>
          <w:bCs/>
          <w:color w:val="2E75B6"/>
          <w:sz w:val="28"/>
          <w:szCs w:val="28"/>
        </w:rPr>
        <w:t xml:space="preserve">8.2  12-Month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60"/>
        <w:gridCol w:w="1160"/>
        <w:gridCol w:w="1160"/>
        <w:gridCol w:w="1160"/>
        <w:gridCol w:w="1660"/>
        <w:gridCol w:w="16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Period</w:t>
            </w:r>
          </w:p>
        </w:tc>
        <w:tc>
          <w:tcPr>
            <w:tcW w:type="dxa" w:w="1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Pro Subs</w:t>
            </w:r>
          </w:p>
        </w:tc>
        <w:tc>
          <w:tcPr>
            <w:tcW w:type="dxa" w:w="1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Team Subs</w:t>
            </w:r>
          </w:p>
        </w:tc>
        <w:tc>
          <w:tcPr>
            <w:tcW w:type="dxa" w:w="1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SOC Subs</w:t>
            </w:r>
          </w:p>
        </w:tc>
        <w:tc>
          <w:tcPr>
            <w:tcW w:type="dxa" w:w="1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MSSP Partners</w:t>
            </w:r>
          </w:p>
        </w:tc>
        <w:tc>
          <w:tcPr>
            <w:tcW w:type="dxa" w:w="16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Monthly MRR</w:t>
            </w:r>
          </w:p>
        </w:tc>
        <w:tc>
          <w:tcPr>
            <w:tcW w:type="dxa" w:w="16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Annual ARR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7"/>
                <w:szCs w:val="17"/>
              </w:rPr>
              <w:t xml:space="preserve">Month 3</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10</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2</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0</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0</w:t>
            </w:r>
          </w:p>
        </w:tc>
        <w:tc>
          <w:tcPr>
            <w:tcW w:type="dxa" w:w="16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7"/>
                <w:szCs w:val="17"/>
              </w:rPr>
              <w:t xml:space="preserve">$1,790</w:t>
            </w:r>
          </w:p>
        </w:tc>
        <w:tc>
          <w:tcPr>
            <w:tcW w:type="dxa" w:w="16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7"/>
                <w:szCs w:val="17"/>
              </w:rPr>
              <w:t xml:space="preserve">$21,480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7"/>
                <w:szCs w:val="17"/>
              </w:rPr>
              <w:t xml:space="preserve">Month 6</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25</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5</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1</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0</w:t>
            </w:r>
          </w:p>
        </w:tc>
        <w:tc>
          <w:tcPr>
            <w:tcW w:type="dxa" w:w="16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7"/>
                <w:szCs w:val="17"/>
              </w:rPr>
              <w:t xml:space="preserve">$2,970</w:t>
            </w:r>
          </w:p>
        </w:tc>
        <w:tc>
          <w:tcPr>
            <w:tcW w:type="dxa" w:w="16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7"/>
                <w:szCs w:val="17"/>
              </w:rPr>
              <w:t xml:space="preserve">$35,640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7"/>
                <w:szCs w:val="17"/>
              </w:rPr>
              <w:t xml:space="preserve">Month 9</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45</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10</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2</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1</w:t>
            </w:r>
          </w:p>
        </w:tc>
        <w:tc>
          <w:tcPr>
            <w:tcW w:type="dxa" w:w="16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7"/>
                <w:szCs w:val="17"/>
              </w:rPr>
              <w:t xml:space="preserve">$7,480</w:t>
            </w:r>
          </w:p>
        </w:tc>
        <w:tc>
          <w:tcPr>
            <w:tcW w:type="dxa" w:w="16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7"/>
                <w:szCs w:val="17"/>
              </w:rPr>
              <w:t xml:space="preserve">$89,760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7"/>
                <w:szCs w:val="17"/>
              </w:rPr>
              <w:t xml:space="preserve">Month 12</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80</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18</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5</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5</w:t>
            </w:r>
          </w:p>
        </w:tc>
        <w:tc>
          <w:tcPr>
            <w:tcW w:type="dxa" w:w="16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7"/>
                <w:szCs w:val="17"/>
              </w:rPr>
              <w:t xml:space="preserve">$36,070</w:t>
            </w:r>
          </w:p>
        </w:tc>
        <w:tc>
          <w:tcPr>
            <w:tcW w:type="dxa" w:w="16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7"/>
                <w:szCs w:val="17"/>
              </w:rPr>
              <w:t xml:space="preserve">$432,840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7"/>
                <w:szCs w:val="17"/>
              </w:rPr>
              <w:t xml:space="preserve">Month 18</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150</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35</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12</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10</w:t>
            </w:r>
          </w:p>
        </w:tc>
        <w:tc>
          <w:tcPr>
            <w:tcW w:type="dxa" w:w="16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7"/>
                <w:szCs w:val="17"/>
              </w:rPr>
              <w:t xml:space="preserve">$86,930</w:t>
            </w:r>
          </w:p>
        </w:tc>
        <w:tc>
          <w:tcPr>
            <w:tcW w:type="dxa" w:w="16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7"/>
                <w:szCs w:val="17"/>
              </w:rPr>
              <w:t xml:space="preserve">$1,043,160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7"/>
                <w:szCs w:val="17"/>
              </w:rPr>
              <w:t xml:space="preserve">Month 24</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300</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70</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25</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sz w:val="17"/>
                <w:szCs w:val="17"/>
              </w:rPr>
              <w:t xml:space="preserve">20</w:t>
            </w:r>
          </w:p>
        </w:tc>
        <w:tc>
          <w:tcPr>
            <w:tcW w:type="dxa" w:w="16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7"/>
                <w:szCs w:val="17"/>
              </w:rPr>
              <w:t xml:space="preserve">$195,300</w:t>
            </w:r>
          </w:p>
        </w:tc>
        <w:tc>
          <w:tcPr>
            <w:tcW w:type="dxa" w:w="16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7"/>
                <w:szCs w:val="17"/>
              </w:rPr>
              <w:t xml:space="preserve">$2,343,600</w:t>
            </w:r>
          </w:p>
        </w:tc>
      </w:tr>
    </w:tbl>
    <w:p>
      <w:pPr>
        <w:spacing w:after="40" w:before="40"/>
      </w:pPr>
      <w:r>
        <w:t xml:space="preserve"/>
      </w:r>
    </w:p>
    <w:p>
      <w:pPr>
        <w:pStyle w:val="Heading2"/>
        <w:spacing w:after="160" w:before="280"/>
      </w:pPr>
      <w:r>
        <w:rPr>
          <w:rFonts w:ascii="Arial" w:cs="Arial" w:eastAsia="Arial" w:hAnsi="Arial"/>
          <w:b/>
          <w:bCs/>
          <w:color w:val="2E75B6"/>
          <w:sz w:val="28"/>
          <w:szCs w:val="28"/>
        </w:rPr>
        <w:t xml:space="preserve">8.3  Revenue Blockers — Must Fix Before First Sale</w:t>
      </w:r>
    </w:p>
    <w:p>
      <w:pPr>
        <w:spacing w:after="80" w:before="80"/>
      </w:pPr>
      <w:r>
        <w:rPr>
          <w:rFonts w:ascii="Arial" w:cs="Arial" w:eastAsia="Arial" w:hAnsi="Arial"/>
          <w:sz w:val="22"/>
          <w:szCs w:val="22"/>
        </w:rPr>
        <w:t xml:space="preserve">1. No Stripe integration — cannot collect payment. 2. No trial self-activation — user cannot start 7-day Pro trial without human intervention. 3. Feature gating is frontend-only — any developer can bypass in DevTools to access Pro/Enterprise features for free. 4. No customer portal — no self-serve subscription management, billing, or API key management. 5. No enterprise procurement package — no MSA template, DPA, security questionnaire, or SLA documentation for procurement teams.</w:t>
      </w:r>
    </w:p>
    <w:p>
      <w:r>
        <w:br w:type="page"/>
      </w:r>
    </w:p>
    <w:p>
      <w:pPr>
        <w:pStyle w:val="Heading1"/>
        <w:pBdr>
          <w:bottom w:val="single" w:color="1F3864" w:sz="8" w:space="4"/>
        </w:pBdr>
        <w:spacing w:after="200" w:before="400"/>
      </w:pPr>
      <w:r>
        <w:rPr>
          <w:rFonts w:ascii="Arial" w:cs="Arial" w:eastAsia="Arial" w:hAnsi="Arial"/>
          <w:b/>
          <w:bCs/>
          <w:color w:val="1F3864"/>
          <w:sz w:val="36"/>
          <w:szCs w:val="36"/>
        </w:rPr>
        <w:t xml:space="preserve">PHASE 9 — GLOBAL SELLABILITY AUDIT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FORTUNE 500 CISO: NO</w:t>
            </w:r>
          </w:p>
        </w:tc>
        <w:tc>
          <w:tcPr>
            <w:tcW w:type="dxa" w:w="7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First questions: Show me your APT41 profile. Show me LockBit IOCs from last 30 days. Show me SOC 2 Type II. Show me your SLA with financial penalties. SENTINEL APEX answers none of these today. No procurement engagement would proceed.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36C09"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SOC MANAGER: MAYBE IN 90 DAYS</w:t>
            </w:r>
          </w:p>
        </w:tc>
        <w:tc>
          <w:tcPr>
            <w:tcW w:type="dxa" w:w="7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Would appreciate the UI, STIX 2.1 output, and detection pack format. Would test Splunk/Sentinel webhook — find it unimplemented — and walk away. Fix the webhook, add 500 real IOCs/day, deliver behavioral Sigma rules. SOC manager at mid-market becomes a genuine buyer at $499/month SOC tier.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MSSP OWNER: NOT YET</w:t>
            </w:r>
          </w:p>
        </w:tc>
        <w:tc>
          <w:tcPr>
            <w:tcW w:type="dxa" w:w="7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Needs multi-tenancy for per-client billing, white-label for brand maintenance, and IOC volume justifying per-client cost. None exist today. Highest revenue opportunity but requires the most work. 18-month target.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NATIONAL CERT (CERT-In, CERT-BD): NOT YET</w:t>
            </w:r>
          </w:p>
        </w:tc>
        <w:tc>
          <w:tcPr>
            <w:tcW w:type="dxa" w:w="7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Needs sovereign deployment option, DPDP compliance documentation, GEM portal listing, ₹-denominated pricing, government procurement readiness. None exist. CERT-In is a realistic 18-month target given India-first positioning.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MID-MARKET CTI ANALYST: YES IN 30 DAYS</w:t>
            </w:r>
          </w:p>
        </w:tc>
        <w:tc>
          <w:tcPr>
            <w:tcW w:type="dxa" w:w="7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Individual CTI analyst at a 200-500 person company cannot afford Recorded Future ($100K/year). They would pay $49/month for SENTINEL APEX if: IOC volume reaches 50+/day with real attribution, actor profiles match what they track, and API is documented and stable. This is the beachhead segment.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36C09"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THREAT INTEL TEAM (5 PEOPLE): BORDERLINE</w:t>
            </w:r>
          </w:p>
        </w:tc>
        <w:tc>
          <w:tcPr>
            <w:tcW w:type="dxa" w:w="77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Would evaluate as a feed aggregator supplement at $149/month Team tier. Conditional on: (a) Real actor/campaign data, (b) Working SIEM webhook, (c) Stable documented API. Would trial it. Conversion rate estimated at 8–12% of free users who are CTI analysts.</w:t>
            </w:r>
          </w:p>
        </w:tc>
      </w:tr>
    </w:tbl>
    <w:p>
      <w:pPr>
        <w:spacing w:after="40" w:before="40"/>
      </w:pPr>
      <w:r>
        <w:t xml:space="preserve"/>
      </w:r>
    </w:p>
    <w:p>
      <w:pPr>
        <w:pStyle w:val="Heading2"/>
        <w:spacing w:after="160" w:before="280"/>
      </w:pPr>
      <w:r>
        <w:rPr>
          <w:rFonts w:ascii="Arial" w:cs="Arial" w:eastAsia="Arial" w:hAnsi="Arial"/>
          <w:b/>
          <w:bCs/>
          <w:color w:val="2E75B6"/>
          <w:sz w:val="28"/>
          <w:szCs w:val="28"/>
        </w:rPr>
        <w:t xml:space="preserve">9.1  The Beachhead Strategy</w:t>
      </w:r>
    </w:p>
    <w:p>
      <w:pPr>
        <w:spacing w:after="80" w:before="80"/>
      </w:pPr>
      <w:r>
        <w:rPr>
          <w:rFonts w:ascii="Arial" w:cs="Arial" w:eastAsia="Arial" w:hAnsi="Arial"/>
          <w:sz w:val="22"/>
          <w:szCs w:val="22"/>
        </w:rPr>
        <w:t xml:space="preserve">Path to revenue: Free tier → 10,000 analysts via SEO + CTI community content → 3% Pro conversion at $49/month → 300 Pro subscribers ($14.7K MRR) → Team/SOC upsell → MSSP program. The beachhead buyer is the individual CTI analyst or 5-person security team at a mid-market company. They are price-sensitive, self-serve, willing to trial new platforms. Capture this segment first. Use their feedback. Then move up-market.</w:t>
      </w:r>
    </w:p>
    <w:p>
      <w:pPr>
        <w:spacing w:after="80" w:before="80"/>
      </w:pPr>
      <w:r>
        <w:rPr>
          <w:rFonts w:ascii="Arial" w:cs="Arial" w:eastAsia="Arial" w:hAnsi="Arial"/>
          <w:sz w:val="22"/>
          <w:szCs w:val="22"/>
        </w:rPr>
        <w:t xml:space="preserve">India-specific strategy: India has 500,000+ cybersecurity professionals. CERT-In mandates have created demand for threat intelligence tooling at every enterprise. Local pricing (₹3,999/month Pro), Hindi language support, and DPDP compliance documentation position SENTINEL APEX as the only India-native enterprise CTI platform — a positioning no global competitor can claim credibly.</w:t>
      </w:r>
    </w:p>
    <w:p>
      <w:r>
        <w:br w:type="page"/>
      </w:r>
    </w:p>
    <w:p>
      <w:pPr>
        <w:pStyle w:val="Heading1"/>
        <w:pBdr>
          <w:bottom w:val="single" w:color="1F3864" w:sz="8" w:space="4"/>
        </w:pBdr>
        <w:spacing w:after="200" w:before="400"/>
      </w:pPr>
      <w:r>
        <w:rPr>
          <w:rFonts w:ascii="Arial" w:cs="Arial" w:eastAsia="Arial" w:hAnsi="Arial"/>
          <w:b/>
          <w:bCs/>
          <w:color w:val="1F3864"/>
          <w:sz w:val="36"/>
          <w:szCs w:val="36"/>
        </w:rPr>
        <w:t xml:space="preserve">PHASE 10 — 120-DAY EXECUTION ROADMAP</w:t>
      </w:r>
    </w:p>
    <w:p>
      <w:pPr>
        <w:pStyle w:val="Heading2"/>
        <w:spacing w:after="160" w:before="280"/>
      </w:pPr>
      <w:r>
        <w:rPr>
          <w:rFonts w:ascii="Arial" w:cs="Arial" w:eastAsia="Arial" w:hAnsi="Arial"/>
          <w:b/>
          <w:bCs/>
          <w:color w:val="2E75B6"/>
          <w:sz w:val="28"/>
          <w:szCs w:val="28"/>
        </w:rPr>
        <w:t xml:space="preserve">P0 — CRITICAL (Days 1–30): Must Complete for Any Revenue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40"/>
        <w:gridCol w:w="4960"/>
        <w:gridCol w:w="1200"/>
        <w:gridCol w:w="1800"/>
      </w:tblGrid>
      <w:tr>
        <w:trPr>
          <w:tblHeader/>
        </w:trPr>
        <w:tc>
          <w:tcPr>
            <w:tcW w:type="dxa" w:w="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8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49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Task 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Target Day</w:t>
            </w:r>
          </w:p>
        </w:tc>
      </w:tr>
      <w:tr>
        <w:tc>
          <w:tcPr>
            <w:tcW w:type="dxa" w:w="560"/>
            <w:tcBorders>
              <w:top w:val="single" w:color="CCCCCC" w:sz="1"/>
              <w:left w:val="single" w:color="CCCCCC" w:sz="1"/>
              <w:bottom w:val="single" w:color="CCCCCC" w:sz="1"/>
              <w:right w:val="single" w:color="CCCCCC" w:sz="1"/>
            </w:tcBorders>
            <w:shd w:fill="FCE4D6" w:val="clear"/>
            <w:tcMar>
              <w:top w:type="dxa" w:w="60"/>
              <w:left w:type="dxa" w:w="60"/>
              <w:bottom w:type="dxa" w:w="60"/>
              <w:right w:type="dxa" w:w="60"/>
            </w:tcMar>
          </w:tcPr>
          <w:p>
            <w:r>
              <w:rPr>
                <w:rFonts w:ascii="Arial" w:cs="Arial" w:eastAsia="Arial" w:hAnsi="Arial"/>
                <w:b/>
                <w:bCs/>
                <w:sz w:val="16"/>
                <w:szCs w:val="16"/>
              </w:rPr>
              <w:t xml:space="preserve">P0-01</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7d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Build actor_ingestion.py: Pull MITRE ATT&amp;CK Groups + Malpedia + MISP Galaxy. Populate 50 real actor profiles in D1/actors_db.json. Replace all UNC-CDB attributions with real actor lookups based on TTP/malware/keyword similarity in advisory text.</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7</w:t>
            </w:r>
          </w:p>
        </w:tc>
      </w:tr>
      <w:tr>
        <w:tc>
          <w:tcPr>
            <w:tcW w:type="dxa" w:w="560"/>
            <w:tcBorders>
              <w:top w:val="single" w:color="CCCCCC" w:sz="1"/>
              <w:left w:val="single" w:color="CCCCCC" w:sz="1"/>
              <w:bottom w:val="single" w:color="CCCCCC" w:sz="1"/>
              <w:right w:val="single" w:color="CCCCCC" w:sz="1"/>
            </w:tcBorders>
            <w:shd w:fill="FCE4D6" w:val="clear"/>
            <w:tcMar>
              <w:top w:type="dxa" w:w="60"/>
              <w:left w:type="dxa" w:w="60"/>
              <w:bottom w:type="dxa" w:w="60"/>
              <w:right w:type="dxa" w:w="60"/>
            </w:tcMar>
          </w:tcPr>
          <w:p>
            <w:r>
              <w:rPr>
                <w:rFonts w:ascii="Arial" w:cs="Arial" w:eastAsia="Arial" w:hAnsi="Arial"/>
                <w:b/>
                <w:bCs/>
                <w:sz w:val="16"/>
                <w:szCs w:val="16"/>
              </w:rPr>
              <w:t xml:space="preserve">P0-02</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3d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Build campaign_ingestion.py: Pull MITRE ATT&amp;CK Campaigns STIX API (30+ real campaigns). Map to actors, TTPs, malware. Remove OPERATION HYDRA-SHIELD and ECLIPSE-ARROW from production entirely.</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10</w:t>
            </w:r>
          </w:p>
        </w:tc>
      </w:tr>
      <w:tr>
        <w:tc>
          <w:tcPr>
            <w:tcW w:type="dxa" w:w="560"/>
            <w:tcBorders>
              <w:top w:val="single" w:color="CCCCCC" w:sz="1"/>
              <w:left w:val="single" w:color="CCCCCC" w:sz="1"/>
              <w:bottom w:val="single" w:color="CCCCCC" w:sz="1"/>
              <w:right w:val="single" w:color="CCCCCC" w:sz="1"/>
            </w:tcBorders>
            <w:shd w:fill="FCE4D6" w:val="clear"/>
            <w:tcMar>
              <w:top w:type="dxa" w:w="60"/>
              <w:left w:type="dxa" w:w="60"/>
              <w:bottom w:type="dxa" w:w="60"/>
              <w:right w:type="dxa" w:w="60"/>
            </w:tcMar>
          </w:tcPr>
          <w:p>
            <w:r>
              <w:rPr>
                <w:rFonts w:ascii="Arial" w:cs="Arial" w:eastAsia="Arial" w:hAnsi="Arial"/>
                <w:b/>
                <w:bCs/>
                <w:sz w:val="16"/>
                <w:szCs w:val="16"/>
              </w:rPr>
              <w:t xml:space="preserve">P0-03</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4d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Build ioc_enricher.py: Extract real IOCs from source URLs via regex (IP, domain, hash patterns). Enrich with AbuseIPDB + URLhaus + MalwareBazaar. Target: 50+ real IOCs per day in the feed.</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14</w:t>
            </w:r>
          </w:p>
        </w:tc>
      </w:tr>
      <w:tr>
        <w:tc>
          <w:tcPr>
            <w:tcW w:type="dxa" w:w="560"/>
            <w:tcBorders>
              <w:top w:val="single" w:color="CCCCCC" w:sz="1"/>
              <w:left w:val="single" w:color="CCCCCC" w:sz="1"/>
              <w:bottom w:val="single" w:color="CCCCCC" w:sz="1"/>
              <w:right w:val="single" w:color="CCCCCC" w:sz="1"/>
            </w:tcBorders>
            <w:shd w:fill="FCE4D6" w:val="clear"/>
            <w:tcMar>
              <w:top w:type="dxa" w:w="60"/>
              <w:left w:type="dxa" w:w="60"/>
              <w:bottom w:type="dxa" w:w="60"/>
              <w:right w:type="dxa" w:w="60"/>
            </w:tcMar>
          </w:tcPr>
          <w:p>
            <w:r>
              <w:rPr>
                <w:rFonts w:ascii="Arial" w:cs="Arial" w:eastAsia="Arial" w:hAnsi="Arial"/>
                <w:b/>
                <w:bCs/>
                <w:sz w:val="16"/>
                <w:szCs w:val="16"/>
              </w:rPr>
              <w:t xml:space="preserve">P0-04</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2d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Fix CVSS/EPSS pipeline: NVD API v2.0 provides CVSS 3.1 + EPSS for all CVE IDs. CVSS is blank on 28 of 32 current advisories. Build cvss_enricher.py. Target: 100% CVSS coverage on all CVE advisories.</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7</w:t>
            </w:r>
          </w:p>
        </w:tc>
      </w:tr>
      <w:tr>
        <w:tc>
          <w:tcPr>
            <w:tcW w:type="dxa" w:w="560"/>
            <w:tcBorders>
              <w:top w:val="single" w:color="CCCCCC" w:sz="1"/>
              <w:left w:val="single" w:color="CCCCCC" w:sz="1"/>
              <w:bottom w:val="single" w:color="CCCCCC" w:sz="1"/>
              <w:right w:val="single" w:color="CCCCCC" w:sz="1"/>
            </w:tcBorders>
            <w:shd w:fill="FCE4D6" w:val="clear"/>
            <w:tcMar>
              <w:top w:type="dxa" w:w="60"/>
              <w:left w:type="dxa" w:w="60"/>
              <w:bottom w:type="dxa" w:w="60"/>
              <w:right w:type="dxa" w:w="60"/>
            </w:tcMar>
          </w:tcPr>
          <w:p>
            <w:r>
              <w:rPr>
                <w:rFonts w:ascii="Arial" w:cs="Arial" w:eastAsia="Arial" w:hAnsi="Arial"/>
                <w:b/>
                <w:bCs/>
                <w:sz w:val="16"/>
                <w:szCs w:val="16"/>
              </w:rPr>
              <w:t xml:space="preserve">P0-05</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1d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Fix KEV status: CISA KEV catalog is a free JSON file. The Palo Alto GlobalProtect advisory in the current feed shows KEV:NO but it IS in the KEV catalog. This is a credibility-destroying error. Build kev_matcher.py. Fix immediately.</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5</w:t>
            </w:r>
          </w:p>
        </w:tc>
      </w:tr>
      <w:tr>
        <w:tc>
          <w:tcPr>
            <w:tcW w:type="dxa" w:w="560"/>
            <w:tcBorders>
              <w:top w:val="single" w:color="CCCCCC" w:sz="1"/>
              <w:left w:val="single" w:color="CCCCCC" w:sz="1"/>
              <w:bottom w:val="single" w:color="CCCCCC" w:sz="1"/>
              <w:right w:val="single" w:color="CCCCCC" w:sz="1"/>
            </w:tcBorders>
            <w:shd w:fill="FCE4D6" w:val="clear"/>
            <w:tcMar>
              <w:top w:type="dxa" w:w="60"/>
              <w:left w:type="dxa" w:w="60"/>
              <w:bottom w:type="dxa" w:w="60"/>
              <w:right w:type="dxa" w:w="60"/>
            </w:tcMar>
          </w:tcPr>
          <w:p>
            <w:r>
              <w:rPr>
                <w:rFonts w:ascii="Arial" w:cs="Arial" w:eastAsia="Arial" w:hAnsi="Arial"/>
                <w:b/>
                <w:bCs/>
                <w:sz w:val="16"/>
                <w:szCs w:val="16"/>
              </w:rPr>
              <w:t xml:space="preserve">P0-06</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4d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Fix Detection Engineering Pack: Current Sigma rules search for CVE ID strings in logs — zero detection value. Replace with behavioral rules: for AUTH_BYPASS class, detect admin 200 after 401 sequence, JWT none algorithm in headers, credential stuffing patterns. Source rules from Sigma HQ community repository (free).</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14</w:t>
            </w:r>
          </w:p>
        </w:tc>
      </w:tr>
      <w:tr>
        <w:tc>
          <w:tcPr>
            <w:tcW w:type="dxa" w:w="560"/>
            <w:tcBorders>
              <w:top w:val="single" w:color="CCCCCC" w:sz="1"/>
              <w:left w:val="single" w:color="CCCCCC" w:sz="1"/>
              <w:bottom w:val="single" w:color="CCCCCC" w:sz="1"/>
              <w:right w:val="single" w:color="CCCCCC" w:sz="1"/>
            </w:tcBorders>
            <w:shd w:fill="FCE4D6" w:val="clear"/>
            <w:tcMar>
              <w:top w:type="dxa" w:w="60"/>
              <w:left w:type="dxa" w:w="60"/>
              <w:bottom w:type="dxa" w:w="60"/>
              <w:right w:type="dxa" w:w="60"/>
            </w:tcMar>
          </w:tcPr>
          <w:p>
            <w:r>
              <w:rPr>
                <w:rFonts w:ascii="Arial" w:cs="Arial" w:eastAsia="Arial" w:hAnsi="Arial"/>
                <w:b/>
                <w:bCs/>
                <w:sz w:val="16"/>
                <w:szCs w:val="16"/>
              </w:rPr>
              <w:t xml:space="preserve">P0-07</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5d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Implement Stripe payment processing: Free-to-Pro ($49/month) self-serve Checkout flow. Stripe webhook activates subscription in D1 (user tier update). Feature gating must move to backend JWT claim 'tier' validated in Worker — not frontend CSS/JS.</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CTO+CEO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21</w:t>
            </w:r>
          </w:p>
        </w:tc>
      </w:tr>
      <w:tr>
        <w:tc>
          <w:tcPr>
            <w:tcW w:type="dxa" w:w="560"/>
            <w:tcBorders>
              <w:top w:val="single" w:color="CCCCCC" w:sz="1"/>
              <w:left w:val="single" w:color="CCCCCC" w:sz="1"/>
              <w:bottom w:val="single" w:color="CCCCCC" w:sz="1"/>
              <w:right w:val="single" w:color="CCCCCC" w:sz="1"/>
            </w:tcBorders>
            <w:shd w:fill="FCE4D6" w:val="clear"/>
            <w:tcMar>
              <w:top w:type="dxa" w:w="60"/>
              <w:left w:type="dxa" w:w="60"/>
              <w:bottom w:type="dxa" w:w="60"/>
              <w:right w:type="dxa" w:w="60"/>
            </w:tcMar>
          </w:tcPr>
          <w:p>
            <w:r>
              <w:rPr>
                <w:rFonts w:ascii="Arial" w:cs="Arial" w:eastAsia="Arial" w:hAnsi="Arial"/>
                <w:b/>
                <w:bCs/>
                <w:sz w:val="16"/>
                <w:szCs w:val="16"/>
              </w:rPr>
              <w:t xml:space="preserve">P0-08</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3d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Implement SIEM webhook push: POST to user-configured URL on each new advisory above a configurable risk threshold. Payload: STIX bundle JSON. Documented format for Splunk HEC, Sentinel HTTP Collector, QRadar CEF. Config in customer portal.</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21</w:t>
            </w:r>
          </w:p>
        </w:tc>
      </w:tr>
    </w:tbl>
    <w:p>
      <w:pPr>
        <w:spacing w:after="40" w:before="40"/>
      </w:pPr>
      <w:r>
        <w:t xml:space="preserve"/>
      </w:r>
    </w:p>
    <w:p>
      <w:pPr>
        <w:spacing w:after="40" w:before="40"/>
      </w:pPr>
      <w:r>
        <w:t xml:space="preserve"/>
      </w:r>
    </w:p>
    <w:p>
      <w:pPr>
        <w:pStyle w:val="Heading2"/>
        <w:spacing w:after="160" w:before="280"/>
      </w:pPr>
      <w:r>
        <w:rPr>
          <w:rFonts w:ascii="Arial" w:cs="Arial" w:eastAsia="Arial" w:hAnsi="Arial"/>
          <w:b/>
          <w:bCs/>
          <w:color w:val="2E75B6"/>
          <w:sz w:val="28"/>
          <w:szCs w:val="28"/>
        </w:rPr>
        <w:t xml:space="preserve">P1 — HIGH (Days 31–60): Enterprise-Qualifying Features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40"/>
        <w:gridCol w:w="4960"/>
        <w:gridCol w:w="1200"/>
        <w:gridCol w:w="1800"/>
      </w:tblGrid>
      <w:tr>
        <w:trPr>
          <w:tblHeader/>
        </w:trPr>
        <w:tc>
          <w:tcPr>
            <w:tcW w:type="dxa" w:w="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8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49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Task 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Target Day</w:t>
            </w:r>
          </w:p>
        </w:tc>
      </w:tr>
      <w:tr>
        <w:tc>
          <w:tcPr>
            <w:tcW w:type="dxa" w:w="560"/>
            <w:tcBorders>
              <w:top w:val="single" w:color="CCCCCC" w:sz="1"/>
              <w:left w:val="single" w:color="CCCCCC" w:sz="1"/>
              <w:bottom w:val="single" w:color="CCCCCC" w:sz="1"/>
              <w:right w:val="single" w:color="CCCCCC" w:sz="1"/>
            </w:tcBorders>
            <w:shd w:fill="FFF2CC" w:val="clear"/>
            <w:tcMar>
              <w:top w:type="dxa" w:w="60"/>
              <w:left w:type="dxa" w:w="60"/>
              <w:bottom w:type="dxa" w:w="60"/>
              <w:right w:type="dxa" w:w="60"/>
            </w:tcMar>
          </w:tcPr>
          <w:p>
            <w:r>
              <w:rPr>
                <w:rFonts w:ascii="Arial" w:cs="Arial" w:eastAsia="Arial" w:hAnsi="Arial"/>
                <w:b/>
                <w:bCs/>
                <w:sz w:val="16"/>
                <w:szCs w:val="16"/>
              </w:rPr>
              <w:t xml:space="preserve">P1-01</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5d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Build malware knowledge base: 100 malware families from MalwareBazaar + Malpedia + ATT&amp;CK Software. Real YARA rules from MalwareBazaar (not CVE string searches). Actor + campaign relationships. Serve at /api/malware/{family}.</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40</w:t>
            </w:r>
          </w:p>
        </w:tc>
      </w:tr>
      <w:tr>
        <w:tc>
          <w:tcPr>
            <w:tcW w:type="dxa" w:w="560"/>
            <w:tcBorders>
              <w:top w:val="single" w:color="CCCCCC" w:sz="1"/>
              <w:left w:val="single" w:color="CCCCCC" w:sz="1"/>
              <w:bottom w:val="single" w:color="CCCCCC" w:sz="1"/>
              <w:right w:val="single" w:color="CCCCCC" w:sz="1"/>
            </w:tcBorders>
            <w:shd w:fill="FFF2CC" w:val="clear"/>
            <w:tcMar>
              <w:top w:type="dxa" w:w="60"/>
              <w:left w:type="dxa" w:w="60"/>
              <w:bottom w:type="dxa" w:w="60"/>
              <w:right w:type="dxa" w:w="60"/>
            </w:tcMar>
          </w:tcPr>
          <w:p>
            <w:r>
              <w:rPr>
                <w:rFonts w:ascii="Arial" w:cs="Arial" w:eastAsia="Arial" w:hAnsi="Arial"/>
                <w:b/>
                <w:bCs/>
                <w:sz w:val="16"/>
                <w:szCs w:val="16"/>
              </w:rPr>
              <w:t xml:space="preserve">P1-02</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7d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Build infrastructure intelligence module: IP enrichment (AbuseIPDB + IPinfo), domain WHOIS + passive DNS (CIRCL pDNS API), certificate CT logs (crt.sh API). D1 storage for enrichment cache. Pivot API at /api/ioc/pivot/{value}.</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45</w:t>
            </w:r>
          </w:p>
        </w:tc>
      </w:tr>
      <w:tr>
        <w:tc>
          <w:tcPr>
            <w:tcW w:type="dxa" w:w="560"/>
            <w:tcBorders>
              <w:top w:val="single" w:color="CCCCCC" w:sz="1"/>
              <w:left w:val="single" w:color="CCCCCC" w:sz="1"/>
              <w:bottom w:val="single" w:color="CCCCCC" w:sz="1"/>
              <w:right w:val="single" w:color="CCCCCC" w:sz="1"/>
            </w:tcBorders>
            <w:shd w:fill="FFF2CC" w:val="clear"/>
            <w:tcMar>
              <w:top w:type="dxa" w:w="60"/>
              <w:left w:type="dxa" w:w="60"/>
              <w:bottom w:type="dxa" w:w="60"/>
              <w:right w:type="dxa" w:w="60"/>
            </w:tcMar>
          </w:tcPr>
          <w:p>
            <w:r>
              <w:rPr>
                <w:rFonts w:ascii="Arial" w:cs="Arial" w:eastAsia="Arial" w:hAnsi="Arial"/>
                <w:b/>
                <w:bCs/>
                <w:sz w:val="16"/>
                <w:szCs w:val="16"/>
              </w:rPr>
              <w:t xml:space="preserve">P1-03</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4d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Migrate to Cloudflare D1 knowledge graph: actors, campaigns, malware, iocs, relationships, victims tables. FK constraints. Migrate existing data from flat JSON. Worker queries D1 for all entity lookups instead of KV/R2 flat file reads.</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40</w:t>
            </w:r>
          </w:p>
        </w:tc>
      </w:tr>
      <w:tr>
        <w:tc>
          <w:tcPr>
            <w:tcW w:type="dxa" w:w="560"/>
            <w:tcBorders>
              <w:top w:val="single" w:color="CCCCCC" w:sz="1"/>
              <w:left w:val="single" w:color="CCCCCC" w:sz="1"/>
              <w:bottom w:val="single" w:color="CCCCCC" w:sz="1"/>
              <w:right w:val="single" w:color="CCCCCC" w:sz="1"/>
            </w:tcBorders>
            <w:shd w:fill="FFF2CC" w:val="clear"/>
            <w:tcMar>
              <w:top w:type="dxa" w:w="60"/>
              <w:left w:type="dxa" w:w="60"/>
              <w:bottom w:type="dxa" w:w="60"/>
              <w:right w:type="dxa" w:w="60"/>
            </w:tcMar>
          </w:tcPr>
          <w:p>
            <w:r>
              <w:rPr>
                <w:rFonts w:ascii="Arial" w:cs="Arial" w:eastAsia="Arial" w:hAnsi="Arial"/>
                <w:b/>
                <w:bCs/>
                <w:sz w:val="16"/>
                <w:szCs w:val="16"/>
              </w:rPr>
              <w:t xml:space="preserve">P1-04</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3d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Build customer portal: Self-serve subscription management, API key rotation, usage dashboard, SIEM webhook configuration, IOC watch list management. JWT-authenticated, tier-gated. Cloudflare Pages + Worker API.</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50</w:t>
            </w:r>
          </w:p>
        </w:tc>
      </w:tr>
      <w:tr>
        <w:tc>
          <w:tcPr>
            <w:tcW w:type="dxa" w:w="560"/>
            <w:tcBorders>
              <w:top w:val="single" w:color="CCCCCC" w:sz="1"/>
              <w:left w:val="single" w:color="CCCCCC" w:sz="1"/>
              <w:bottom w:val="single" w:color="CCCCCC" w:sz="1"/>
              <w:right w:val="single" w:color="CCCCCC" w:sz="1"/>
            </w:tcBorders>
            <w:shd w:fill="FFF2CC" w:val="clear"/>
            <w:tcMar>
              <w:top w:type="dxa" w:w="60"/>
              <w:left w:type="dxa" w:w="60"/>
              <w:bottom w:type="dxa" w:w="60"/>
              <w:right w:type="dxa" w:w="60"/>
            </w:tcMar>
          </w:tcPr>
          <w:p>
            <w:r>
              <w:rPr>
                <w:rFonts w:ascii="Arial" w:cs="Arial" w:eastAsia="Arial" w:hAnsi="Arial"/>
                <w:b/>
                <w:bCs/>
                <w:sz w:val="16"/>
                <w:szCs w:val="16"/>
              </w:rPr>
              <w:t xml:space="preserve">P1-05</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2d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Implement ATT&amp;CK Navigator embed: For every actor and campaign page, embed interactive MITRE ATT&amp;CK Navigator layer showing techniques observed. Open-source navigator iframe embed — zero infrastructure cost. High-visibility feature for every CTI buyer.</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35</w:t>
            </w:r>
          </w:p>
        </w:tc>
      </w:tr>
      <w:tr>
        <w:tc>
          <w:tcPr>
            <w:tcW w:type="dxa" w:w="560"/>
            <w:tcBorders>
              <w:top w:val="single" w:color="CCCCCC" w:sz="1"/>
              <w:left w:val="single" w:color="CCCCCC" w:sz="1"/>
              <w:bottom w:val="single" w:color="CCCCCC" w:sz="1"/>
              <w:right w:val="single" w:color="CCCCCC" w:sz="1"/>
            </w:tcBorders>
            <w:shd w:fill="FFF2CC" w:val="clear"/>
            <w:tcMar>
              <w:top w:type="dxa" w:w="60"/>
              <w:left w:type="dxa" w:w="60"/>
              <w:bottom w:type="dxa" w:w="60"/>
              <w:right w:type="dxa" w:w="60"/>
            </w:tcMar>
          </w:tcPr>
          <w:p>
            <w:r>
              <w:rPr>
                <w:rFonts w:ascii="Arial" w:cs="Arial" w:eastAsia="Arial" w:hAnsi="Arial"/>
                <w:b/>
                <w:bCs/>
                <w:sz w:val="16"/>
                <w:szCs w:val="16"/>
              </w:rPr>
              <w:t xml:space="preserve">P1-06</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3d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IOC watch list and email alerting: User configures list of domains, IPs, CVEs, actor names to monitor. Worker checks each new advisory against watch list. Cloudflare Email Routing (free) sends match alert within 60 seconds. Core daily retention driver.</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55</w:t>
            </w:r>
          </w:p>
        </w:tc>
      </w:tr>
      <w:tr>
        <w:tc>
          <w:tcPr>
            <w:tcW w:type="dxa" w:w="560"/>
            <w:tcBorders>
              <w:top w:val="single" w:color="CCCCCC" w:sz="1"/>
              <w:left w:val="single" w:color="CCCCCC" w:sz="1"/>
              <w:bottom w:val="single" w:color="CCCCCC" w:sz="1"/>
              <w:right w:val="single" w:color="CCCCCC" w:sz="1"/>
            </w:tcBorders>
            <w:shd w:fill="FFF2CC" w:val="clear"/>
            <w:tcMar>
              <w:top w:type="dxa" w:w="60"/>
              <w:left w:type="dxa" w:w="60"/>
              <w:bottom w:type="dxa" w:w="60"/>
              <w:right w:type="dxa" w:w="60"/>
            </w:tcMar>
          </w:tcPr>
          <w:p>
            <w:r>
              <w:rPr>
                <w:rFonts w:ascii="Arial" w:cs="Arial" w:eastAsia="Arial" w:hAnsi="Arial"/>
                <w:b/>
                <w:bCs/>
                <w:sz w:val="16"/>
                <w:szCs w:val="16"/>
              </w:rPr>
              <w:t xml:space="preserve">P1-07</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5d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TAXII 2.1 server endpoint: /taxii2/ collection serving STIX 2.1 bundles. This enables OpenCTI, MISP, and enterprise SIEMs to pull intelligence via standard protocol without custom integration code. Opens entire CTI platform ecosystem as a distribution channel.</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60</w:t>
            </w:r>
          </w:p>
        </w:tc>
      </w:tr>
    </w:tbl>
    <w:p>
      <w:pPr>
        <w:spacing w:after="40" w:before="40"/>
      </w:pPr>
      <w:r>
        <w:t xml:space="preserve"/>
      </w:r>
    </w:p>
    <w:p>
      <w:pPr>
        <w:spacing w:after="40" w:before="40"/>
      </w:pPr>
      <w:r>
        <w:t xml:space="preserve"/>
      </w:r>
    </w:p>
    <w:p>
      <w:pPr>
        <w:pStyle w:val="Heading2"/>
        <w:spacing w:after="160" w:before="280"/>
      </w:pPr>
      <w:r>
        <w:rPr>
          <w:rFonts w:ascii="Arial" w:cs="Arial" w:eastAsia="Arial" w:hAnsi="Arial"/>
          <w:b/>
          <w:bCs/>
          <w:color w:val="2E75B6"/>
          <w:sz w:val="28"/>
          <w:szCs w:val="28"/>
        </w:rPr>
        <w:t xml:space="preserve">P2 — MEDIUM (Days 61–90): Commercial Acceleration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40"/>
        <w:gridCol w:w="4960"/>
        <w:gridCol w:w="1200"/>
        <w:gridCol w:w="1800"/>
      </w:tblGrid>
      <w:tr>
        <w:trPr>
          <w:tblHeader/>
        </w:trPr>
        <w:tc>
          <w:tcPr>
            <w:tcW w:type="dxa" w:w="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8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49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Task 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Target Day</w:t>
            </w:r>
          </w:p>
        </w:tc>
      </w:tr>
      <w:tr>
        <w:tc>
          <w:tcPr>
            <w:tcW w:type="dxa" w:w="560"/>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tcPr>
          <w:p>
            <w:r>
              <w:rPr>
                <w:rFonts w:ascii="Arial" w:cs="Arial" w:eastAsia="Arial" w:hAnsi="Arial"/>
                <w:b/>
                <w:bCs/>
                <w:sz w:val="16"/>
                <w:szCs w:val="16"/>
              </w:rPr>
              <w:t xml:space="preserve">P2-01</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8d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Basic multi-tenant architecture: JWT tenant_id claim. Per-tenant KV namespace for watch lists/config. Per-tenant R2 prefix for reports. Per-tenant D1 row-level filtering. Minimum viable for MSSP program launch.</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80</w:t>
            </w:r>
          </w:p>
        </w:tc>
      </w:tr>
      <w:tr>
        <w:tc>
          <w:tcPr>
            <w:tcW w:type="dxa" w:w="560"/>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tcPr>
          <w:p>
            <w:r>
              <w:rPr>
                <w:rFonts w:ascii="Arial" w:cs="Arial" w:eastAsia="Arial" w:hAnsi="Arial"/>
                <w:b/>
                <w:bCs/>
                <w:sz w:val="16"/>
                <w:szCs w:val="16"/>
              </w:rPr>
              <w:t xml:space="preserve">P2-02</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3d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MISP integration: MISP-compatible JSON export at /api/misp/export. MISP-push mode: given MISP URL + auth key, push new IOCs automatically on ingest. Opens 50,000+ MISP community users as a lead generation channel.</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70</w:t>
            </w:r>
          </w:p>
        </w:tc>
      </w:tr>
      <w:tr>
        <w:tc>
          <w:tcPr>
            <w:tcW w:type="dxa" w:w="560"/>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tcPr>
          <w:p>
            <w:r>
              <w:rPr>
                <w:rFonts w:ascii="Arial" w:cs="Arial" w:eastAsia="Arial" w:hAnsi="Arial"/>
                <w:b/>
                <w:bCs/>
                <w:sz w:val="16"/>
                <w:szCs w:val="16"/>
              </w:rPr>
              <w:t xml:space="preserve">P2-03</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5d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Threat Hunting Query Library: 200+ pre-written KQL/SPL/EQL hunt queries organized by ATT&amp;CK technique. Each query linked to advisories that triggered it. Downloadable pack per tier. Immediately actionable for SOC teams.</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75</w:t>
            </w:r>
          </w:p>
        </w:tc>
      </w:tr>
      <w:tr>
        <w:tc>
          <w:tcPr>
            <w:tcW w:type="dxa" w:w="560"/>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tcPr>
          <w:p>
            <w:r>
              <w:rPr>
                <w:rFonts w:ascii="Arial" w:cs="Arial" w:eastAsia="Arial" w:hAnsi="Arial"/>
                <w:b/>
                <w:bCs/>
                <w:sz w:val="16"/>
                <w:szCs w:val="16"/>
              </w:rPr>
              <w:t xml:space="preserve">P2-04</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4d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Enterprise procurement package: MSA template, DPA (GDPR + DPDPA compliant), VSA/SIG Lite security questionnaire responses, sub-processor list, BCP/DR summary. Required before any enterprise procurement team engages. Zero engineering — legal/CEO task.</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CEO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85</w:t>
            </w:r>
          </w:p>
        </w:tc>
      </w:tr>
      <w:tr>
        <w:tc>
          <w:tcPr>
            <w:tcW w:type="dxa" w:w="560"/>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tcPr>
          <w:p>
            <w:r>
              <w:rPr>
                <w:rFonts w:ascii="Arial" w:cs="Arial" w:eastAsia="Arial" w:hAnsi="Arial"/>
                <w:b/>
                <w:bCs/>
                <w:sz w:val="16"/>
                <w:szCs w:val="16"/>
              </w:rPr>
              <w:t xml:space="preserve">P2-05</w:t>
            </w:r>
          </w:p>
        </w:tc>
        <w:tc>
          <w:tcPr>
            <w:tcW w:type="dxa" w:w="84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Arial" w:cs="Arial" w:eastAsia="Arial" w:hAnsi="Arial"/>
                <w:sz w:val="17"/>
                <w:szCs w:val="17"/>
              </w:rPr>
              <w:t xml:space="preserve">3d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India government positioning: GEM (Government e-Marketplace) portal registration. DPDP Act compliance statement. CERT-In and NCIIPC outreach with platform demonstration. Rupee-denominated pricing page. Case study templates.</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CEO/CRO</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6"/>
                <w:szCs w:val="16"/>
              </w:rPr>
              <w:t xml:space="preserve">Day 90</w:t>
            </w:r>
          </w:p>
        </w:tc>
      </w:tr>
    </w:tbl>
    <w:p>
      <w:r>
        <w:br w:type="page"/>
      </w:r>
    </w:p>
    <w:p>
      <w:pPr>
        <w:pStyle w:val="Heading1"/>
        <w:pBdr>
          <w:bottom w:val="single" w:color="1F3864" w:sz="8" w:space="4"/>
        </w:pBdr>
        <w:spacing w:after="200" w:before="400"/>
      </w:pPr>
      <w:r>
        <w:rPr>
          <w:rFonts w:ascii="Arial" w:cs="Arial" w:eastAsia="Arial" w:hAnsi="Arial"/>
          <w:b/>
          <w:bCs/>
          <w:color w:val="1F3864"/>
          <w:sz w:val="36"/>
          <w:szCs w:val="36"/>
        </w:rPr>
        <w:t xml:space="preserve">FINAL VERDICT &amp; EXECUTIVE ACTION SUMMARY</w:t>
      </w:r>
    </w:p>
    <w:p>
      <w:pPr>
        <w:pStyle w:val="Heading2"/>
        <w:spacing w:after="160" w:before="280"/>
      </w:pPr>
      <w:r>
        <w:rPr>
          <w:rFonts w:ascii="Arial" w:cs="Arial" w:eastAsia="Arial" w:hAnsi="Arial"/>
          <w:b/>
          <w:bCs/>
          <w:color w:val="2E75B6"/>
          <w:sz w:val="28"/>
          <w:szCs w:val="28"/>
        </w:rPr>
        <w:t xml:space="preserve">The Honest Assessment</w:t>
      </w:r>
    </w:p>
    <w:p>
      <w:pPr>
        <w:spacing w:after="80" w:before="80"/>
      </w:pPr>
      <w:r>
        <w:rPr>
          <w:rFonts w:ascii="Arial" w:cs="Arial" w:eastAsia="Arial" w:hAnsi="Arial"/>
          <w:sz w:val="22"/>
          <w:szCs w:val="22"/>
        </w:rPr>
        <w:t xml:space="preserve">SENTINEL APEX is the most ambitious solo-built CTI platform this audit team has reviewed. Infrastructure is production-grade — Cloudflare edge, STIX 2.1, R2 object storage, CI/CD governance pipeline, version-controlled deployment. UI/UX is genuinely excellent — competitive with platforms 10x the size and budget. Monetization architecture is correctly structured. The market positioning (India-first, DPDP-compliant, mid-market CTI) is strategically sound.</w:t>
      </w:r>
    </w:p>
    <w:p>
      <w:pPr>
        <w:spacing w:after="40" w:before="40"/>
      </w:pPr>
      <w:r>
        <w:t xml:space="preserve"/>
      </w:r>
    </w:p>
    <w:p>
      <w:pPr>
        <w:spacing w:after="80" w:before="80"/>
      </w:pPr>
      <w:r>
        <w:rPr>
          <w:rFonts w:ascii="Arial" w:cs="Arial" w:eastAsia="Arial" w:hAnsi="Arial"/>
          <w:sz w:val="22"/>
          <w:szCs w:val="22"/>
        </w:rPr>
        <w:t xml:space="preserve">The problem is exclusively the intelligence layer. A CTI platform that attributes everything to a fictional actor cluster, generates synthetic campaign names, and has 3 IOCs across 32 advisories is not selling intelligence — it is selling the form of intelligence without the substance. This destroys trust with professional buyers in the first 5 minutes of evaluation.</w:t>
      </w:r>
    </w:p>
    <w:p>
      <w:pPr>
        <w:spacing w:after="40" w:before="40"/>
      </w:pPr>
      <w:r>
        <w:t xml:space="preserve"/>
      </w:r>
    </w:p>
    <w:p>
      <w:pPr>
        <w:spacing w:after="80" w:before="80"/>
      </w:pPr>
      <w:r>
        <w:rPr>
          <w:rFonts w:ascii="Arial" w:cs="Arial" w:eastAsia="Arial" w:hAnsi="Arial"/>
          <w:sz w:val="22"/>
          <w:szCs w:val="22"/>
        </w:rPr>
        <w:t xml:space="preserve">This is fixable. All required data sources are free and open. The engineering patterns are documented above. The 30-day P0 roadmap, executed with full focus, transforms this from a demonstration platform into a commercially viable product for the mid-market CTI analyst segment. Execute it. Everything else follows.</w:t>
      </w:r>
    </w:p>
    <w:p>
      <w:pPr>
        <w:spacing w:after="40" w:before="40"/>
      </w:pPr>
      <w:r>
        <w:t xml:space="preserve"/>
      </w:r>
    </w:p>
    <w:p>
      <w:pPr>
        <w:spacing w:after="40" w:before="40"/>
      </w:pPr>
      <w:r>
        <w:t xml:space="preserve"/>
      </w:r>
    </w:p>
    <w:p>
      <w:pPr>
        <w:pStyle w:val="Heading2"/>
        <w:spacing w:after="160" w:before="280"/>
      </w:pPr>
      <w:r>
        <w:rPr>
          <w:rFonts w:ascii="Arial" w:cs="Arial" w:eastAsia="Arial" w:hAnsi="Arial"/>
          <w:b/>
          <w:bCs/>
          <w:color w:val="2E75B6"/>
          <w:sz w:val="28"/>
          <w:szCs w:val="28"/>
        </w:rPr>
        <w:t xml:space="preserve">30-Day Transformation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Today (v167.2)</w:t>
            </w:r>
          </w:p>
        </w:tc>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Day 30 Target</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Named threat actor profiles in platform</w:t>
            </w:r>
          </w:p>
        </w:tc>
        <w:tc>
          <w:tcPr>
            <w:tcW w:type="dxa" w:w="25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0 (UNC-CDB only)</w:t>
            </w:r>
          </w:p>
        </w:tc>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50 (ATT&amp;CK + Malpedia)</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Real campaign records</w:t>
            </w:r>
          </w:p>
        </w:tc>
        <w:tc>
          <w:tcPr>
            <w:tcW w:type="dxa" w:w="25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0 (synthetic names only)</w:t>
            </w:r>
          </w:p>
        </w:tc>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30 (ATT&amp;CK Campaigns)</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IOCs per day with real attribution</w:t>
            </w:r>
          </w:p>
        </w:tc>
        <w:tc>
          <w:tcPr>
            <w:tcW w:type="dxa" w:w="25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~0.1 (3 total)</w:t>
            </w:r>
          </w:p>
        </w:tc>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50+</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CVSS coverage on CVE advisories</w:t>
            </w:r>
          </w:p>
        </w:tc>
        <w:tc>
          <w:tcPr>
            <w:tcW w:type="dxa" w:w="25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~12%</w:t>
            </w:r>
          </w:p>
        </w:tc>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100%</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KEV status accuracy</w:t>
            </w:r>
          </w:p>
        </w:tc>
        <w:tc>
          <w:tcPr>
            <w:tcW w:type="dxa" w:w="25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~60% (Palo Alto error found)</w:t>
            </w:r>
          </w:p>
        </w:tc>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100%</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Detection rules with behavioral logic</w:t>
            </w:r>
          </w:p>
        </w:tc>
        <w:tc>
          <w:tcPr>
            <w:tcW w:type="dxa" w:w="25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0% (all CVE-string matching)</w:t>
            </w:r>
          </w:p>
        </w:tc>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80%+</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Payment processing live</w:t>
            </w:r>
          </w:p>
        </w:tc>
        <w:tc>
          <w:tcPr>
            <w:tcW w:type="dxa" w:w="25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No</w:t>
            </w:r>
          </w:p>
        </w:tc>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Yes (Stripe self-serve)</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SIEM webhook push functional</w:t>
            </w:r>
          </w:p>
        </w:tc>
        <w:tc>
          <w:tcPr>
            <w:tcW w:type="dxa" w:w="25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No (listed only)</w:t>
            </w:r>
          </w:p>
        </w:tc>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Yes (Splunk + Sentinel)</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Free trial self-activation flow</w:t>
            </w:r>
          </w:p>
        </w:tc>
        <w:tc>
          <w:tcPr>
            <w:tcW w:type="dxa" w:w="25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No</w:t>
            </w:r>
          </w:p>
        </w:tc>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Yes (7-day Pro)</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First paying Pro subscribers</w:t>
            </w:r>
          </w:p>
        </w:tc>
        <w:tc>
          <w:tcPr>
            <w:tcW w:type="dxa" w:w="25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0</w:t>
            </w:r>
          </w:p>
        </w:tc>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10+</w:t>
            </w:r>
          </w:p>
        </w:tc>
      </w:tr>
    </w:tbl>
    <w:p>
      <w:pPr>
        <w:spacing w:after="40" w:before="40"/>
      </w:pPr>
      <w:r>
        <w:t xml:space="preserve"/>
      </w:r>
    </w:p>
    <w:p>
      <w:pPr>
        <w:spacing w:after="40" w:before="40"/>
      </w:pPr>
      <w:r>
        <w:t xml:space="preserve"/>
      </w:r>
    </w:p>
    <w:p>
      <w:pPr>
        <w:pStyle w:val="Heading2"/>
        <w:spacing w:after="160" w:before="280"/>
      </w:pPr>
      <w:r>
        <w:rPr>
          <w:rFonts w:ascii="Arial" w:cs="Arial" w:eastAsia="Arial" w:hAnsi="Arial"/>
          <w:b/>
          <w:bCs/>
          <w:color w:val="2E75B6"/>
          <w:sz w:val="28"/>
          <w:szCs w:val="28"/>
        </w:rPr>
        <w:t xml:space="preserve">Closing Statement</w:t>
      </w:r>
    </w:p>
    <w:p>
      <w:pPr>
        <w:spacing w:after="80" w:before="80"/>
      </w:pPr>
      <w:r>
        <w:rPr>
          <w:rFonts w:ascii="Arial" w:cs="Arial" w:eastAsia="Arial" w:hAnsi="Arial"/>
          <w:sz w:val="22"/>
          <w:szCs w:val="22"/>
        </w:rPr>
        <w:t xml:space="preserve">We are competing in the hardest segment of cybersecurity — enterprise threat intelligence — against companies with hundreds of analysts, years of telemetry, and $50M+ in funding. The path is not to be Recorded Future in Year 1. The path is to be the best CTI platform for the mid-market analyst in India and ASEAN who cannot afford $100K/year for Recorded Future. That buyer exists, they are underserved, and SENTINEL APEX can serve them. Execute the P0 roadmap. Ship Stripe. Get the first $49/month subscriber. Then iterate.</w:t>
      </w:r>
    </w:p>
    <w:p>
      <w:pPr>
        <w:spacing w:after="40" w:before="40"/>
      </w:pPr>
      <w:r>
        <w:t xml:space="preserve"/>
      </w:r>
    </w:p>
    <w:p>
      <w:pPr>
        <w:spacing w:after="40" w:before="40"/>
      </w:pPr>
      <w:r>
        <w:t xml:space="preserve"/>
      </w:r>
    </w:p>
    <w:p>
      <w:pPr>
        <w:spacing w:after="40" w:before="40"/>
      </w:pPr>
      <w:r>
        <w:t xml:space="preserve"/>
      </w:r>
    </w:p>
    <w:p>
      <w:pPr>
        <w:pBdr>
          <w:top w:val="single" w:color="1F3864" w:sz="4" w:space="4"/>
        </w:pBdr>
        <w:spacing w:before="200"/>
        <w:jc w:val="center"/>
      </w:pPr>
      <w:r>
        <w:rPr>
          <w:rFonts w:ascii="Arial" w:cs="Arial" w:eastAsia="Arial" w:hAnsi="Arial"/>
          <w:i/>
          <w:iCs/>
          <w:color w:val="808080"/>
          <w:sz w:val="17"/>
          <w:szCs w:val="17"/>
        </w:rPr>
        <w:t xml:space="preserve">CYBERDUDEBIVASH® SENTINEL APEX — Executive Forensic Audit | v167.2 | June 2, 2026 | CONFIDENTIAL</w:t>
      </w:r>
    </w:p>
    <w:p>
      <w:pPr>
        <w:jc w:val="center"/>
      </w:pPr>
      <w:r>
        <w:rPr>
          <w:rFonts w:ascii="Arial" w:cs="Arial" w:eastAsia="Arial" w:hAnsi="Arial"/>
          <w:color w:val="808080"/>
          <w:sz w:val="16"/>
          <w:szCs w:val="16"/>
        </w:rPr>
        <w:t xml:space="preserve">© 2026 CyberDudeBivash Pvt. Ltd. · intel.cyberdudebivash.com · GSTIN: 21ARKPN8270G1ZP · Odisha, India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tabs>
        <w:tab w:val="right" w:pos="9360"/>
      </w:tabs>
    </w:pPr>
    <w:r>
      <w:rPr>
        <w:rFonts w:ascii="Arial" w:cs="Arial" w:eastAsia="Arial" w:hAnsi="Arial"/>
        <w:color w:val="808080"/>
        <w:sz w:val="16"/>
        <w:szCs w:val="16"/>
      </w:rPr>
      <w:t xml:space="preserve">© 2026 CyberDudeBivash Pvt. Ltd.</w:t>
    </w:r>
    <w:r>
      <w:rPr>
        <w:sz w:val="16"/>
        <w:szCs w:val="16"/>
      </w:rPr>
      <w:t xml:space="preserve">	</w:t>
    </w: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tabs>
        <w:tab w:val="right" w:pos="9360"/>
      </w:tabs>
    </w:pPr>
    <w:r>
      <w:rPr>
        <w:rFonts w:ascii="Arial" w:cs="Arial" w:eastAsia="Arial" w:hAnsi="Arial"/>
        <w:color w:val="808080"/>
        <w:sz w:val="16"/>
        <w:szCs w:val="16"/>
      </w:rPr>
      <w:t xml:space="preserve">CYBERDUDEBIVASH® SENTINEL APEX — Executive Forensic Audit v167.2</w:t>
    </w:r>
    <w:r>
      <w:rPr>
        <w:sz w:val="16"/>
        <w:szCs w:val="16"/>
      </w:rPr>
      <w:t xml:space="preserve">	</w:t>
    </w:r>
    <w:r>
      <w:rPr>
        <w:rFonts w:ascii="Arial" w:cs="Arial" w:eastAsia="Arial" w:hAnsi="Arial"/>
        <w:b/>
        <w:bCs/>
        <w:color w:val="C0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2026-06-02T10:18:37.651Z</dcterms:created>
  <dcterms:modified xsi:type="dcterms:W3CDTF">2026-06-02T10:18:37.652Z</dcterms:modified>
</cp:coreProperties>
</file>

<file path=docProps/custom.xml><?xml version="1.0" encoding="utf-8"?>
<Properties xmlns="http://schemas.openxmlformats.org/officeDocument/2006/custom-properties" xmlns:vt="http://schemas.openxmlformats.org/officeDocument/2006/docPropsVTypes"/>
</file>