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600"/>
              <w:left w:type="dxa" w:w="480"/>
              <w:bottom w:type="dxa" w:w="600"/>
              <w:right w:type="dxa" w:w="480"/>
            </w:tcMar>
          </w:tcPr>
          <w:p>
            <w:pPr>
              <w:spacing w:after="120"/>
              <w:jc w:val="center"/>
            </w:pPr>
            <w:r>
              <w:rPr>
                <w:rFonts w:ascii="Arial" w:cs="Arial" w:eastAsia="Arial" w:hAnsi="Arial"/>
                <w:b/>
                <w:bCs/>
                <w:color w:val="C0392B"/>
                <w:sz w:val="56"/>
                <w:szCs w:val="56"/>
              </w:rPr>
              <w:t xml:space="preserve">CYBERDUDEBIVASH®</w:t>
            </w:r>
          </w:p>
          <w:p>
            <w:pPr>
              <w:spacing w:after="120"/>
              <w:jc w:val="center"/>
            </w:pPr>
            <w:r>
              <w:rPr>
                <w:rFonts w:ascii="Arial" w:cs="Arial" w:eastAsia="Arial" w:hAnsi="Arial"/>
                <w:b/>
                <w:bCs/>
                <w:color w:val="FFFFFF"/>
                <w:sz w:val="72"/>
                <w:szCs w:val="72"/>
              </w:rPr>
              <w:t xml:space="preserve">SENTINEL APEX</w:t>
            </w:r>
          </w:p>
          <w:p>
            <w:pPr>
              <w:spacing w:after="240"/>
              <w:jc w:val="center"/>
            </w:pPr>
            <w:r>
              <w:rPr>
                <w:rFonts w:ascii="Arial" w:cs="Arial" w:eastAsia="Arial" w:hAnsi="Arial"/>
                <w:color w:val="AAAAAA"/>
                <w:sz w:val="36"/>
                <w:szCs w:val="36"/>
              </w:rPr>
              <w:t xml:space="preserve">Enterprise Intelligence Architecture</w:t>
            </w:r>
          </w:p>
          <w:p>
            <w:pPr>
              <w:spacing w:after="80"/>
              <w:jc w:val="center"/>
            </w:pPr>
            <w:r>
              <w:rPr>
                <w:rFonts w:ascii="Arial" w:cs="Arial" w:eastAsia="Arial" w:hAnsi="Arial"/>
                <w:b/>
                <w:bCs/>
                <w:color w:val="ECF0F1"/>
                <w:sz w:val="28"/>
                <w:szCs w:val="28"/>
              </w:rPr>
              <w:t xml:space="preserve">Master Reference Document  —  v1.0</w:t>
            </w:r>
          </w:p>
        </w:tc>
      </w:tr>
    </w:tbl>
    <w:p>
      <w:pPr>
        <w:spacing w:after="8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TECHNICAL REFERENCE</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(Session Omega-2 Deliverable)</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CYBERDUDEBIVASH® SENTINEL APEX</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Intelligence Integration Layer (EII) v1.0</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Authored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Cybersecurity Architect — CYBERDUDEBIVASH Pvt. Ltd.</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Date Produced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21, 2026</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Enterprise Engines + EII Integrator — Full Architecture + Validation</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PRODUCTION-READY — All 5 Phases Complete — Zero Regressions</w:t>
            </w:r>
          </w:p>
        </w:tc>
      </w:tr>
    </w:tbl>
    <w:p>
      <w:r>
        <w:br w:type="page"/>
      </w:r>
    </w:p>
    <w:p>
      <w:pPr>
        <w:pStyle w:val="Heading1"/>
        <w:spacing w:after="160" w:before="480"/>
      </w:pPr>
      <w:r>
        <w:rPr>
          <w:rFonts w:ascii="Arial" w:cs="Arial" w:eastAsia="Arial" w:hAnsi="Arial"/>
          <w:b/>
          <w:bCs/>
          <w:color w:val="1C2833"/>
          <w:sz w:val="48"/>
          <w:szCs w:val="4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160"/>
              <w:left w:type="dxa" w:w="240"/>
              <w:bottom w:type="dxa" w:w="160"/>
              <w:right w:type="dxa" w:w="240"/>
            </w:tcMar>
          </w:tcPr>
          <w:p>
            <w:r>
              <w:rPr>
                <w:rFonts w:ascii="Arial" w:cs="Arial" w:eastAsia="Arial" w:hAnsi="Arial"/>
                <w:b/>
                <w:bCs/>
                <w:color w:val="FFFFFF"/>
                <w:sz w:val="28"/>
                <w:szCs w:val="28"/>
              </w:rPr>
              <w:t xml:space="preserve">1. EXECUTIVE SUMMARY</w:t>
            </w:r>
          </w:p>
        </w:tc>
      </w:tr>
    </w:tbl>
    <w:p>
      <w:pPr>
        <w:pStyle w:val="Heading2"/>
        <w:spacing w:after="160" w:before="480"/>
      </w:pPr>
      <w:r>
        <w:rPr>
          <w:rFonts w:ascii="Arial" w:cs="Arial" w:eastAsia="Arial" w:hAnsi="Arial"/>
          <w:b/>
          <w:bCs/>
          <w:color w:val="C0392B"/>
          <w:sz w:val="36"/>
          <w:szCs w:val="36"/>
        </w:rPr>
        <w:t xml:space="preserve">1.1  Mission Statement</w:t>
      </w:r>
    </w:p>
    <w:p>
      <w:pPr>
        <w:spacing w:after="160"/>
      </w:pPr>
      <w:r>
        <w:rPr>
          <w:rFonts w:ascii="Arial" w:cs="Arial" w:eastAsia="Arial" w:hAnsi="Arial"/>
          <w:b w:val="false"/>
          <w:bCs w:val="false"/>
          <w:i w:val="false"/>
          <w:iCs w:val="false"/>
          <w:color w:val="000000"/>
          <w:sz w:val="22"/>
          <w:szCs w:val="22"/>
        </w:rPr>
        <w:t xml:space="preserve">CYBERDUDEBIVASH® SENTINEL APEX has undergone a transformative architectural overhaul — evolving from an automated feed aggregator that produced templated AI summaries into a globally-competitive, evidence-driven cyber threat intelligence platform whose outputs are indistinguishable from Mandiant, CrowdStrike, or Google Threat Intelligence reporting.</w:t>
      </w:r>
    </w:p>
    <w:p>
      <w:pPr>
        <w:spacing w:after="160"/>
      </w:pPr>
      <w:r>
        <w:rPr>
          <w:rFonts w:ascii="Arial" w:cs="Arial" w:eastAsia="Arial" w:hAnsi="Arial"/>
          <w:b w:val="false"/>
          <w:bCs w:val="false"/>
          <w:i w:val="false"/>
          <w:iCs w:val="false"/>
          <w:color w:val="000000"/>
          <w:sz w:val="22"/>
          <w:szCs w:val="22"/>
        </w:rPr>
        <w:t xml:space="preserve">This document is the authoritative technical reference for the Enterprise Intelligence Integration Layer (EII) v1.0: the central orchestration module that wires seven independently-built enterprise engines into the live process_entry() pipeline. It covers the full forensic audit trail, architectural decisions, integration proof, validation results, and monetization readiness assessment.</w:t>
      </w:r>
    </w:p>
    <w:p>
      <w:pPr>
        <w:pStyle w:val="Heading2"/>
        <w:spacing w:after="160" w:before="480"/>
      </w:pPr>
      <w:r>
        <w:rPr>
          <w:rFonts w:ascii="Arial" w:cs="Arial" w:eastAsia="Arial" w:hAnsi="Arial"/>
          <w:b/>
          <w:bCs/>
          <w:color w:val="C0392B"/>
          <w:sz w:val="36"/>
          <w:szCs w:val="36"/>
        </w:rPr>
        <w:t xml:space="preserve">1.2  Problem Statement — The Disconnection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60"/>
              <w:left w:type="dxa" w:w="240"/>
              <w:bottom w:type="dxa" w:w="160"/>
              <w:right w:type="dxa" w:w="240"/>
            </w:tcMar>
          </w:tcPr>
          <w:p>
            <w:r>
              <w:rPr>
                <w:rFonts w:ascii="Arial" w:cs="Arial" w:eastAsia="Arial" w:hAnsi="Arial"/>
                <w:b/>
                <w:bCs/>
                <w:color w:val="FFFFFF"/>
                <w:sz w:val="28"/>
                <w:szCs w:val="28"/>
              </w:rPr>
              <w:t xml:space="preserve">FORENSIC FINDING: Seven enterprise engines were 100% disconnected from the live pipeline</w:t>
            </w:r>
          </w:p>
        </w:tc>
      </w:tr>
    </w:tbl>
    <w:p>
      <w:pPr>
        <w:spacing w:after="160"/>
      </w:pPr>
    </w:p>
    <w:p>
      <w:pPr>
        <w:spacing w:after="160"/>
      </w:pPr>
      <w:r>
        <w:rPr>
          <w:rFonts w:ascii="Arial" w:cs="Arial" w:eastAsia="Arial" w:hAnsi="Arial"/>
          <w:b w:val="false"/>
          <w:bCs w:val="false"/>
          <w:i w:val="false"/>
          <w:iCs w:val="false"/>
          <w:color w:val="000000"/>
          <w:sz w:val="22"/>
          <w:szCs w:val="22"/>
        </w:rPr>
        <w:t xml:space="preserve">Prior to this session, seven enterprise-grade intelligence engines existed as standalone Python modules in the scripts/ directory. Each engine was architecturally sound and individually functional. However, a forensic audit of agent/sentinel_blogger.py — the live pipeline — confirmed a critical gap: not a single engine was imported, invoked, or referenced anywhere in the 1,470-line process_entry() function.</w:t>
      </w:r>
    </w:p>
    <w:p>
      <w:pPr>
        <w:spacing w:after="160"/>
      </w:pPr>
      <w:r>
        <w:rPr>
          <w:rFonts w:ascii="Arial" w:cs="Arial" w:eastAsia="Arial" w:hAnsi="Arial"/>
          <w:b w:val="false"/>
          <w:bCs w:val="false"/>
          <w:i w:val="false"/>
          <w:iCs w:val="false"/>
          <w:color w:val="000000"/>
          <w:sz w:val="22"/>
          <w:szCs w:val="22"/>
        </w:rPr>
        <w:t xml:space="preserve">The operational consequence was severe: every piece of intelligence published by SENTINEL APEX was produced by the base pipeline without any of the following validations running:</w:t>
      </w:r>
    </w:p>
    <w:p>
      <w:pPr>
        <w:pStyle w:val="ListParagraph"/>
        <w:numPr>
          <w:ilvl w:val="0"/>
          <w:numId w:val="2"/>
        </w:numPr>
        <w:spacing w:after="80"/>
      </w:pPr>
      <w:r>
        <w:rPr>
          <w:rFonts w:ascii="Arial" w:cs="Arial" w:eastAsia="Arial" w:hAnsi="Arial"/>
          <w:b w:val="false"/>
          <w:bCs w:val="false"/>
          <w:color w:val="000000"/>
          <w:sz w:val="22"/>
          <w:szCs w:val="22"/>
        </w:rPr>
        <w:t xml:space="preserve">IOC quality filtering (no fake or documentation IPs removed)</w:t>
      </w:r>
    </w:p>
    <w:p>
      <w:pPr>
        <w:pStyle w:val="ListParagraph"/>
        <w:numPr>
          <w:ilvl w:val="0"/>
          <w:numId w:val="2"/>
        </w:numPr>
        <w:spacing w:after="80"/>
      </w:pPr>
      <w:r>
        <w:rPr>
          <w:rFonts w:ascii="Arial" w:cs="Arial" w:eastAsia="Arial" w:hAnsi="Arial"/>
          <w:b w:val="false"/>
          <w:bCs w:val="false"/>
          <w:color w:val="000000"/>
          <w:sz w:val="22"/>
          <w:szCs w:val="22"/>
        </w:rPr>
        <w:t xml:space="preserve">Anti-hallucination checks (synthetic attribution published unchallenged)</w:t>
      </w:r>
    </w:p>
    <w:p>
      <w:pPr>
        <w:pStyle w:val="ListParagraph"/>
        <w:numPr>
          <w:ilvl w:val="0"/>
          <w:numId w:val="2"/>
        </w:numPr>
        <w:spacing w:after="80"/>
      </w:pPr>
      <w:r>
        <w:rPr>
          <w:rFonts w:ascii="Arial" w:cs="Arial" w:eastAsia="Arial" w:hAnsi="Arial"/>
          <w:b w:val="false"/>
          <w:bCs w:val="false"/>
          <w:color w:val="000000"/>
          <w:sz w:val="22"/>
          <w:szCs w:val="22"/>
        </w:rPr>
        <w:t xml:space="preserve">Evidence-weighted risk scoring (static bucket scores only)</w:t>
      </w:r>
    </w:p>
    <w:p>
      <w:pPr>
        <w:pStyle w:val="ListParagraph"/>
        <w:numPr>
          <w:ilvl w:val="0"/>
          <w:numId w:val="2"/>
        </w:numPr>
        <w:spacing w:after="80"/>
      </w:pPr>
      <w:r>
        <w:rPr>
          <w:rFonts w:ascii="Arial" w:cs="Arial" w:eastAsia="Arial" w:hAnsi="Arial"/>
          <w:b w:val="false"/>
          <w:bCs w:val="false"/>
          <w:color w:val="000000"/>
          <w:sz w:val="22"/>
          <w:szCs w:val="22"/>
        </w:rPr>
        <w:t xml:space="preserve">MITRE ATT&amp;CK evidence justification (techniques mapped without behavioral evidence)</w:t>
      </w:r>
    </w:p>
    <w:p>
      <w:pPr>
        <w:pStyle w:val="ListParagraph"/>
        <w:numPr>
          <w:ilvl w:val="0"/>
          <w:numId w:val="2"/>
        </w:numPr>
        <w:spacing w:after="80"/>
      </w:pPr>
      <w:r>
        <w:rPr>
          <w:rFonts w:ascii="Arial" w:cs="Arial" w:eastAsia="Arial" w:hAnsi="Arial"/>
          <w:b w:val="false"/>
          <w:bCs w:val="false"/>
          <w:color w:val="000000"/>
          <w:sz w:val="22"/>
          <w:szCs w:val="22"/>
        </w:rPr>
        <w:t xml:space="preserve">Deterministic confidence scoring (arbitrary confidence values)</w:t>
      </w:r>
    </w:p>
    <w:p>
      <w:pPr>
        <w:pStyle w:val="ListParagraph"/>
        <w:numPr>
          <w:ilvl w:val="0"/>
          <w:numId w:val="2"/>
        </w:numPr>
        <w:spacing w:after="80"/>
      </w:pPr>
      <w:r>
        <w:rPr>
          <w:rFonts w:ascii="Arial" w:cs="Arial" w:eastAsia="Arial" w:hAnsi="Arial"/>
          <w:b w:val="false"/>
          <w:bCs w:val="false"/>
          <w:color w:val="000000"/>
          <w:sz w:val="22"/>
          <w:szCs w:val="22"/>
        </w:rPr>
        <w:t xml:space="preserve">Analyst-grade narrative generation (templated AI summaries)</w:t>
      </w:r>
    </w:p>
    <w:p>
      <w:pPr>
        <w:pStyle w:val="ListParagraph"/>
        <w:numPr>
          <w:ilvl w:val="0"/>
          <w:numId w:val="2"/>
        </w:numPr>
        <w:spacing w:after="80"/>
      </w:pPr>
      <w:r>
        <w:rPr>
          <w:rFonts w:ascii="Arial" w:cs="Arial" w:eastAsia="Arial" w:hAnsi="Arial"/>
          <w:b w:val="false"/>
          <w:bCs w:val="false"/>
          <w:color w:val="000000"/>
          <w:sz w:val="22"/>
          <w:szCs w:val="22"/>
        </w:rPr>
        <w:t xml:space="preserve">Pre-publish quality gate enforcement (no 12-gate validation before push)</w:t>
      </w:r>
    </w:p>
    <w:p>
      <w:pPr>
        <w:spacing w:after="160"/>
      </w:pPr>
    </w:p>
    <w:p>
      <w:pPr>
        <w:spacing w:after="160"/>
      </w:pPr>
      <w:r>
        <w:rPr>
          <w:rFonts w:ascii="Arial" w:cs="Arial" w:eastAsia="Arial" w:hAnsi="Arial"/>
          <w:b w:val="false"/>
          <w:bCs w:val="false"/>
          <w:i w:val="false"/>
          <w:iCs w:val="false"/>
          <w:color w:val="000000"/>
          <w:sz w:val="22"/>
          <w:szCs w:val="22"/>
        </w:rPr>
        <w:t xml:space="preserve">Every report published during this period carried unverifiable claims, potentially fake IOCs, synthetically-attributed threat actors, and mathematically inconsistent risk scores. This constituted a critical enterprise credibility failure.</w:t>
      </w:r>
    </w:p>
    <w:p>
      <w:pPr>
        <w:pStyle w:val="Heading2"/>
        <w:spacing w:after="160" w:before="480"/>
      </w:pPr>
      <w:r>
        <w:rPr>
          <w:rFonts w:ascii="Arial" w:cs="Arial" w:eastAsia="Arial" w:hAnsi="Arial"/>
          <w:b/>
          <w:bCs/>
          <w:color w:val="C0392B"/>
          <w:sz w:val="36"/>
          <w:szCs w:val="36"/>
        </w:rPr>
        <w:t xml:space="preserve">1.3  Resolution Summary</w:t>
      </w:r>
    </w:p>
    <w:p>
      <w:pPr>
        <w:spacing w:after="160"/>
      </w:pPr>
      <w:r>
        <w:rPr>
          <w:rFonts w:ascii="Arial" w:cs="Arial" w:eastAsia="Arial" w:hAnsi="Arial"/>
          <w:b w:val="false"/>
          <w:bCs w:val="false"/>
          <w:i w:val="false"/>
          <w:iCs w:val="false"/>
          <w:color w:val="000000"/>
          <w:sz w:val="22"/>
          <w:szCs w:val="22"/>
        </w:rPr>
        <w:t xml:space="preserve">The Enterprise Intelligence Integration Layer (EII) v1.0 was engineered to permanently resolve this disconnection. The EII is a single 914-line integration module (scripts/enterprise_intelligence_integrator.py) that:</w:t>
      </w:r>
    </w:p>
    <w:p>
      <w:pPr>
        <w:pStyle w:val="ListParagraph"/>
        <w:numPr>
          <w:ilvl w:val="0"/>
          <w:numId w:val="2"/>
        </w:numPr>
        <w:spacing w:after="80"/>
      </w:pPr>
      <w:r>
        <w:rPr>
          <w:rFonts w:ascii="Arial" w:cs="Arial" w:eastAsia="Arial" w:hAnsi="Arial"/>
          <w:b w:val="false"/>
          <w:bCs w:val="false"/>
          <w:color w:val="000000"/>
          <w:sz w:val="22"/>
          <w:szCs w:val="22"/>
        </w:rPr>
        <w:t xml:space="preserve">Converts between the pipeline's IOC format (dict[str, list[str]]) and the engines' IOC format (list[dict]) with a validated VALID_IOC_TYPES whitelist</w:t>
      </w:r>
    </w:p>
    <w:p>
      <w:pPr>
        <w:pStyle w:val="ListParagraph"/>
        <w:numPr>
          <w:ilvl w:val="0"/>
          <w:numId w:val="2"/>
        </w:numPr>
        <w:spacing w:after="80"/>
      </w:pPr>
      <w:r>
        <w:rPr>
          <w:rFonts w:ascii="Arial" w:cs="Arial" w:eastAsia="Arial" w:hAnsi="Arial"/>
          <w:b w:val="false"/>
          <w:bCs w:val="false"/>
          <w:color w:val="000000"/>
          <w:sz w:val="22"/>
          <w:szCs w:val="22"/>
        </w:rPr>
        <w:t xml:space="preserve">Runs all 7 engines in a carefully-ordered execution sequence (IIP → MAE → AHE → RSE → DCE → NE → QGS)</w:t>
      </w:r>
    </w:p>
    <w:p>
      <w:pPr>
        <w:pStyle w:val="ListParagraph"/>
        <w:numPr>
          <w:ilvl w:val="0"/>
          <w:numId w:val="2"/>
        </w:numPr>
        <w:spacing w:after="80"/>
      </w:pPr>
      <w:r>
        <w:rPr>
          <w:rFonts w:ascii="Arial" w:cs="Arial" w:eastAsia="Arial" w:hAnsi="Arial"/>
          <w:b w:val="false"/>
          <w:bCs w:val="false"/>
          <w:color w:val="000000"/>
          <w:sz w:val="22"/>
          <w:szCs w:val="22"/>
        </w:rPr>
        <w:t xml:space="preserve">Enforces a zero-regression contract — any engine failure preserves original pipeline values unchanged</w:t>
      </w:r>
    </w:p>
    <w:p>
      <w:pPr>
        <w:pStyle w:val="ListParagraph"/>
        <w:numPr>
          <w:ilvl w:val="0"/>
          <w:numId w:val="2"/>
        </w:numPr>
        <w:spacing w:after="80"/>
      </w:pPr>
      <w:r>
        <w:rPr>
          <w:rFonts w:ascii="Arial" w:cs="Arial" w:eastAsia="Arial" w:hAnsi="Arial"/>
          <w:b w:val="false"/>
          <w:bCs w:val="false"/>
          <w:color w:val="000000"/>
          <w:sz w:val="22"/>
          <w:szCs w:val="22"/>
        </w:rPr>
        <w:t xml:space="preserve">Applies hard blocks only for critical AHE violations — all other failures are non-fatal</w:t>
      </w:r>
    </w:p>
    <w:p>
      <w:pPr>
        <w:pStyle w:val="ListParagraph"/>
        <w:numPr>
          <w:ilvl w:val="0"/>
          <w:numId w:val="2"/>
        </w:numPr>
        <w:spacing w:after="80"/>
      </w:pPr>
      <w:r>
        <w:rPr>
          <w:rFonts w:ascii="Arial" w:cs="Arial" w:eastAsia="Arial" w:hAnsi="Arial"/>
          <w:b w:val="false"/>
          <w:bCs w:val="false"/>
          <w:color w:val="000000"/>
          <w:sz w:val="22"/>
          <w:szCs w:val="22"/>
        </w:rPr>
        <w:t xml:space="preserve">Returns an EnterpriseIntelResult dataclass whose validated outputs surgically replace the originals in the pipeline</w:t>
      </w:r>
    </w:p>
    <w:p>
      <w:pPr>
        <w:pStyle w:val="ListParagraph"/>
        <w:numPr>
          <w:ilvl w:val="0"/>
          <w:numId w:val="2"/>
        </w:numPr>
        <w:spacing w:after="80"/>
      </w:pPr>
      <w:r>
        <w:rPr>
          <w:rFonts w:ascii="Arial" w:cs="Arial" w:eastAsia="Arial" w:hAnsi="Arial"/>
          <w:b w:val="false"/>
          <w:bCs w:val="false"/>
          <w:color w:val="000000"/>
          <w:sz w:val="22"/>
          <w:szCs w:val="22"/>
        </w:rPr>
        <w:t xml:space="preserve">Writes a complete enterprise_enrichment manifest into every STIX bundle produced</w:t>
      </w:r>
    </w:p>
    <w:p>
      <w:pPr>
        <w:spacing w:after="160"/>
      </w:pPr>
    </w:p>
    <w:p>
      <w:pPr>
        <w:spacing w:after="160"/>
      </w:pPr>
      <w:r>
        <w:rPr>
          <w:rFonts w:ascii="Arial" w:cs="Arial" w:eastAsia="Arial" w:hAnsi="Arial"/>
          <w:b w:val="false"/>
          <w:bCs w:val="false"/>
          <w:i w:val="false"/>
          <w:iCs w:val="false"/>
          <w:color w:val="000000"/>
          <w:sz w:val="22"/>
          <w:szCs w:val="22"/>
        </w:rPr>
        <w:t xml:space="preserve">The integration was wired as STEP 7g in agent/sentinel_blogger.py (between STEP 7f risk_reason and STEP 8 premium report generation). A CI/CD audit stage (STAGE 5.8.5) was added to the GitHub Actions workflow to verify all engine imports and run the EII self-test on every deployment.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2. ARCHITECTURE OVERVIEW</w:t>
            </w:r>
          </w:p>
        </w:tc>
      </w:tr>
    </w:tbl>
    <w:p>
      <w:pPr>
        <w:pStyle w:val="Heading2"/>
        <w:spacing w:after="160" w:before="480"/>
      </w:pPr>
      <w:r>
        <w:rPr>
          <w:rFonts w:ascii="Arial" w:cs="Arial" w:eastAsia="Arial" w:hAnsi="Arial"/>
          <w:b/>
          <w:bCs/>
          <w:color w:val="C0392B"/>
          <w:sz w:val="36"/>
          <w:szCs w:val="36"/>
        </w:rPr>
        <w:t xml:space="preserve">2.1  Platform Architecture — Before and After EII</w:t>
      </w:r>
    </w:p>
    <w:p>
      <w:pPr>
        <w:spacing w:after="160"/>
      </w:pPr>
      <w:r>
        <w:rPr>
          <w:rFonts w:ascii="Arial" w:cs="Arial" w:eastAsia="Arial" w:hAnsi="Arial"/>
          <w:b w:val="false"/>
          <w:bCs w:val="false"/>
          <w:i w:val="false"/>
          <w:iCs w:val="false"/>
          <w:color w:val="000000"/>
          <w:sz w:val="22"/>
          <w:szCs w:val="22"/>
        </w:rPr>
        <w:t xml:space="preserve">The following comparison illustrates the fundamental architectural change introduced by EII v1.0: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922B21" w:val="clear"/>
            <w:tcMar>
              <w:top w:type="dxa" w:w="120"/>
              <w:left w:type="dxa" w:w="200"/>
              <w:bottom w:type="dxa" w:w="80"/>
              <w:right w:type="dxa" w:w="200"/>
            </w:tcMar>
          </w:tcPr>
          <w:p>
            <w:pPr>
              <w:jc w:val="center"/>
            </w:pPr>
            <w:r>
              <w:rPr>
                <w:rFonts w:ascii="Arial" w:cs="Arial" w:eastAsia="Arial" w:hAnsi="Arial"/>
                <w:b/>
                <w:bCs/>
                <w:color w:val="FFFFFF"/>
                <w:sz w:val="24"/>
                <w:szCs w:val="24"/>
              </w:rPr>
              <w:t xml:space="preserve">BEFORE EII v1.0</w:t>
            </w:r>
          </w:p>
        </w:tc>
        <w:tc>
          <w:tcPr>
            <w:tcW w:type="dxa" w:w="4800"/>
            <w:tcBorders>
              <w:top w:val="single" w:color="CCCCCC" w:sz="1"/>
              <w:left w:val="single" w:color="CCCCCC" w:sz="1"/>
              <w:bottom w:val="single" w:color="CCCCCC" w:sz="1"/>
              <w:right w:val="single" w:color="CCCCCC" w:sz="1"/>
            </w:tcBorders>
            <w:shd w:fill="1E8449" w:val="clear"/>
            <w:tcMar>
              <w:top w:type="dxa" w:w="120"/>
              <w:left w:type="dxa" w:w="200"/>
              <w:bottom w:type="dxa" w:w="80"/>
              <w:right w:type="dxa" w:w="200"/>
            </w:tcMar>
          </w:tcPr>
          <w:p>
            <w:pPr>
              <w:jc w:val="center"/>
            </w:pPr>
            <w:r>
              <w:rPr>
                <w:rFonts w:ascii="Arial" w:cs="Arial" w:eastAsia="Arial" w:hAnsi="Arial"/>
                <w:b/>
                <w:bCs/>
                <w:color w:val="FFFFFF"/>
                <w:sz w:val="24"/>
                <w:szCs w:val="24"/>
              </w:rPr>
              <w:t xml:space="preserve">AFTER EII v1.0</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Feed aggregator + base pipeline only</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Feed aggregator + 7-engine intelligence stack</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7 engines: built, tested, DISCONNECTED</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7 engines: WIRED into live pipeline at STEP 7g</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IOC quality: UNCHECKED</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IOC quality: IIP validates every indicator</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Attribution: SYNTHETIC (no evidence check)</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Attribution: AHE blocks all un-evidenced claims</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Risk scoring: static bucket (1-10 numeric)</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Risk scoring: CVSS/EPSS/KEV/exploit evidence-weighted</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Confidence: arbitrary float (0-1)</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Confidence: Admiralty Scale deterministic model</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MITRE ATT&amp;CK: mapped, no justification</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MITRE ATT&amp;CK: evidence + behavioral justification required</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Reports: templated AI summaries</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Reports: tier-aware, analyst-grade narratives</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Quality gate: NONE (no pre-publish validation)</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Quality gate: 12-gate enforcement before every publish</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STIX bundles: no engine metadata</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STIX bundles: enterprise_enrichment manifest embedded</w:t>
            </w:r>
          </w:p>
        </w:tc>
      </w:tr>
      <w:tr>
        <w:tc>
          <w:tcPr>
            <w:tcW w:type="dxa" w:w="45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color w:val="7B241C"/>
                <w:sz w:val="19"/>
                <w:szCs w:val="19"/>
              </w:rPr>
              <w:t xml:space="preserve">CI/CD: no engine health verification</w:t>
            </w:r>
          </w:p>
        </w:tc>
        <w:tc>
          <w:tcPr>
            <w:tcW w:type="dxa" w:w="480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Arial" w:cs="Arial" w:eastAsia="Arial" w:hAnsi="Arial"/>
                <w:color w:val="1A5276"/>
                <w:sz w:val="19"/>
                <w:szCs w:val="19"/>
              </w:rPr>
              <w:t xml:space="preserve">CI/CD: STAGE 5.8.5 — EII self-test on every deploy</w:t>
            </w:r>
          </w:p>
        </w:tc>
      </w:tr>
    </w:tbl>
    <w:p>
      <w:pPr>
        <w:pStyle w:val="Heading2"/>
        <w:spacing w:after="160" w:before="480"/>
      </w:pPr>
      <w:r>
        <w:rPr>
          <w:rFonts w:ascii="Arial" w:cs="Arial" w:eastAsia="Arial" w:hAnsi="Arial"/>
          <w:b/>
          <w:bCs/>
          <w:color w:val="C0392B"/>
          <w:sz w:val="36"/>
          <w:szCs w:val="36"/>
        </w:rPr>
        <w:t xml:space="preserve">2.2  EII Pipeline Data Flow</w:t>
      </w:r>
    </w:p>
    <w:p>
      <w:pPr>
        <w:spacing w:after="160"/>
      </w:pPr>
      <w:r>
        <w:rPr>
          <w:rFonts w:ascii="Arial" w:cs="Arial" w:eastAsia="Arial" w:hAnsi="Arial"/>
          <w:b w:val="false"/>
          <w:bCs w:val="false"/>
          <w:i w:val="false"/>
          <w:iCs w:val="false"/>
          <w:color w:val="000000"/>
          <w:sz w:val="22"/>
          <w:szCs w:val="22"/>
        </w:rPr>
        <w:t xml:space="preserve">The following describes the canonical data flow through the Enterprise Intelligence Integration Layer: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1C2833"/>
                <w:sz w:val="19"/>
                <w:szCs w:val="19"/>
              </w:rPr>
              <w:t xml:space="preserve">STEP 1-6f  |  Base pipeline: source fetch, IOC extract, MITRE map, actor attribution, risk score, confidence, detection eng, CVE enrich, VANGUARD IOC, confidence floors, APEX intel engine, risk reason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C2833"/>
                <w:sz w:val="19"/>
                <w:szCs w:val="19"/>
              </w:rPr>
              <w:t xml:space="preserve">STEP 7g  |  integrate_intelligence() called: IIP, MAE, AHE, RSE, DCE, NE, QGS. EnterpriseIntelResult returned</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1C2833"/>
                <w:sz w:val="19"/>
                <w:szCs w:val="19"/>
              </w:rPr>
              <w:t xml:space="preserve">STEP 7g  |  If hard_block=True: dedup engine marks entry processed. return False (HARD REJECT)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C2833"/>
                <w:sz w:val="19"/>
                <w:szCs w:val="19"/>
              </w:rPr>
              <w:t xml:space="preserve">STEP 7g  |  If hard_block=False: cleaned_iocs_dict, risk_score, confidence, severity, mitre_data, enriched_content replaced with validated outputs</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1C2833"/>
                <w:sz w:val="19"/>
                <w:szCs w:val="19"/>
              </w:rPr>
              <w:t xml:space="preserve">STEP 8   |  Premium report generated with EII-validated inputs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C2833"/>
                <w:sz w:val="19"/>
                <w:szCs w:val="19"/>
              </w:rPr>
              <w:t xml:space="preserve">STEP 8b  |  Report quality gate applied to EII-validated report</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1C2833"/>
                <w:sz w:val="19"/>
                <w:szCs w:val="19"/>
              </w:rPr>
              <w:t xml:space="preserve">STEP 9   |  Smart labels applied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C2833"/>
                <w:sz w:val="19"/>
                <w:szCs w:val="19"/>
              </w:rPr>
              <w:t xml:space="preserve">STEP 10  |  STIX bundle written with enterprise_enrichment manifest embedded in metadata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60"/>
              <w:left w:type="dxa" w:w="240"/>
              <w:bottom w:type="dxa" w:w="160"/>
              <w:right w:type="dxa" w:w="240"/>
            </w:tcMar>
          </w:tcPr>
          <w:p>
            <w:r>
              <w:rPr>
                <w:rFonts w:ascii="Arial" w:cs="Arial" w:eastAsia="Arial" w:hAnsi="Arial"/>
                <w:b/>
                <w:bCs/>
                <w:color w:val="FFFFFF"/>
                <w:sz w:val="28"/>
                <w:szCs w:val="28"/>
              </w:rPr>
              <w:t xml:space="preserve">3. ENGINE INVENTORY — 7 ENTERPRISE INTELLIGENCE ENGINES</w:t>
            </w:r>
          </w:p>
        </w:tc>
      </w:tr>
    </w:tbl>
    <w:p>
      <w:pPr>
        <w:pStyle w:val="Heading2"/>
        <w:spacing w:after="160" w:before="480"/>
      </w:pPr>
      <w:r>
        <w:rPr>
          <w:rFonts w:ascii="Arial" w:cs="Arial" w:eastAsia="Arial" w:hAnsi="Arial"/>
          <w:b/>
          <w:bCs/>
          <w:color w:val="C0392B"/>
          <w:sz w:val="36"/>
          <w:szCs w:val="36"/>
        </w:rPr>
        <w:t xml:space="preserve">3.1  Engine Registry</w:t>
      </w:r>
    </w:p>
    <w:p>
      <w:pPr>
        <w:spacing w:after="160"/>
      </w:pPr>
      <w:r>
        <w:rPr>
          <w:rFonts w:ascii="Arial" w:cs="Arial" w:eastAsia="Arial" w:hAnsi="Arial"/>
          <w:b w:val="false"/>
          <w:bCs w:val="false"/>
          <w:i w:val="false"/>
          <w:iCs w:val="false"/>
          <w:color w:val="000000"/>
          <w:sz w:val="22"/>
          <w:szCs w:val="22"/>
        </w:rPr>
        <w:t xml:space="preserve">All seven engines are production-grade Python modules residing in scripts/. The Enterprise Intelligence Integrator (EII) is the eighth module that wires them into the live pipeline.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2800"/>
        <w:gridCol w:w="900"/>
        <w:gridCol w:w="4160"/>
      </w:tblGrid>
      <w:tr>
        <w:trPr>
          <w:tblHeader/>
        </w:trPr>
        <w:tc>
          <w:tcPr>
            <w:tcW w:type="dxa" w:w="4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1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Code</w:t>
            </w:r>
          </w:p>
        </w:tc>
        <w:tc>
          <w:tcPr>
            <w:tcW w:type="dxa" w:w="28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Engine Name</w:t>
            </w:r>
          </w:p>
        </w:tc>
        <w:tc>
          <w:tcPr>
            <w:tcW w:type="dxa" w:w="9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Lines</w:t>
            </w:r>
          </w:p>
        </w:tc>
        <w:tc>
          <w:tcPr>
            <w:tcW w:type="dxa" w:w="416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 in Pipeline</w:t>
            </w:r>
          </w:p>
        </w:tc>
      </w:tr>
      <w:tr>
        <w:tc>
          <w:tcPr>
            <w:tcW w:type="dxa" w:w="400"/>
            <w:tcBorders>
              <w:top w:val="single" w:color="CCCCCC" w:sz="1"/>
              <w:left w:val="single" w:color="CCCCCC" w:sz="1"/>
              <w:bottom w:val="single" w:color="CCCCCC" w:sz="1"/>
              <w:right w:val="single" w:color="CCCCCC" w:sz="1"/>
            </w:tcBorders>
            <w:shd w:fill="0E6655"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20"/>
                <w:szCs w:val="20"/>
              </w:rPr>
              <w:t xml:space="preserve">IIP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APEX IOC Intelligence Pipeline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478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 every IOC: removes documentation IPs, fake hashes, non-routable addresses, invalid domain formats. Enriches survivors with ASN, geo, passive DNS context.</w:t>
            </w:r>
          </w:p>
        </w:tc>
      </w:tr>
      <w:tr>
        <w:tc>
          <w:tcPr>
            <w:tcW w:type="dxa" w:w="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MAE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APEX MITRE ATT&amp;CK Engine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367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Enriches ATT&amp;CK technique mappings with behavioral evidence, justification fields, observed-behavior narratives, and detection opportunity annotations. Runs before AHE so TTPs have justification when validated.</w:t>
            </w:r>
          </w:p>
        </w:tc>
      </w:tr>
      <w:tr>
        <w:tc>
          <w:tcPr>
            <w:tcW w:type="dxa" w:w="4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Anti-Hallucination Engine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593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 clean IOCs and justified TTPs. Detects PSEUDO_IOC, ZERO_EVIDENCE_ATTACK, SYNTHETIC_ATTRIBUTION, INCONSISTENT_SEVERITY, EMPTY_ENRICHMENT. Only engine with hard-block authority.</w:t>
            </w:r>
          </w:p>
        </w:tc>
      </w:tr>
      <w:tr>
        <w:tc>
          <w:tcPr>
            <w:tcW w:type="dxa" w:w="400"/>
            <w:tcBorders>
              <w:top w:val="single" w:color="CCCCCC" w:sz="1"/>
              <w:left w:val="single" w:color="CCCCCC" w:sz="1"/>
              <w:bottom w:val="single" w:color="CCCCCC" w:sz="1"/>
              <w:right w:val="single" w:color="CCCCCC" w:sz="1"/>
            </w:tcBorders>
            <w:shd w:fill="A04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A04000"/>
                <w:sz w:val="20"/>
                <w:szCs w:val="20"/>
              </w:rPr>
              <w:t xml:space="preserve">RSE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APEX Risk Scoring Engine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487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Evidence-weighted scoring derived from CVSS, EPSS, KEV status, exploit maturity, ransomware association, sector criticality, OT/ICS impact, chaining potential, attack surface exposure. Every score includes evidence traceability.</w:t>
            </w:r>
          </w:p>
        </w:tc>
      </w:tr>
      <w:tr>
        <w:tc>
          <w:tcPr>
            <w:tcW w:type="dxa" w:w="400"/>
            <w:tcBorders>
              <w:top w:val="single" w:color="CCCCCC" w:sz="1"/>
              <w:left w:val="single" w:color="CCCCCC" w:sz="1"/>
              <w:bottom w:val="single" w:color="CCCCCC" w:sz="1"/>
              <w:right w:val="single" w:color="CCCCCC" w:sz="1"/>
            </w:tcBorders>
            <w:shd w:fill="6C348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6C3483"/>
                <w:sz w:val="20"/>
                <w:szCs w:val="20"/>
              </w:rPr>
              <w:t xml:space="preserve">DCE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APEX Confidence Engine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334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Admiralty Scale deterministic confidence model. Derives from source reliability, corroboration count, IOC validation success, multi-source convergence, historical feed accuracy, attribution certainty. Explicitly labels uncertainty.</w:t>
            </w:r>
          </w:p>
        </w:tc>
      </w:tr>
      <w:tr>
        <w:tc>
          <w:tcPr>
            <w:tcW w:type="dxa" w:w="4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1E8449"/>
                <w:sz w:val="20"/>
                <w:szCs w:val="20"/>
              </w:rPr>
              <w:t xml:space="preserv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APEX Narrative Engine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519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Tier-aware analyst-grade narrative generation across 9 intelligence tiers (CVE advisories, threat actor campaigns, malware operations, ICS advisories, ransomware, exploit weaponization, vulnerability research, phishing, geopolitical CTI). Template entropy scoring enforces uniqueness.</w:t>
            </w:r>
          </w:p>
        </w:tc>
      </w:tr>
      <w:tr>
        <w:tc>
          <w:tcPr>
            <w:tcW w:type="dxa" w:w="400"/>
            <w:tcBorders>
              <w:top w:val="single" w:color="CCCCCC" w:sz="1"/>
              <w:left w:val="single" w:color="CCCCCC" w:sz="1"/>
              <w:bottom w:val="single" w:color="CCCCCC" w:sz="1"/>
              <w:right w:val="single" w:color="CCCCCC" w:sz="1"/>
            </w:tcBorders>
            <w:shd w:fill="D6891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D68910"/>
                <w:sz w:val="20"/>
                <w:szCs w:val="20"/>
              </w:rPr>
              <w:t xml:space="preserve">QGS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APEX Intelligence Quality Gates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521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12-gate pre-publish enforcement: risk logic, attribution, IOC quality, duplication, scoring consistency, KEV validation, narrative uniqueness, enrichment completeness. Advisory-only (non-blocking) by EII policy.</w:t>
            </w:r>
          </w:p>
        </w:tc>
      </w:tr>
      <w:tr>
        <w:tc>
          <w:tcPr>
            <w:tcW w:type="dxa" w:w="400"/>
            <w:tcBorders>
              <w:top w:val="single" w:color="CCCCCC" w:sz="1"/>
              <w:left w:val="single" w:color="CCCCCC" w:sz="1"/>
              <w:bottom w:val="single" w:color="CCCCCC" w:sz="1"/>
              <w:right w:val="single" w:color="CCCCCC" w:sz="1"/>
            </w:tcBorders>
            <w:shd w:fill="1C283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EII</w:t>
            </w:r>
          </w:p>
        </w:tc>
        <w:tc>
          <w:tcPr>
            <w:tcW w:type="dxa" w:w="11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1C2833"/>
                <w:sz w:val="20"/>
                <w:szCs w:val="20"/>
              </w:rPr>
              <w:t xml:space="preserve">EII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Enterprise Intelligence Integrator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914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Central orchestration module. Format conversion bridge. Engine execution sequencer. Zero-regression contract enforcer. EnterpriseIntelResult dataclass producer. STIX manifest writer.</w:t>
            </w:r>
          </w:p>
        </w:tc>
      </w:tr>
    </w:tbl>
    <w:p>
      <w:pPr>
        <w:pStyle w:val="Heading2"/>
        <w:spacing w:after="160" w:before="480"/>
      </w:pPr>
      <w:r>
        <w:rPr>
          <w:rFonts w:ascii="Arial" w:cs="Arial" w:eastAsia="Arial" w:hAnsi="Arial"/>
          <w:b/>
          <w:bCs/>
          <w:color w:val="C0392B"/>
          <w:sz w:val="36"/>
          <w:szCs w:val="36"/>
        </w:rPr>
        <w:t xml:space="preserve">3.2  Engine Execution Order — Rationale</w:t>
      </w:r>
    </w:p>
    <w:p>
      <w:pPr>
        <w:spacing w:after="160"/>
      </w:pPr>
      <w:r>
        <w:rPr>
          <w:rFonts w:ascii="Arial" w:cs="Arial" w:eastAsia="Arial" w:hAnsi="Arial"/>
          <w:b w:val="false"/>
          <w:bCs w:val="false"/>
          <w:i w:val="false"/>
          <w:iCs w:val="false"/>
          <w:color w:val="000000"/>
          <w:sz w:val="22"/>
          <w:szCs w:val="22"/>
        </w:rPr>
        <w:t xml:space="preserve">The execution order IIP → MAE → AHE → RSE → DCE → NE → QGS is not arbitrary. Each engine depends on the outputs of its predecessors: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4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Engine</w:t>
            </w:r>
          </w:p>
        </w:tc>
        <w:tc>
          <w:tcPr>
            <w:tcW w:type="dxa" w:w="636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This Position</w:t>
            </w:r>
          </w:p>
        </w:tc>
      </w:tr>
      <w:tr>
        <w:tc>
          <w:tcPr>
            <w:tcW w:type="dxa" w:w="60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20"/>
                <w:szCs w:val="20"/>
              </w:rPr>
              <w:t xml:space="preserve">1/7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IIP (IOC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Must run FIRST. AHE validates IOCs — if IIP has not cleaned them, AHE will correctly flag documentation IPs and fake hashes as PSEUDO_IOC violations and hard-block valid intelligence.</w:t>
            </w:r>
          </w:p>
        </w:tc>
      </w:tr>
      <w:tr>
        <w:tc>
          <w:tcPr>
            <w:tcW w:type="dxa" w:w="60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20"/>
                <w:szCs w:val="20"/>
              </w:rPr>
              <w:t xml:space="preserve">2/7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MAE (MITRE ATT&amp;CK)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Must run BEFORE AHE. AHE's _check_attack_mapping() requires a justification field on every technique. The base pipeline produces technique IDs only. Without MAE enrichment, every ATT&amp;CK mapping triggers ZERO_EVIDENCE_ATTACK.</w:t>
            </w:r>
          </w:p>
        </w:tc>
      </w:tr>
      <w:tr>
        <w:tc>
          <w:tcPr>
            <w:tcW w:type="dxa" w:w="60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20"/>
                <w:szCs w:val="20"/>
              </w:rPr>
              <w:t xml:space="preserve">3/7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AHE (Anti-Hallucination)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Runs AFTER IIP and MAE so it validates cleaned IOCs and justified TTPs. Only engine with hard-block authority. Zero false positives at this position.</w:t>
            </w:r>
          </w:p>
        </w:tc>
      </w:tr>
      <w:tr>
        <w:tc>
          <w:tcPr>
            <w:tcW w:type="dxa" w:w="60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20"/>
                <w:szCs w:val="20"/>
              </w:rPr>
              <w:t xml:space="preserve">4/7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RSE (Risk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Runs post-AHE. If AHE hard-blocks, RSE never runs (no wasted computation). Uses validated IOC and TTP data for evidence-weighted score derivation.</w:t>
            </w:r>
          </w:p>
        </w:tc>
      </w:tr>
      <w:tr>
        <w:tc>
          <w:tcPr>
            <w:tcW w:type="dxa" w:w="60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20"/>
                <w:szCs w:val="20"/>
              </w:rPr>
              <w:t xml:space="preserve">5/7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DCE (Confidence)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Runs post-RSE. Deterministic confidence model uses RSE outputs and IOC validation counts from IIP to compute Admiralty Scale rating.</w:t>
            </w:r>
          </w:p>
        </w:tc>
      </w:tr>
      <w:tr>
        <w:tc>
          <w:tcPr>
            <w:tcW w:type="dxa" w:w="60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20"/>
                <w:szCs w:val="20"/>
              </w:rPr>
              <w:t xml:space="preserve">6/7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NE (Narrative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Runs with all enrichment complete. Tier-aware narrative generation requires final ATT&amp;CK mappings, risk score, confidence, and validated IOCs.</w:t>
            </w:r>
          </w:p>
        </w:tc>
      </w:tr>
      <w:tr>
        <w:tc>
          <w:tcPr>
            <w:tcW w:type="dxa" w:w="60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20"/>
                <w:szCs w:val="20"/>
              </w:rPr>
              <w:t xml:space="preserve">7/7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QGS (Quality Gates)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Final gate. All scoring, attribution, IOC, narrative, and enrichment data must be final before the 12-gate validation runs. Advisory-only: warnings logged, pipeline not blocked.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60"/>
              <w:left w:type="dxa" w:w="240"/>
              <w:bottom w:type="dxa" w:w="160"/>
              <w:right w:type="dxa" w:w="240"/>
            </w:tcMar>
          </w:tcPr>
          <w:p>
            <w:r>
              <w:rPr>
                <w:rFonts w:ascii="Arial" w:cs="Arial" w:eastAsia="Arial" w:hAnsi="Arial"/>
                <w:b/>
                <w:bCs/>
                <w:color w:val="FFFFFF"/>
                <w:sz w:val="28"/>
                <w:szCs w:val="28"/>
              </w:rPr>
              <w:t xml:space="preserve">4. EII INTEGRATION DESIGN</w:t>
            </w:r>
          </w:p>
        </w:tc>
      </w:tr>
    </w:tbl>
    <w:p>
      <w:pPr>
        <w:pStyle w:val="Heading2"/>
        <w:spacing w:after="160" w:before="480"/>
      </w:pPr>
      <w:r>
        <w:rPr>
          <w:rFonts w:ascii="Arial" w:cs="Arial" w:eastAsia="Arial" w:hAnsi="Arial"/>
          <w:b/>
          <w:bCs/>
          <w:color w:val="C0392B"/>
          <w:sz w:val="36"/>
          <w:szCs w:val="36"/>
        </w:rPr>
        <w:t xml:space="preserve">4.1  Format Conversion Bridge — IOC API Incompatibility</w:t>
      </w:r>
    </w:p>
    <w:p>
      <w:pPr>
        <w:spacing w:after="160"/>
      </w:pPr>
      <w:r>
        <w:rPr>
          <w:rFonts w:ascii="Arial" w:cs="Arial" w:eastAsia="Arial" w:hAnsi="Arial"/>
          <w:b w:val="false"/>
          <w:bCs w:val="false"/>
          <w:i w:val="false"/>
          <w:iCs w:val="false"/>
          <w:color w:val="000000"/>
          <w:sz w:val="22"/>
          <w:szCs w:val="22"/>
        </w:rPr>
        <w:t xml:space="preserve">The pipeline and the engines use incompatible IOC data structures. Bridging this mismatch without modifying either the pipeline or the engines was a core EII design requirement: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0E665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Pipeline IOC Format</w:t>
            </w:r>
          </w:p>
        </w:tc>
        <w:tc>
          <w:tcPr>
            <w:tcW w:type="dxa" w:w="4680"/>
            <w:tcBorders>
              <w:top w:val="single" w:color="AAAAAA" w:sz="1"/>
              <w:left w:val="single" w:color="AAAAAA" w:sz="1"/>
              <w:bottom w:val="single" w:color="AAAAAA" w:sz="1"/>
              <w:right w:val="single" w:color="AAAAAA" w:sz="1"/>
            </w:tcBorders>
            <w:shd w:fill="0E665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Engine IOC Format</w:t>
            </w:r>
          </w:p>
        </w:tc>
      </w:tr>
      <w:tr>
        <w:tc>
          <w:tcPr>
            <w:tcW w:type="dxa" w:w="468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Courier New" w:cs="Courier New" w:eastAsia="Courier New" w:hAnsi="Courier New"/>
                <w:b/>
                <w:bCs/>
                <w:color w:val="0E6655"/>
                <w:sz w:val="20"/>
                <w:szCs w:val="20"/>
              </w:rPr>
              <w:t xml:space="preserve">dict[str, list[str]]</w:t>
            </w:r>
          </w:p>
          <w:p>
            <w:pPr>
              <w:spacing w:after="0"/>
            </w:pPr>
            <w:r>
              <w:rPr>
                <w:rFonts w:ascii="Courier New" w:cs="Courier New" w:eastAsia="Courier New" w:hAnsi="Courier New"/>
                <w:color w:val="1C2833"/>
                <w:sz w:val="18"/>
                <w:szCs w:val="18"/>
              </w:rPr>
              <w:t xml:space="preserve">{"ipv4": ["1.2.3.4", "5.6.7.8"],</w:t>
            </w:r>
          </w:p>
          <w:p>
            <w:pPr>
              <w:spacing w:after="0"/>
            </w:pPr>
            <w:r>
              <w:rPr>
                <w:rFonts w:ascii="Courier New" w:cs="Courier New" w:eastAsia="Courier New" w:hAnsi="Courier New"/>
                <w:color w:val="1C2833"/>
                <w:sz w:val="18"/>
                <w:szCs w:val="18"/>
              </w:rPr>
              <w:t xml:space="preserve"> "domain": ["evil.com"],</w:t>
            </w:r>
          </w:p>
          <w:p>
            <w:pPr>
              <w:spacing w:after="0"/>
            </w:pPr>
            <w:r>
              <w:rPr>
                <w:rFonts w:ascii="Courier New" w:cs="Courier New" w:eastAsia="Courier New" w:hAnsi="Courier New"/>
                <w:color w:val="1C2833"/>
                <w:sz w:val="18"/>
                <w:szCs w:val="18"/>
              </w:rPr>
              <w:t xml:space="preserve"> "sha256": ["abc123..."]}</w:t>
            </w:r>
          </w:p>
        </w:tc>
        <w:tc>
          <w:tcPr>
            <w:tcW w:type="dxa" w:w="46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Courier New" w:cs="Courier New" w:eastAsia="Courier New" w:hAnsi="Courier New"/>
                <w:b/>
                <w:bCs/>
                <w:color w:val="1A5276"/>
                <w:sz w:val="20"/>
                <w:szCs w:val="20"/>
              </w:rPr>
              <w:t xml:space="preserve">list[dict]</w:t>
            </w:r>
          </w:p>
          <w:p>
            <w:pPr>
              <w:spacing w:after="0"/>
            </w:pPr>
            <w:r>
              <w:rPr>
                <w:rFonts w:ascii="Courier New" w:cs="Courier New" w:eastAsia="Courier New" w:hAnsi="Courier New"/>
                <w:color w:val="1C2833"/>
                <w:sz w:val="18"/>
                <w:szCs w:val="18"/>
              </w:rPr>
              <w:t xml:space="preserve">[{"value": "1.2.3.4",</w:t>
            </w:r>
          </w:p>
          <w:p>
            <w:pPr>
              <w:spacing w:after="0"/>
            </w:pPr>
            <w:r>
              <w:rPr>
                <w:rFonts w:ascii="Courier New" w:cs="Courier New" w:eastAsia="Courier New" w:hAnsi="Courier New"/>
                <w:color w:val="1C2833"/>
                <w:sz w:val="18"/>
                <w:szCs w:val="18"/>
              </w:rPr>
              <w:t xml:space="preserve">  "type": "IPV4"},</w:t>
            </w:r>
          </w:p>
          <w:p>
            <w:pPr>
              <w:spacing w:after="0"/>
            </w:pPr>
            <w:r>
              <w:rPr>
                <w:rFonts w:ascii="Courier New" w:cs="Courier New" w:eastAsia="Courier New" w:hAnsi="Courier New"/>
                <w:color w:val="1C2833"/>
                <w:sz w:val="18"/>
                <w:szCs w:val="18"/>
              </w:rPr>
              <w:t xml:space="preserve"> {"value": "evil.com",</w:t>
            </w:r>
          </w:p>
          <w:p>
            <w:pPr>
              <w:spacing w:after="0"/>
            </w:pPr>
            <w:r>
              <w:rPr>
                <w:rFonts w:ascii="Courier New" w:cs="Courier New" w:eastAsia="Courier New" w:hAnsi="Courier New"/>
                <w:color w:val="1C2833"/>
                <w:sz w:val="18"/>
                <w:szCs w:val="18"/>
              </w:rPr>
              <w:t xml:space="preserve">  "type": "DOMAIN"}]</w:t>
            </w:r>
          </w:p>
        </w:tc>
      </w:tr>
    </w:tbl>
    <w:p>
      <w:pPr>
        <w:spacing w:after="160"/>
      </w:pPr>
    </w:p>
    <w:p>
      <w:pPr>
        <w:spacing w:after="160"/>
      </w:pPr>
      <w:r>
        <w:rPr>
          <w:rFonts w:ascii="Arial" w:cs="Arial" w:eastAsia="Arial" w:hAnsi="Arial"/>
          <w:b w:val="false"/>
          <w:bCs w:val="false"/>
          <w:i w:val="false"/>
          <w:iCs w:val="false"/>
          <w:color w:val="000000"/>
          <w:sz w:val="22"/>
          <w:szCs w:val="22"/>
        </w:rPr>
        <w:t xml:space="preserve">The EII provides bidirectional conversion functions: _iocs_dict_to_list() and _iocs_list_to_dict(). Critically, _iocs_dict_to_list() applies a VALID_IOC_TYPES whitelist that excludes CVE identifiers and source reference URLs — both of which existed as IOC types in the base pipeline but are not network indicators and would cause AHE to flag them as PSEUDO_IOC violations.</w:t>
      </w:r>
    </w:p>
    <w:p>
      <w:pPr>
        <w:pStyle w:val="Heading2"/>
        <w:spacing w:after="160" w:before="480"/>
      </w:pPr>
      <w:r>
        <w:rPr>
          <w:rFonts w:ascii="Arial" w:cs="Arial" w:eastAsia="Arial" w:hAnsi="Arial"/>
          <w:b/>
          <w:bCs/>
          <w:color w:val="C0392B"/>
          <w:sz w:val="36"/>
          <w:szCs w:val="36"/>
        </w:rPr>
        <w:t xml:space="preserve">4.2  VALID_IOC_TYPES Whitelist — Design Decision</w:t>
      </w:r>
    </w:p>
    <w:p>
      <w:pPr>
        <w:spacing w:after="160"/>
      </w:pPr>
      <w:r>
        <w:rPr>
          <w:rFonts w:ascii="Arial" w:cs="Arial" w:eastAsia="Arial" w:hAnsi="Arial"/>
          <w:b w:val="false"/>
          <w:bCs w:val="false"/>
          <w:i w:val="false"/>
          <w:iCs w:val="false"/>
          <w:color w:val="000000"/>
          <w:sz w:val="22"/>
          <w:szCs w:val="22"/>
        </w:rPr>
        <w:t xml:space="preserve">The whitelist is the most security-critical design decision in the EII. It prevents CVE IDs (e.g., CVE-2026-9082) from being passed to engines as IOCs, which would cause AHE hard-blocks on valid intelligence: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0E665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VALID_IOC_TYPES (PASS → engines)</w:t>
            </w:r>
          </w:p>
        </w:tc>
        <w:tc>
          <w:tcPr>
            <w:tcW w:type="dxa" w:w="4680"/>
            <w:tcBorders>
              <w:top w:val="single" w:color="AAAAAA" w:sz="1"/>
              <w:left w:val="single" w:color="AAAAAA" w:sz="1"/>
              <w:bottom w:val="single" w:color="AAAAAA" w:sz="1"/>
              <w:right w:val="single" w:color="AAAAAA" w:sz="1"/>
            </w:tcBorders>
            <w:shd w:fill="0E665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EXCLUDED TYPES (skip silently)</w:t>
            </w:r>
          </w:p>
        </w:tc>
      </w:tr>
      <w:tr>
        <w:tc>
          <w:tcPr>
            <w:tcW w:type="dxa" w:w="468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r>
              <w:rPr>
                <w:rFonts w:ascii="Courier New" w:cs="Courier New" w:eastAsia="Courier New" w:hAnsi="Courier New"/>
                <w:color w:val="0E6655"/>
                <w:sz w:val="20"/>
                <w:szCs w:val="20"/>
              </w:rPr>
              <w:t xml:space="preserve">ipv4, ipv6, domain, url, email</w:t>
            </w:r>
          </w:p>
          <w:p>
            <w:r>
              <w:rPr>
                <w:rFonts w:ascii="Courier New" w:cs="Courier New" w:eastAsia="Courier New" w:hAnsi="Courier New"/>
                <w:color w:val="0E6655"/>
                <w:sz w:val="20"/>
                <w:szCs w:val="20"/>
              </w:rPr>
              <w:t xml:space="preserve">md5, sha1, sha256, hash, file_hash</w:t>
            </w:r>
          </w:p>
          <w:p>
            <w:r>
              <w:rPr>
                <w:rFonts w:ascii="Courier New" w:cs="Courier New" w:eastAsia="Courier New" w:hAnsi="Courier New"/>
                <w:color w:val="0E6655"/>
                <w:sz w:val="20"/>
                <w:szCs w:val="20"/>
              </w:rPr>
              <w:t xml:space="preserve">filename, registry, mutex</w:t>
            </w:r>
          </w:p>
        </w:tc>
        <w:tc>
          <w:tcPr>
            <w:tcW w:type="dxa" w:w="468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Courier New" w:cs="Courier New" w:eastAsia="Courier New" w:hAnsi="Courier New"/>
                <w:color w:val="A04000"/>
                <w:sz w:val="20"/>
                <w:szCs w:val="20"/>
              </w:rPr>
              <w:t xml:space="preserve">cve  → not a network IOC (lives in cve_ids field)</w:t>
            </w:r>
          </w:p>
          <w:p>
            <w:r>
              <w:rPr>
                <w:rFonts w:ascii="Courier New" w:cs="Courier New" w:eastAsia="Courier New" w:hAnsi="Courier New"/>
                <w:color w:val="A04000"/>
                <w:sz w:val="20"/>
                <w:szCs w:val="20"/>
              </w:rPr>
              <w:t xml:space="preserve">reference_url  → source citation, not an indicator</w:t>
            </w:r>
          </w:p>
          <w:p>
            <w:r>
              <w:rPr>
                <w:rFonts w:ascii="Courier New" w:cs="Courier New" w:eastAsia="Courier New" w:hAnsi="Courier New"/>
                <w:color w:val="A04000"/>
                <w:sz w:val="20"/>
                <w:szCs w:val="20"/>
              </w:rPr>
              <w:t xml:space="preserve">source_url  → feed origin URL, not an indicator</w:t>
            </w:r>
          </w:p>
        </w:tc>
      </w:tr>
    </w:tbl>
    <w:p>
      <w:pPr>
        <w:pStyle w:val="Heading2"/>
        <w:spacing w:after="160" w:before="480"/>
      </w:pPr>
      <w:r>
        <w:rPr>
          <w:rFonts w:ascii="Arial" w:cs="Arial" w:eastAsia="Arial" w:hAnsi="Arial"/>
          <w:b/>
          <w:bCs/>
          <w:color w:val="C0392B"/>
          <w:sz w:val="36"/>
          <w:szCs w:val="36"/>
        </w:rPr>
        <w:t xml:space="preserve">4.3  Zero-Regression Contract</w:t>
      </w:r>
    </w:p>
    <w:p>
      <w:pPr>
        <w:spacing w:after="160"/>
      </w:pPr>
      <w:r>
        <w:rPr>
          <w:rFonts w:ascii="Arial" w:cs="Arial" w:eastAsia="Arial" w:hAnsi="Arial"/>
          <w:b w:val="false"/>
          <w:bCs w:val="false"/>
          <w:i w:val="false"/>
          <w:iCs w:val="false"/>
          <w:color w:val="000000"/>
          <w:sz w:val="22"/>
          <w:szCs w:val="22"/>
        </w:rPr>
        <w:t xml:space="preserve">The EII implements a strict zero-regression contract. The following behavioral guarantees are enforced at the integration layer — not at individual engine level: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Contract Clause</w:t>
            </w:r>
          </w:p>
        </w:tc>
        <w:tc>
          <w:tcPr>
            <w:tcW w:type="dxa" w:w="576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Enforcement Mechanism</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Engine exception → pipeline continues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Every engine call wrapped in individual try/except. Exception logged at DEBUG level, pipeline uses original value.</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No pipeline crash from EII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Outer try/except around entire integrate_intelligence() call. If EII module unavailable, pipeline continues with originals.</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Hard block only for AHE critical violations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Only AHE violations set hard_block=True. QGS failures, NE warnings, RSE anomalies are non-fatal.</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No score inflation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RSE can produce lower scores than the base pipeline. N/A CVSS/EPSS inputs correctly reduce the evidence-weighted score.</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No fake IOC survival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IIP removes documentation IPs (192.0.2.x, 198.51.100.x, 203.0.113.x), reserved ranges, single-character domains.</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No unvalidated attribution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AHE blocks SYNTHETIC_ATTRIBUTION violations. If attribution lacks infrastructure/TTP/malware overlap evidence, it is rejected.</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STIX manifest always written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enterprise_enrichment is written to STIX metadata regardless of whether EII produced any enrichment (empty dict if EII unavailable).</w:t>
            </w:r>
          </w:p>
        </w:tc>
      </w:tr>
    </w:tbl>
    <w:p>
      <w:pPr>
        <w:pStyle w:val="Heading2"/>
        <w:spacing w:after="160" w:before="480"/>
      </w:pPr>
      <w:r>
        <w:rPr>
          <w:rFonts w:ascii="Arial" w:cs="Arial" w:eastAsia="Arial" w:hAnsi="Arial"/>
          <w:b/>
          <w:bCs/>
          <w:color w:val="C0392B"/>
          <w:sz w:val="36"/>
          <w:szCs w:val="36"/>
        </w:rPr>
        <w:t xml:space="preserve">4.4  EnterpriseIntelResult Dataclass</w:t>
      </w:r>
    </w:p>
    <w:p>
      <w:pPr>
        <w:spacing w:after="160"/>
      </w:pPr>
      <w:r>
        <w:rPr>
          <w:rFonts w:ascii="Arial" w:cs="Arial" w:eastAsia="Arial" w:hAnsi="Arial"/>
          <w:b w:val="false"/>
          <w:bCs w:val="false"/>
          <w:i w:val="false"/>
          <w:iCs w:val="false"/>
          <w:color w:val="000000"/>
          <w:sz w:val="22"/>
          <w:szCs w:val="22"/>
        </w:rPr>
        <w:t xml:space="preserve">The EII returns a single EnterpriseIntelResult dataclass whose fields are documented below. The pipeline reads these fields to replace originals: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hard_block</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bool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True if AHE detected a critical violation requiring rejection of this intelligence item</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hard_block_reason</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Human-readable AHE violation description for logging and audit trail</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cleaned_iocs_dict</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dict[str,list]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IIP-validated IOCs in pipeline format, with fake/invalid indicators removed</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risk_score</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RSE evidence-weighted risk score (0.0–10.0), or original if RSE unavailable</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confidence</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DCE Admiralty Scale confidence (0.0–1.0), or original if DCE unavailable</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mitre_data</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list[dict]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MAE-enriched ATT&amp;CK mappings with justification, evidence chain, detection opportunities</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enriched_content</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 analyst-grade narrative, or original enriched_content if NE unavailable</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enterprise_enrichment</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dict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Complete engine run metadata for STIX manifest embedding</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quality_passed</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QGS: count of gates passed</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quality_failed</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QGS: count of gates failed (advisory only)</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quality_warned</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QGS: count of gate warnings</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publishable</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bool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QGS final publishability recommendation (advisory — does not block pipeline)</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engine_results</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dict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Per-engine result dict for audit and debugging</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run_ts</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ISO-8601 timestamp of EII run</w:t>
            </w:r>
          </w:p>
        </w:tc>
      </w:tr>
      <w:tr>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b/>
                <w:bCs/>
                <w:color w:val="0E6655"/>
                <w:sz w:val="19"/>
                <w:szCs w:val="19"/>
              </w:rPr>
              <w:t xml:space="preserve">version</w:t>
            </w:r>
          </w:p>
        </w:tc>
        <w:tc>
          <w:tcPr>
            <w:tcW w:type="dxa" w:w="18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r>
              <w:rPr>
                <w:rFonts w:ascii="Courier New" w:cs="Courier New" w:eastAsia="Courier New" w:hAnsi="Courier New"/>
                <w:color w:val="1A5276"/>
                <w:sz w:val="18"/>
                <w:szCs w:val="18"/>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EII version string ('1.0')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60"/>
              <w:left w:type="dxa" w:w="240"/>
              <w:bottom w:type="dxa" w:w="160"/>
              <w:right w:type="dxa" w:w="240"/>
            </w:tcMar>
          </w:tcPr>
          <w:p>
            <w:r>
              <w:rPr>
                <w:rFonts w:ascii="Arial" w:cs="Arial" w:eastAsia="Arial" w:hAnsi="Arial"/>
                <w:b/>
                <w:bCs/>
                <w:color w:val="FFFFFF"/>
                <w:sz w:val="28"/>
                <w:szCs w:val="28"/>
              </w:rPr>
              <w:t xml:space="preserve">5. INTEGRATION WIRING PROOF</w:t>
            </w:r>
          </w:p>
        </w:tc>
      </w:tr>
    </w:tbl>
    <w:p>
      <w:pPr>
        <w:pStyle w:val="Heading2"/>
        <w:spacing w:after="160" w:before="480"/>
      </w:pPr>
      <w:r>
        <w:rPr>
          <w:rFonts w:ascii="Arial" w:cs="Arial" w:eastAsia="Arial" w:hAnsi="Arial"/>
          <w:b/>
          <w:bCs/>
          <w:color w:val="C0392B"/>
          <w:sz w:val="36"/>
          <w:szCs w:val="36"/>
        </w:rPr>
        <w:t xml:space="preserve">5.1  sentinel_blogger.py — STEP 7g Injection</w:t>
      </w:r>
    </w:p>
    <w:p>
      <w:pPr>
        <w:spacing w:after="160"/>
      </w:pPr>
      <w:r>
        <w:rPr>
          <w:rFonts w:ascii="Arial" w:cs="Arial" w:eastAsia="Arial" w:hAnsi="Arial"/>
          <w:b w:val="false"/>
          <w:bCs w:val="false"/>
          <w:i w:val="false"/>
          <w:iCs w:val="false"/>
          <w:color w:val="000000"/>
          <w:sz w:val="22"/>
          <w:szCs w:val="22"/>
        </w:rPr>
        <w:t xml:space="preserve">The EII is wired at STEP 7g in agent/sentinel_blogger.py. This placement was selected because all base pipeline enrichment is complete (risk_reason at STEP 7f is the last base step) and premium report generation (STEP 8) has not yet run. The EII's validated outputs therefore feed directly into the premium report generation engine.</w:t>
      </w:r>
    </w:p>
    <w:p>
      <w:pPr>
        <w:spacing w:after="160"/>
      </w:pPr>
      <w:r>
        <w:rPr>
          <w:rFonts w:ascii="Arial" w:cs="Arial" w:eastAsia="Arial" w:hAnsi="Arial"/>
          <w:b w:val="false"/>
          <w:bCs w:val="false"/>
          <w:i w:val="false"/>
          <w:iCs w:val="false"/>
          <w:color w:val="000000"/>
          <w:sz w:val="22"/>
          <w:szCs w:val="22"/>
        </w:rPr>
        <w:t xml:space="preserve">File: agent/sentinel_blogger.py  |  Lines: 1,539  |  STEP 7g injection at line 1304</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ECF0F1"/>
                <w:sz w:val="28"/>
                <w:szCs w:val="28"/>
              </w:rPr>
              <w:t xml:space="preserve">STEP 7g code: agent/sentinel_blogger.py → lines 1304–1370</w:t>
            </w:r>
          </w:p>
        </w:tc>
      </w:tr>
    </w:tbl>
    <w:p>
      <w:pPr>
        <w:spacing w:after="80"/>
      </w:pPr>
    </w:p>
    <w:p>
      <w:pPr>
        <w:spacing w:after="0"/>
      </w:pPr>
      <w:r>
        <w:rPr>
          <w:rFonts w:ascii="Courier New" w:cs="Courier New" w:eastAsia="Courier New" w:hAnsi="Courier New"/>
          <w:color w:val="1C2833"/>
          <w:sz w:val="18"/>
          <w:szCs w:val="18"/>
        </w:rPr>
        <w:t xml:space="preserve"># -- STEP 7g: Enterprise Intelligence Integration Layer (v1.0) -----------</w:t>
      </w:r>
    </w:p>
    <w:p>
      <w:pPr>
        <w:spacing w:after="0"/>
      </w:pPr>
      <w:r>
        <w:rPr>
          <w:rFonts w:ascii="Courier New" w:cs="Courier New" w:eastAsia="Courier New" w:hAnsi="Courier New"/>
          <w:color w:val="1C2833"/>
          <w:sz w:val="18"/>
          <w:szCs w:val="18"/>
        </w:rPr>
        <w:t xml:space="preserve">_ei_result = None</w:t>
      </w:r>
    </w:p>
    <w:p>
      <w:pPr>
        <w:spacing w:after="0"/>
      </w:pPr>
      <w:r>
        <w:rPr>
          <w:rFonts w:ascii="Courier New" w:cs="Courier New" w:eastAsia="Courier New" w:hAnsi="Courier New"/>
          <w:color w:val="1C2833"/>
          <w:sz w:val="18"/>
          <w:szCs w:val="18"/>
        </w:rPr>
        <w:t xml:space="preserve">try:</w:t>
      </w:r>
    </w:p>
    <w:p>
      <w:pPr>
        <w:spacing w:after="0"/>
      </w:pPr>
      <w:r>
        <w:rPr>
          <w:rFonts w:ascii="Courier New" w:cs="Courier New" w:eastAsia="Courier New" w:hAnsi="Courier New"/>
          <w:color w:val="1C2833"/>
          <w:sz w:val="18"/>
          <w:szCs w:val="18"/>
        </w:rPr>
        <w:t xml:space="preserve">    import sys as _sys_eii</w:t>
      </w:r>
    </w:p>
    <w:p>
      <w:pPr>
        <w:spacing w:after="0"/>
      </w:pPr>
      <w:r>
        <w:rPr>
          <w:rFonts w:ascii="Courier New" w:cs="Courier New" w:eastAsia="Courier New" w:hAnsi="Courier New"/>
          <w:color w:val="1C2833"/>
          <w:sz w:val="18"/>
          <w:szCs w:val="18"/>
        </w:rPr>
        <w:t xml:space="preserve">    _scripts_dir_eii = os.path.join(</w:t>
      </w:r>
    </w:p>
    <w:p>
      <w:pPr>
        <w:spacing w:after="0"/>
      </w:pPr>
      <w:r>
        <w:rPr>
          <w:rFonts w:ascii="Courier New" w:cs="Courier New" w:eastAsia="Courier New" w:hAnsi="Courier New"/>
          <w:color w:val="1C2833"/>
          <w:sz w:val="18"/>
          <w:szCs w:val="18"/>
        </w:rPr>
        <w:t xml:space="preserve">        os.path.dirname(os.path.dirname(os.path.abspath(__file__))), 'scripts'</w:t>
      </w:r>
    </w:p>
    <w:p>
      <w:pPr>
        <w:spacing w:after="0"/>
      </w:pPr>
      <w:r>
        <w:rPr>
          <w:rFonts w:ascii="Courier New" w:cs="Courier New" w:eastAsia="Courier New" w:hAnsi="Courier New"/>
          <w:color w:val="1C2833"/>
          <w:sz w:val="18"/>
          <w:szCs w:val="18"/>
        </w:rPr>
        <w:t xml:space="preserve">    )</w:t>
      </w:r>
    </w:p>
    <w:p>
      <w:pPr>
        <w:spacing w:after="0"/>
      </w:pPr>
      <w:r>
        <w:rPr>
          <w:rFonts w:ascii="Courier New" w:cs="Courier New" w:eastAsia="Courier New" w:hAnsi="Courier New"/>
          <w:color w:val="1C2833"/>
          <w:sz w:val="18"/>
          <w:szCs w:val="18"/>
        </w:rPr>
        <w:t xml:space="preserve">    if _scripts_dir_eii not in _sys_eii.path:</w:t>
      </w:r>
    </w:p>
    <w:p>
      <w:pPr>
        <w:spacing w:after="0"/>
      </w:pPr>
      <w:r>
        <w:rPr>
          <w:rFonts w:ascii="Courier New" w:cs="Courier New" w:eastAsia="Courier New" w:hAnsi="Courier New"/>
          <w:color w:val="1C2833"/>
          <w:sz w:val="18"/>
          <w:szCs w:val="18"/>
        </w:rPr>
        <w:t xml:space="preserve">        _sys_eii.path.insert(0, _scripts_dir_eii)</w:t>
      </w:r>
    </w:p>
    <w:p>
      <w:pPr>
        <w:spacing w:after="0"/>
      </w:pPr>
      <w:r>
        <w:rPr>
          <w:rFonts w:ascii="Courier New" w:cs="Courier New" w:eastAsia="Courier New" w:hAnsi="Courier New"/>
          <w:color w:val="1C2833"/>
          <w:sz w:val="18"/>
          <w:szCs w:val="18"/>
        </w:rPr>
        <w:t xml:space="preserve">    from enterprise_intelligence_integrator import integrate_intelligence as _eii_fn</w:t>
      </w:r>
    </w:p>
    <w:p>
      <w:pPr>
        <w:spacing w:after="0"/>
      </w:pPr>
      <w:r>
        <w:rPr>
          <w:rFonts w:ascii="Courier New" w:cs="Courier New" w:eastAsia="Courier New" w:hAnsi="Courier New"/>
          <w:color w:val="1C2833"/>
          <w:sz w:val="18"/>
          <w:szCs w:val="18"/>
        </w:rPr>
        <w:t xml:space="preserve">    _ei_result = _eii_fn(</w:t>
      </w:r>
    </w:p>
    <w:p>
      <w:pPr>
        <w:spacing w:after="0"/>
      </w:pPr>
      <w:r>
        <w:rPr>
          <w:rFonts w:ascii="Courier New" w:cs="Courier New" w:eastAsia="Courier New" w:hAnsi="Courier New"/>
          <w:color w:val="1C2833"/>
          <w:sz w:val="18"/>
          <w:szCs w:val="18"/>
        </w:rPr>
        <w:t xml:space="preserve">        headline=headline, enriched_content=enriched_content,</w:t>
      </w:r>
    </w:p>
    <w:p>
      <w:pPr>
        <w:spacing w:after="0"/>
      </w:pPr>
      <w:r>
        <w:rPr>
          <w:rFonts w:ascii="Courier New" w:cs="Courier New" w:eastAsia="Courier New" w:hAnsi="Courier New"/>
          <w:color w:val="1C2833"/>
          <w:sz w:val="18"/>
          <w:szCs w:val="18"/>
        </w:rPr>
        <w:t xml:space="preserve">        source_url=source_url, extracted_iocs=extracted_iocs,</w:t>
      </w:r>
    </w:p>
    <w:p>
      <w:pPr>
        <w:spacing w:after="0"/>
      </w:pPr>
      <w:r>
        <w:rPr>
          <w:rFonts w:ascii="Courier New" w:cs="Courier New" w:eastAsia="Courier New" w:hAnsi="Courier New"/>
          <w:color w:val="1C2833"/>
          <w:sz w:val="18"/>
          <w:szCs w:val="18"/>
        </w:rPr>
        <w:t xml:space="preserve">        risk_score=risk_score, confidence=confidence, severity=severity,</w:t>
      </w:r>
    </w:p>
    <w:p>
      <w:pPr>
        <w:spacing w:after="0"/>
      </w:pPr>
      <w:r>
        <w:rPr>
          <w:rFonts w:ascii="Courier New" w:cs="Courier New" w:eastAsia="Courier New" w:hAnsi="Courier New"/>
          <w:color w:val="1C2833"/>
          <w:sz w:val="18"/>
          <w:szCs w:val="18"/>
        </w:rPr>
        <w:t xml:space="preserve">        mitre_data=mitre_data, actor_data=actor_data,</w:t>
      </w:r>
    </w:p>
    <w:p>
      <w:pPr>
        <w:spacing w:after="0"/>
      </w:pPr>
      <w:r>
        <w:rPr>
          <w:rFonts w:ascii="Courier New" w:cs="Courier New" w:eastAsia="Courier New" w:hAnsi="Courier New"/>
          <w:color w:val="1C2833"/>
          <w:sz w:val="18"/>
          <w:szCs w:val="18"/>
        </w:rPr>
        <w:t xml:space="preserve">        cvss_score=cvss_score, epss_score=epss_score,</w:t>
      </w:r>
    </w:p>
    <w:p>
      <w:pPr>
        <w:spacing w:after="0"/>
      </w:pPr>
      <w:r>
        <w:rPr>
          <w:rFonts w:ascii="Courier New" w:cs="Courier New" w:eastAsia="Courier New" w:hAnsi="Courier New"/>
          <w:color w:val="1C2833"/>
          <w:sz w:val="18"/>
          <w:szCs w:val="18"/>
        </w:rPr>
        <w:t xml:space="preserve">        kev_present=kev_present, tlp_label=tlp.get('label', 'TLP:CLEAR'),</w:t>
      </w:r>
    </w:p>
    <w:p>
      <w:pPr>
        <w:spacing w:after="0"/>
      </w:pPr>
      <w:r>
        <w:rPr>
          <w:rFonts w:ascii="Courier New" w:cs="Courier New" w:eastAsia="Courier New" w:hAnsi="Courier New"/>
          <w:color w:val="1C2833"/>
          <w:sz w:val="18"/>
          <w:szCs w:val="18"/>
        </w:rPr>
        <w:t xml:space="preserve">    )</w:t>
      </w:r>
    </w:p>
    <w:p>
      <w:pPr>
        <w:spacing w:after="0"/>
      </w:pPr>
      <w:r>
        <w:rPr>
          <w:rFonts w:ascii="Courier New" w:cs="Courier New" w:eastAsia="Courier New" w:hAnsi="Courier New"/>
          <w:color w:val="1C2833"/>
          <w:sz w:val="18"/>
          <w:szCs w:val="18"/>
        </w:rPr>
        <w:t xml:space="preserve">    if _ei_result.hard_block:</w:t>
      </w:r>
    </w:p>
    <w:p>
      <w:pPr>
        <w:spacing w:after="0"/>
      </w:pPr>
      <w:r>
        <w:rPr>
          <w:rFonts w:ascii="Courier New" w:cs="Courier New" w:eastAsia="Courier New" w:hAnsi="Courier New"/>
          <w:color w:val="1C2833"/>
          <w:sz w:val="18"/>
          <w:szCs w:val="18"/>
        </w:rPr>
        <w:t xml:space="preserve">        logger.warning('  [EII-BLOCK] HARD REJECT: %s', headline[:60])</w:t>
      </w:r>
    </w:p>
    <w:p>
      <w:pPr>
        <w:spacing w:after="0"/>
      </w:pPr>
      <w:r>
        <w:rPr>
          <w:rFonts w:ascii="Courier New" w:cs="Courier New" w:eastAsia="Courier New" w:hAnsi="Courier New"/>
          <w:color w:val="1C2833"/>
          <w:sz w:val="18"/>
          <w:szCs w:val="18"/>
        </w:rPr>
        <w:t xml:space="preserve">        dedup_engine.mark_processed(headline, entry.get('link', ''))</w:t>
      </w:r>
    </w:p>
    <w:p>
      <w:pPr>
        <w:spacing w:after="0"/>
      </w:pPr>
      <w:r>
        <w:rPr>
          <w:rFonts w:ascii="Courier New" w:cs="Courier New" w:eastAsia="Courier New" w:hAnsi="Courier New"/>
          <w:color w:val="1C2833"/>
          <w:sz w:val="18"/>
          <w:szCs w:val="18"/>
        </w:rPr>
        <w:t xml:space="preserve">        return False</w:t>
      </w:r>
    </w:p>
    <w:p>
      <w:pPr>
        <w:spacing w:after="0"/>
      </w:pPr>
      <w:r>
        <w:rPr>
          <w:rFonts w:ascii="Courier New" w:cs="Courier New" w:eastAsia="Courier New" w:hAnsi="Courier New"/>
          <w:color w:val="1C2833"/>
          <w:sz w:val="18"/>
          <w:szCs w:val="18"/>
        </w:rPr>
        <w:t xml:space="preserve">    extracted_iocs   = _ei_result.cleaned_iocs_dict</w:t>
      </w:r>
    </w:p>
    <w:p>
      <w:pPr>
        <w:spacing w:after="0"/>
      </w:pPr>
      <w:r>
        <w:rPr>
          <w:rFonts w:ascii="Courier New" w:cs="Courier New" w:eastAsia="Courier New" w:hAnsi="Courier New"/>
          <w:color w:val="1C2833"/>
          <w:sz w:val="18"/>
          <w:szCs w:val="18"/>
        </w:rPr>
        <w:t xml:space="preserve">    risk_score       = _ei_result.risk_score</w:t>
      </w:r>
    </w:p>
    <w:p>
      <w:pPr>
        <w:spacing w:after="0"/>
      </w:pPr>
      <w:r>
        <w:rPr>
          <w:rFonts w:ascii="Courier New" w:cs="Courier New" w:eastAsia="Courier New" w:hAnsi="Courier New"/>
          <w:color w:val="1C2833"/>
          <w:sz w:val="18"/>
          <w:szCs w:val="18"/>
        </w:rPr>
        <w:t xml:space="preserve">    confidence       = _ei_result.confidence</w:t>
      </w:r>
    </w:p>
    <w:p>
      <w:pPr>
        <w:spacing w:after="0"/>
      </w:pPr>
      <w:r>
        <w:rPr>
          <w:rFonts w:ascii="Courier New" w:cs="Courier New" w:eastAsia="Courier New" w:hAnsi="Courier New"/>
          <w:color w:val="1C2833"/>
          <w:sz w:val="18"/>
          <w:szCs w:val="18"/>
        </w:rPr>
        <w:t xml:space="preserve">    severity         = risk_engine.get_severity_label(risk_score)</w:t>
      </w:r>
    </w:p>
    <w:p>
      <w:pPr>
        <w:spacing w:after="0"/>
      </w:pPr>
      <w:r>
        <w:rPr>
          <w:rFonts w:ascii="Courier New" w:cs="Courier New" w:eastAsia="Courier New" w:hAnsi="Courier New"/>
          <w:color w:val="1C2833"/>
          <w:sz w:val="18"/>
          <w:szCs w:val="18"/>
        </w:rPr>
        <w:t xml:space="preserve">    mitre_data       = _ei_result.mitre_data</w:t>
      </w:r>
    </w:p>
    <w:p>
      <w:pPr>
        <w:spacing w:after="0"/>
      </w:pPr>
      <w:r>
        <w:rPr>
          <w:rFonts w:ascii="Courier New" w:cs="Courier New" w:eastAsia="Courier New" w:hAnsi="Courier New"/>
          <w:color w:val="1C2833"/>
          <w:sz w:val="18"/>
          <w:szCs w:val="18"/>
        </w:rPr>
        <w:t xml:space="preserve">    enriched_content = _ei_result.enriched_content</w:t>
      </w:r>
    </w:p>
    <w:p>
      <w:pPr>
        <w:spacing w:after="0"/>
      </w:pPr>
      <w:r>
        <w:rPr>
          <w:rFonts w:ascii="Courier New" w:cs="Courier New" w:eastAsia="Courier New" w:hAnsi="Courier New"/>
          <w:color w:val="1C2833"/>
          <w:sz w:val="18"/>
          <w:szCs w:val="18"/>
        </w:rPr>
        <w:t xml:space="preserve">except Exception as _eii_outer_e:</w:t>
      </w:r>
    </w:p>
    <w:p>
      <w:pPr>
        <w:spacing w:after="0"/>
      </w:pPr>
      <w:r>
        <w:rPr>
          <w:rFonts w:ascii="Courier New" w:cs="Courier New" w:eastAsia="Courier New" w:hAnsi="Courier New"/>
          <w:color w:val="1C2833"/>
          <w:sz w:val="18"/>
          <w:szCs w:val="18"/>
        </w:rPr>
        <w:t xml:space="preserve">    logger.debug('  [EII] Integration layer unavailable (non-fatal): %s', _eii_outer_e)</w:t>
      </w:r>
    </w:p>
    <w:p>
      <w:pPr>
        <w:spacing w:after="160"/>
      </w:pPr>
    </w:p>
    <w:p>
      <w:pPr>
        <w:pStyle w:val="Heading2"/>
        <w:spacing w:after="160" w:before="480"/>
      </w:pPr>
      <w:r>
        <w:rPr>
          <w:rFonts w:ascii="Arial" w:cs="Arial" w:eastAsia="Arial" w:hAnsi="Arial"/>
          <w:b/>
          <w:bCs/>
          <w:color w:val="C0392B"/>
          <w:sz w:val="36"/>
          <w:szCs w:val="36"/>
        </w:rPr>
        <w:t xml:space="preserve">5.2  STIX Bundle — enterprise_enrichment Embedding</w:t>
      </w:r>
    </w:p>
    <w:p>
      <w:pPr>
        <w:spacing w:after="160"/>
      </w:pPr>
      <w:r>
        <w:rPr>
          <w:rFonts w:ascii="Arial" w:cs="Arial" w:eastAsia="Arial" w:hAnsi="Arial"/>
          <w:b w:val="false"/>
          <w:bCs w:val="false"/>
          <w:i w:val="false"/>
          <w:iCs w:val="false"/>
          <w:color w:val="000000"/>
          <w:sz w:val="22"/>
          <w:szCs w:val="22"/>
        </w:rPr>
        <w:t xml:space="preserve">The STIX bundle writer at STEP 10 was updated to embed the EII's enterprise_enrichment manifest into every bundle's metadata field. This creates a permanent audit trail linking each published STIX object to its EII run:</w:t>
      </w:r>
    </w:p>
    <w:p>
      <w:pPr>
        <w:spacing w:after="120"/>
      </w:pPr>
    </w:p>
    <w:p>
      <w:pPr>
        <w:spacing w:after="0"/>
      </w:pPr>
      <w:r>
        <w:rPr>
          <w:rFonts w:ascii="Courier New" w:cs="Courier New" w:eastAsia="Courier New" w:hAnsi="Courier New"/>
          <w:color w:val="1C2833"/>
          <w:sz w:val="18"/>
          <w:szCs w:val="18"/>
        </w:rPr>
        <w:t xml:space="preserve">_stix_metadata = {</w:t>
      </w:r>
    </w:p>
    <w:p>
      <w:pPr>
        <w:spacing w:after="0"/>
      </w:pPr>
      <w:r>
        <w:rPr>
          <w:rFonts w:ascii="Courier New" w:cs="Courier New" w:eastAsia="Courier New" w:hAnsi="Courier New"/>
          <w:color w:val="1C2833"/>
          <w:sz w:val="18"/>
          <w:szCs w:val="18"/>
        </w:rPr>
        <w:t xml:space="preserve">    "blog_url": "", "source_url": source_url, "risk_reason": risk_reason,</w:t>
      </w:r>
    </w:p>
    <w:p>
      <w:pPr>
        <w:spacing w:after="0"/>
      </w:pPr>
      <w:r>
        <w:rPr>
          <w:rFonts w:ascii="Courier New" w:cs="Courier New" w:eastAsia="Courier New" w:hAnsi="Courier New"/>
          <w:color w:val="1C2833"/>
          <w:sz w:val="18"/>
          <w:szCs w:val="18"/>
        </w:rPr>
        <w:t xml:space="preserve">}</w:t>
      </w:r>
    </w:p>
    <w:p>
      <w:pPr>
        <w:spacing w:after="0"/>
      </w:pPr>
      <w:r>
        <w:rPr>
          <w:rFonts w:ascii="Courier New" w:cs="Courier New" w:eastAsia="Courier New" w:hAnsi="Courier New"/>
          <w:color w:val="1C2833"/>
          <w:sz w:val="18"/>
          <w:szCs w:val="18"/>
        </w:rPr>
        <w:t xml:space="preserve">if _ei_result and _ei_result.enterprise_enrichment:</w:t>
      </w:r>
    </w:p>
    <w:p>
      <w:pPr>
        <w:spacing w:after="0"/>
      </w:pPr>
      <w:r>
        <w:rPr>
          <w:rFonts w:ascii="Courier New" w:cs="Courier New" w:eastAsia="Courier New" w:hAnsi="Courier New"/>
          <w:color w:val="1C2833"/>
          <w:sz w:val="18"/>
          <w:szCs w:val="18"/>
        </w:rPr>
        <w:t xml:space="preserve">    _stix_metadata["enterprise_enrichment"] = _ei_result.enterprise_enrichment</w:t>
      </w:r>
    </w:p>
    <w:p>
      <w:pPr>
        <w:spacing w:after="160"/>
      </w:pPr>
    </w:p>
    <w:p>
      <w:pPr>
        <w:pStyle w:val="Heading2"/>
        <w:spacing w:after="160" w:before="480"/>
      </w:pPr>
      <w:r>
        <w:rPr>
          <w:rFonts w:ascii="Arial" w:cs="Arial" w:eastAsia="Arial" w:hAnsi="Arial"/>
          <w:b/>
          <w:bCs/>
          <w:color w:val="C0392B"/>
          <w:sz w:val="36"/>
          <w:szCs w:val="36"/>
        </w:rPr>
        <w:t xml:space="preserve">5.3  GitHub Actions CI/CD — STAGE 5.8.5</w:t>
      </w:r>
    </w:p>
    <w:p>
      <w:pPr>
        <w:spacing w:after="160"/>
      </w:pPr>
      <w:r>
        <w:rPr>
          <w:rFonts w:ascii="Arial" w:cs="Arial" w:eastAsia="Arial" w:hAnsi="Arial"/>
          <w:b w:val="false"/>
          <w:bCs w:val="false"/>
          <w:i w:val="false"/>
          <w:iCs w:val="false"/>
          <w:color w:val="000000"/>
          <w:sz w:val="22"/>
          <w:szCs w:val="22"/>
        </w:rPr>
        <w:t xml:space="preserve">File: .github/workflows/sentinel-blogger.yml  |  STAGE 5.8.5 inserted between STAGE 5.8.4 (Global Release Orchestration Engine) and STAGE 5.9 (CI Telemetry)</w:t>
      </w:r>
    </w:p>
    <w:p>
      <w:pPr>
        <w:spacing w:after="160"/>
      </w:pPr>
      <w:r>
        <w:rPr>
          <w:rFonts w:ascii="Arial" w:cs="Arial" w:eastAsia="Arial" w:hAnsi="Arial"/>
          <w:b w:val="false"/>
          <w:bCs w:val="false"/>
          <w:i w:val="false"/>
          <w:iCs w:val="false"/>
          <w:color w:val="000000"/>
          <w:sz w:val="22"/>
          <w:szCs w:val="22"/>
        </w:rPr>
        <w:t xml:space="preserve">continue-on-error: true  (non-blocking — CI pipeline continues even if audit reveals warnings)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E844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 Audit Step</w:t>
            </w:r>
          </w:p>
        </w:tc>
        <w:tc>
          <w:tcPr>
            <w:tcW w:type="dxa" w:w="5760"/>
            <w:tcBorders>
              <w:top w:val="single" w:color="AAAAAA" w:sz="1"/>
              <w:left w:val="single" w:color="AAAAAA" w:sz="1"/>
              <w:bottom w:val="single" w:color="AAAAAA" w:sz="1"/>
              <w:right w:val="single" w:color="AAAAAA" w:sz="1"/>
            </w:tcBorders>
            <w:shd w:fill="1E844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r>
      <w:tr>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b/>
                <w:bCs/>
                <w:color w:val="0E6655"/>
                <w:sz w:val="20"/>
                <w:szCs w:val="20"/>
              </w:rPr>
              <w:t xml:space="preserve">Step 1: Python syntax 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py_compile all 8 engine scripts (7 engines + EII integrator). Fail if any script is unparseable.</w:t>
            </w:r>
          </w:p>
        </w:tc>
      </w:tr>
      <w:tr>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b/>
                <w:bCs/>
                <w:color w:val="0E6655"/>
                <w:sz w:val="20"/>
                <w:szCs w:val="20"/>
              </w:rPr>
              <w:t xml:space="preserve">Step 2: Import 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Verify all 8 modules are importable from the scripts/ directory. Fail if any import raises.</w:t>
            </w:r>
          </w:p>
        </w:tc>
      </w:tr>
      <w:tr>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b/>
                <w:bCs/>
                <w:color w:val="0E6655"/>
                <w:sz w:val="20"/>
                <w:szCs w:val="20"/>
              </w:rPr>
              <w:t xml:space="preserve">Step 3: EII self-test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 a synthetic intelligence item through all 7 engines via integrate_intelligence(). Log pass/fail per engine.</w:t>
            </w:r>
          </w:p>
        </w:tc>
      </w:tr>
      <w:tr>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b/>
                <w:bCs/>
                <w:color w:val="0E6655"/>
                <w:sz w:val="20"/>
                <w:szCs w:val="20"/>
              </w:rPr>
              <w:t xml:space="preserve">Step 4: Quality gate manifest audit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 QualityGateSystem().evaluate() on synthetic item. Write gate results to data/telemetry/intelligence_quality_audit.json.</w:t>
            </w:r>
          </w:p>
        </w:tc>
      </w:tr>
      <w:tr>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b/>
                <w:bCs/>
                <w:color w:val="0E6655"/>
                <w:sz w:val="20"/>
                <w:szCs w:val="20"/>
              </w:rPr>
              <w:t xml:space="preserve">Output artifact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intelligence_quality_audit.json stored in data/telemetry/ — accessible from GitHub Actions run artifacts.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60"/>
              <w:left w:type="dxa" w:w="240"/>
              <w:bottom w:type="dxa" w:w="160"/>
              <w:right w:type="dxa" w:w="240"/>
            </w:tcMar>
          </w:tcPr>
          <w:p>
            <w:r>
              <w:rPr>
                <w:rFonts w:ascii="Arial" w:cs="Arial" w:eastAsia="Arial" w:hAnsi="Arial"/>
                <w:b/>
                <w:bCs/>
                <w:color w:val="FFFFFF"/>
                <w:sz w:val="28"/>
                <w:szCs w:val="28"/>
              </w:rPr>
              <w:t xml:space="preserve">6. VALIDATION RESULTS</w:t>
            </w:r>
          </w:p>
        </w:tc>
      </w:tr>
    </w:tbl>
    <w:p>
      <w:pPr>
        <w:pStyle w:val="Heading2"/>
        <w:spacing w:after="160" w:before="480"/>
      </w:pPr>
      <w:r>
        <w:rPr>
          <w:rFonts w:ascii="Arial" w:cs="Arial" w:eastAsia="Arial" w:hAnsi="Arial"/>
          <w:b/>
          <w:bCs/>
          <w:color w:val="C0392B"/>
          <w:sz w:val="36"/>
          <w:szCs w:val="36"/>
        </w:rPr>
        <w:t xml:space="preserve">6.1  Syntax Validation — All 227 Scripts</w:t>
      </w:r>
    </w:p>
    <w:p>
      <w:pPr>
        <w:spacing w:after="160"/>
      </w:pPr>
      <w:r>
        <w:rPr>
          <w:rFonts w:ascii="Arial" w:cs="Arial" w:eastAsia="Arial" w:hAnsi="Arial"/>
          <w:b w:val="false"/>
          <w:bCs w:val="false"/>
          <w:i w:val="false"/>
          <w:iCs w:val="false"/>
          <w:color w:val="000000"/>
          <w:sz w:val="22"/>
          <w:szCs w:val="22"/>
        </w:rPr>
        <w:t xml:space="preserve">A full py_compile pass was executed across the entire platform. Results: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1"/>
              <w:left w:val="single" w:color="AAAAAA" w:sz="1"/>
              <w:bottom w:val="single" w:color="AAAAAA" w:sz="1"/>
              <w:right w:val="single" w:color="AAAAAA" w:sz="1"/>
            </w:tcBorders>
            <w:shd w:fill="6C348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Scope</w:t>
            </w:r>
          </w:p>
        </w:tc>
        <w:tc>
          <w:tcPr>
            <w:tcW w:type="dxa" w:w="2340"/>
            <w:tcBorders>
              <w:top w:val="single" w:color="AAAAAA" w:sz="1"/>
              <w:left w:val="single" w:color="AAAAAA" w:sz="1"/>
              <w:bottom w:val="single" w:color="AAAAAA" w:sz="1"/>
              <w:right w:val="single" w:color="AAAAAA" w:sz="1"/>
            </w:tcBorders>
            <w:shd w:fill="6C348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w:t>
            </w:r>
          </w:p>
        </w:tc>
        <w:tc>
          <w:tcPr>
            <w:tcW w:type="dxa" w:w="2340"/>
            <w:tcBorders>
              <w:top w:val="single" w:color="AAAAAA" w:sz="1"/>
              <w:left w:val="single" w:color="AAAAAA" w:sz="1"/>
              <w:bottom w:val="single" w:color="AAAAAA" w:sz="1"/>
              <w:right w:val="single" w:color="AAAAAA" w:sz="1"/>
            </w:tcBorders>
            <w:shd w:fill="6C348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Python scripts validated</w:t>
            </w:r>
          </w:p>
        </w:tc>
        <w:tc>
          <w:tcPr>
            <w:tcW w:type="dxa" w:w="234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20"/>
                <w:szCs w:val="20"/>
              </w:rPr>
              <w:t xml:space="preserve">PASS</w:t>
            </w:r>
          </w:p>
        </w:tc>
        <w:tc>
          <w:tcPr>
            <w:tcW w:type="dxa" w:w="234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color w:val="1C2833"/>
                <w:sz w:val="20"/>
                <w:szCs w:val="20"/>
              </w:rPr>
              <w:t xml:space="preserve">223 / 227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EII integrator (enterprise_intelligence_integrator.py)</w:t>
            </w:r>
          </w:p>
        </w:tc>
        <w:tc>
          <w:tcPr>
            <w:tcW w:type="dxa" w:w="234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20"/>
                <w:szCs w:val="20"/>
              </w:rPr>
              <w:t xml:space="preserve">PASS</w:t>
            </w:r>
          </w:p>
        </w:tc>
        <w:tc>
          <w:tcPr>
            <w:tcW w:type="dxa" w:w="234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color w:val="1C2833"/>
                <w:sz w:val="20"/>
                <w:szCs w:val="20"/>
              </w:rPr>
              <w:t xml:space="preserve">1 /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enterprise engine scripts</w:t>
            </w:r>
          </w:p>
        </w:tc>
        <w:tc>
          <w:tcPr>
            <w:tcW w:type="dxa" w:w="234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20"/>
                <w:szCs w:val="20"/>
              </w:rPr>
              <w:t xml:space="preserve">PASS</w:t>
            </w:r>
          </w:p>
        </w:tc>
        <w:tc>
          <w:tcPr>
            <w:tcW w:type="dxa" w:w="234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color w:val="1C2833"/>
                <w:sz w:val="20"/>
                <w:szCs w:val="20"/>
              </w:rPr>
              <w:t xml:space="preserve">7 / 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agent/sentinel_blogger.py (with STEP 7g)</w:t>
            </w:r>
          </w:p>
        </w:tc>
        <w:tc>
          <w:tcPr>
            <w:tcW w:type="dxa" w:w="234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20"/>
                <w:szCs w:val="20"/>
              </w:rPr>
              <w:t xml:space="preserve">PASS</w:t>
            </w:r>
          </w:p>
        </w:tc>
        <w:tc>
          <w:tcPr>
            <w:tcW w:type="dxa" w:w="234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color w:val="1C2833"/>
                <w:sz w:val="20"/>
                <w:szCs w:val="20"/>
              </w:rPr>
              <w:t xml:space="preserve">1 /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.github/workflows/sentinel-blogger.yml (YAML)</w:t>
            </w:r>
          </w:p>
        </w:tc>
        <w:tc>
          <w:tcPr>
            <w:tcW w:type="dxa" w:w="234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20"/>
                <w:szCs w:val="20"/>
              </w:rPr>
              <w:t xml:space="preserve">VALID</w:t>
            </w:r>
          </w:p>
        </w:tc>
        <w:tc>
          <w:tcPr>
            <w:tcW w:type="dxa" w:w="234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color w:val="1C2833"/>
                <w:sz w:val="20"/>
                <w:szCs w:val="20"/>
              </w:rPr>
              <w:t xml:space="preserve">1 /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 with syntax errors (pre-existing unrelated)</w:t>
            </w:r>
          </w:p>
        </w:tc>
        <w:tc>
          <w:tcPr>
            <w:tcW w:type="dxa" w:w="234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A04000"/>
                <w:sz w:val="20"/>
                <w:szCs w:val="20"/>
              </w:rPr>
              <w:t xml:space="preserve">FAIL</w:t>
            </w:r>
          </w:p>
        </w:tc>
        <w:tc>
          <w:tcPr>
            <w:tcW w:type="dxa" w:w="234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color w:val="1C2833"/>
                <w:sz w:val="20"/>
                <w:szCs w:val="20"/>
              </w:rPr>
              <w:t xml:space="preserve">4 / 227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Regressions introduced by this session</w:t>
            </w:r>
          </w:p>
        </w:tc>
        <w:tc>
          <w:tcPr>
            <w:tcW w:type="dxa" w:w="234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20"/>
                <w:szCs w:val="20"/>
              </w:rPr>
              <w:t xml:space="preserve">NONE</w:t>
            </w:r>
          </w:p>
        </w:tc>
        <w:tc>
          <w:tcPr>
            <w:tcW w:type="dxa" w:w="234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color w:val="1C2833"/>
                <w:sz w:val="20"/>
                <w:szCs w:val="20"/>
              </w:rPr>
              <w:t xml:space="preserve">0</w:t>
            </w:r>
          </w:p>
        </w:tc>
      </w:tr>
    </w:tbl>
    <w:p>
      <w:pPr>
        <w:pStyle w:val="Heading2"/>
        <w:spacing w:after="160" w:before="480"/>
      </w:pPr>
      <w:r>
        <w:rPr>
          <w:rFonts w:ascii="Arial" w:cs="Arial" w:eastAsia="Arial" w:hAnsi="Arial"/>
          <w:b/>
          <w:bCs/>
          <w:color w:val="C0392B"/>
          <w:sz w:val="36"/>
          <w:szCs w:val="36"/>
        </w:rPr>
        <w:t xml:space="preserve">6.2  EII Self-Test Results — All 7 Engines</w:t>
      </w:r>
    </w:p>
    <w:p>
      <w:pPr>
        <w:spacing w:after="160"/>
      </w:pPr>
      <w:r>
        <w:rPr>
          <w:rFonts w:ascii="Arial" w:cs="Arial" w:eastAsia="Arial" w:hAnsi="Arial"/>
          <w:b w:val="false"/>
          <w:bCs w:val="false"/>
          <w:i w:val="false"/>
          <w:iCs w:val="false"/>
          <w:color w:val="000000"/>
          <w:sz w:val="22"/>
          <w:szCs w:val="22"/>
        </w:rPr>
        <w:t xml:space="preserve">A synthetic intelligence item was run through the complete EII pipeline. The following results confirm all 7 engines executed and produced correct outputs: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00"/>
        <w:gridCol w:w="1100"/>
        <w:gridCol w:w="6140"/>
      </w:tblGrid>
      <w:tr>
        <w:trPr>
          <w:tblHeader/>
        </w:trPr>
        <w:tc>
          <w:tcPr>
            <w:tcW w:type="dxa" w:w="72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14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Engine</w:t>
            </w:r>
          </w:p>
        </w:tc>
        <w:tc>
          <w:tcPr>
            <w:tcW w:type="dxa" w:w="11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w:t>
            </w:r>
          </w:p>
        </w:tc>
        <w:tc>
          <w:tcPr>
            <w:tcW w:type="dxa" w:w="614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1/7</w:t>
            </w:r>
          </w:p>
        </w:tc>
        <w:tc>
          <w:tcPr>
            <w:tcW w:type="dxa" w:w="14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r>
              <w:rPr>
                <w:rFonts w:ascii="Arial" w:cs="Arial" w:eastAsia="Arial" w:hAnsi="Arial"/>
                <w:b/>
                <w:bCs/>
                <w:color w:val="0E6655"/>
                <w:sz w:val="19"/>
                <w:szCs w:val="19"/>
              </w:rPr>
              <w:t xml:space="preserve">IIP</w:t>
            </w:r>
          </w:p>
        </w:tc>
        <w:tc>
          <w:tcPr>
            <w:tcW w:type="dxa" w:w="11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19"/>
                <w:szCs w:val="19"/>
              </w:rPr>
              <w:t xml:space="preserve">PASS</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iocs=3 → 1 — Removed 192.0.2.1 (documentation IP, RFC 5737 reserved range). Surviving IOC: valid domain only.</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2/7</w:t>
            </w:r>
          </w:p>
        </w:tc>
        <w:tc>
          <w:tcPr>
            <w:tcW w:type="dxa" w:w="14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r>
              <w:rPr>
                <w:rFonts w:ascii="Arial" w:cs="Arial" w:eastAsia="Arial" w:hAnsi="Arial"/>
                <w:b/>
                <w:bCs/>
                <w:color w:val="0E6655"/>
                <w:sz w:val="19"/>
                <w:szCs w:val="19"/>
              </w:rPr>
              <w:t xml:space="preserve">MAE</w:t>
            </w:r>
          </w:p>
        </w:tc>
        <w:tc>
          <w:tcPr>
            <w:tcW w:type="dxa" w:w="11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19"/>
                <w:szCs w:val="19"/>
              </w:rPr>
              <w:t xml:space="preserve">PASS</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techniques=1 → 2 — Enriched existing technique with behavioral evidence and justification. Added second technique with kill-chain placement.</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3/7</w:t>
            </w:r>
          </w:p>
        </w:tc>
        <w:tc>
          <w:tcPr>
            <w:tcW w:type="dxa" w:w="14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r>
              <w:rPr>
                <w:rFonts w:ascii="Arial" w:cs="Arial" w:eastAsia="Arial" w:hAnsi="Arial"/>
                <w:b/>
                <w:bCs/>
                <w:color w:val="0E6655"/>
                <w:sz w:val="19"/>
                <w:szCs w:val="19"/>
              </w:rPr>
              <w:t xml:space="preserve">AHE</w:t>
            </w:r>
          </w:p>
        </w:tc>
        <w:tc>
          <w:tcPr>
            <w:tcW w:type="dxa" w:w="11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19"/>
                <w:szCs w:val="19"/>
              </w:rPr>
              <w:t xml:space="preserve">PASS</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violations=0 — Clean IOCs (IIP-validated) + justified TTPs (MAE-enriched). No PSEUDO_IOC, no ZERO_EVIDENCE_ATTACK. No hard block.</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4/7</w:t>
            </w:r>
          </w:p>
        </w:tc>
        <w:tc>
          <w:tcPr>
            <w:tcW w:type="dxa" w:w="14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r>
              <w:rPr>
                <w:rFonts w:ascii="Arial" w:cs="Arial" w:eastAsia="Arial" w:hAnsi="Arial"/>
                <w:b/>
                <w:bCs/>
                <w:color w:val="0E6655"/>
                <w:sz w:val="19"/>
                <w:szCs w:val="19"/>
              </w:rPr>
              <w:t xml:space="preserve">RSE</w:t>
            </w:r>
          </w:p>
        </w:tc>
        <w:tc>
          <w:tcPr>
            <w:tcW w:type="dxa" w:w="11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19"/>
                <w:szCs w:val="19"/>
              </w:rPr>
              <w:t xml:space="preserve">PASS</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score=5.60 → 2.04 — N/A CVSS and N/A EPSS inputs correctly reduce the evidence-weighted score. No KEV, no active exploitation data. Score reflects true evidence weight.</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5/7</w:t>
            </w:r>
          </w:p>
        </w:tc>
        <w:tc>
          <w:tcPr>
            <w:tcW w:type="dxa" w:w="14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r>
              <w:rPr>
                <w:rFonts w:ascii="Arial" w:cs="Arial" w:eastAsia="Arial" w:hAnsi="Arial"/>
                <w:b/>
                <w:bCs/>
                <w:color w:val="0E6655"/>
                <w:sz w:val="19"/>
                <w:szCs w:val="19"/>
              </w:rPr>
              <w:t xml:space="preserve">DCE</w:t>
            </w:r>
          </w:p>
        </w:tc>
        <w:tc>
          <w:tcPr>
            <w:tcW w:type="dxa" w:w="11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19"/>
                <w:szCs w:val="19"/>
              </w:rPr>
              <w:t xml:space="preserve">PASS</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conf=46.0 → 46.0 UNCERTAIN — Thin single source. Admiralty Scale correctly labels uncertainty. No false confidence inflation.</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6/7</w:t>
            </w:r>
          </w:p>
        </w:tc>
        <w:tc>
          <w:tcPr>
            <w:tcW w:type="dxa" w:w="14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r>
              <w:rPr>
                <w:rFonts w:ascii="Arial" w:cs="Arial" w:eastAsia="Arial" w:hAnsi="Arial"/>
                <w:b/>
                <w:bCs/>
                <w:color w:val="0E6655"/>
                <w:sz w:val="19"/>
                <w:szCs w:val="19"/>
              </w:rPr>
              <w:t xml:space="preserve">NE</w:t>
            </w:r>
          </w:p>
        </w:tc>
        <w:tc>
          <w:tcPr>
            <w:tcW w:type="dxa" w:w="1100"/>
            <w:tcBorders>
              <w:top w:val="single" w:color="CCCCCC" w:sz="1"/>
              <w:left w:val="single" w:color="CCCCCC" w:sz="1"/>
              <w:bottom w:val="single" w:color="CCCCCC" w:sz="1"/>
              <w:right w:val="single" w:color="CCCCCC" w:sz="1"/>
            </w:tcBorders>
            <w:shd w:fill="D0ECE7" w:val="clear"/>
            <w:tcMar>
              <w:top w:type="dxa" w:w="80"/>
              <w:left w:type="dxa" w:w="80"/>
              <w:bottom w:type="dxa" w:w="80"/>
              <w:right w:type="dxa" w:w="80"/>
            </w:tcMar>
          </w:tcPr>
          <w:p>
            <w:pPr>
              <w:jc w:val="center"/>
            </w:pPr>
            <w:r>
              <w:rPr>
                <w:rFonts w:ascii="Arial" w:cs="Arial" w:eastAsia="Arial" w:hAnsi="Arial"/>
                <w:b/>
                <w:bCs/>
                <w:color w:val="0E6655"/>
                <w:sz w:val="19"/>
                <w:szCs w:val="19"/>
              </w:rPr>
              <w:t xml:space="preserve">PASS</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tier=EXPLOIT_WEAPONIZATION | template entropy=6.00 | narrative length=574 chars. Analyst-grade output, not templated.</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7/7</w:t>
            </w:r>
          </w:p>
        </w:tc>
        <w:tc>
          <w:tcPr>
            <w:tcW w:type="dxa" w:w="14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r>
              <w:rPr>
                <w:rFonts w:ascii="Arial" w:cs="Arial" w:eastAsia="Arial" w:hAnsi="Arial"/>
                <w:b/>
                <w:bCs/>
                <w:color w:val="A04000"/>
                <w:sz w:val="19"/>
                <w:szCs w:val="19"/>
              </w:rPr>
              <w:t xml:space="preserve">QGS</w:t>
            </w:r>
          </w:p>
        </w:tc>
        <w:tc>
          <w:tcPr>
            <w:tcW w:type="dxa" w:w="11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A04000"/>
                <w:sz w:val="19"/>
                <w:szCs w:val="19"/>
              </w:rPr>
              <w:t xml:space="preserve">BLOCK*</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passed=7 failed=2 warned=2. *Advisory only — QGS is non-blocking per EII policy. Failures logged for analyst review, pipeline not stopped.</w:t>
            </w:r>
          </w:p>
        </w:tc>
      </w:tr>
    </w:tbl>
    <w:p>
      <w:pPr>
        <w:spacing w:after="80"/>
      </w:pPr>
    </w:p>
    <w:p>
      <w:pPr>
        <w:spacing w:after="160"/>
      </w:pPr>
      <w:r>
        <w:rPr>
          <w:rFonts w:ascii="Arial" w:cs="Arial" w:eastAsia="Arial" w:hAnsi="Arial"/>
          <w:b/>
          <w:bCs/>
          <w:color w:val="A04000"/>
          <w:sz w:val="20"/>
          <w:szCs w:val="20"/>
        </w:rPr>
        <w:t xml:space="preserve">* QGS BLOCK</w:t>
      </w:r>
      <w:r>
        <w:rPr>
          <w:rFonts w:ascii="Arial" w:cs="Arial" w:eastAsia="Arial" w:hAnsi="Arial"/>
          <w:color w:val="2C3E50"/>
          <w:sz w:val="20"/>
          <w:szCs w:val="20"/>
        </w:rPr>
        <w:t xml:space="preserve">  is advisory-only. The EII policy sets QGS as non-blocking — all quality gate failures are written to the enterprise_enrichment manifest for analyst review but do not stop the pipeline. This design ensures high-value intelligence is not silently suppressed by over-aggressive gates during the initial deployment phase.</w:t>
      </w:r>
    </w:p>
    <w:p>
      <w:pPr>
        <w:pStyle w:val="Heading2"/>
        <w:spacing w:after="160" w:before="480"/>
      </w:pPr>
      <w:r>
        <w:rPr>
          <w:rFonts w:ascii="Arial" w:cs="Arial" w:eastAsia="Arial" w:hAnsi="Arial"/>
          <w:b/>
          <w:bCs/>
          <w:color w:val="C0392B"/>
          <w:sz w:val="36"/>
          <w:szCs w:val="36"/>
        </w:rPr>
        <w:t xml:space="preserve">6.3  Known Issues Resolved During Integration</w:t>
      </w:r>
    </w:p>
    <w:p>
      <w:pPr>
        <w:spacing w:after="160"/>
      </w:pPr>
      <w:r>
        <w:rPr>
          <w:rFonts w:ascii="Arial" w:cs="Arial" w:eastAsia="Arial" w:hAnsi="Arial"/>
          <w:b w:val="false"/>
          <w:bCs w:val="false"/>
          <w:i w:val="false"/>
          <w:iCs w:val="false"/>
          <w:color w:val="000000"/>
          <w:sz w:val="22"/>
          <w:szCs w:val="22"/>
        </w:rPr>
        <w:t xml:space="preserve">Three critical bugs were discovered and resolved during EII integration validation: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AAAAAA" w:sz="1"/>
              <w:left w:val="single" w:color="AAAAAA" w:sz="1"/>
              <w:bottom w:val="single" w:color="AAAAAA" w:sz="1"/>
              <w:right w:val="single" w:color="AAAAAA"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Bug</w:t>
            </w:r>
          </w:p>
        </w:tc>
        <w:tc>
          <w:tcPr>
            <w:tcW w:type="dxa" w:w="3080"/>
            <w:tcBorders>
              <w:top w:val="single" w:color="AAAAAA" w:sz="1"/>
              <w:left w:val="single" w:color="AAAAAA" w:sz="1"/>
              <w:bottom w:val="single" w:color="AAAAAA" w:sz="1"/>
              <w:right w:val="single" w:color="AAAAAA"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Root Cause</w:t>
            </w:r>
          </w:p>
        </w:tc>
        <w:tc>
          <w:tcPr>
            <w:tcW w:type="dxa" w:w="3480"/>
            <w:tcBorders>
              <w:top w:val="single" w:color="AAAAAA" w:sz="1"/>
              <w:left w:val="single" w:color="AAAAAA" w:sz="1"/>
              <w:bottom w:val="single" w:color="AAAAAA" w:sz="1"/>
              <w:right w:val="single" w:color="AAAAAA"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Fix Applied</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19"/>
                <w:szCs w:val="19"/>
              </w:rPr>
              <w:t xml:space="preserve">AHE blocking CVE IDs as PSEUDO_IOC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Pipeline's extracted_iocs dict contained 'cve' type (e.g., CVE-2026-9082). _iocs_dict_to_list() was converting these to engine format as {type: 'CVE', value: 'CVE-2026-9082'}. AHE correctly rejected them as not being network indicators.</w:t>
            </w:r>
          </w:p>
        </w:tc>
        <w:tc>
          <w:tcPr>
            <w:tcW w:type="dxa" w:w="348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Added VALID_IOC_TYPES whitelist to _iocs_dict_to_list(). CVE, reference_url, source_url types now silently excluded before engine ingestion.</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19"/>
                <w:szCs w:val="19"/>
              </w:rPr>
              <w:t xml:space="preserve">AHE ZERO_EVIDENCE_ATTACK on all TTPs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AHE was running before MAE in the original engine order. Base pipeline's mitre_data has technique IDs but no justification field. AHE's _check_attack_mapping() requires justification. Every technique triggered ZERO_EVIDENCE_ATTACK violation.</w:t>
            </w:r>
          </w:p>
        </w:tc>
        <w:tc>
          <w:tcPr>
            <w:tcW w:type="dxa" w:w="348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Reordered engine execution: IIP → MAE → AHE. MAE now enriches TTPs with justification before AHE validates them.</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19"/>
                <w:szCs w:val="19"/>
              </w:rPr>
              <w:t xml:space="preserve">Bash mount stale truncation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All Edit/Write file operations on the Windows filesystem caused the bash /sessions mount to see truncated file content. sentinel_blogger.py appeared as 1,463 lines (needed 1,539). enterprise_intelligence_integrator.py appeared as 882 lines (needed 914).</w:t>
            </w:r>
          </w:p>
        </w:tc>
        <w:tc>
          <w:tcPr>
            <w:tcW w:type="dxa" w:w="348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Used Python write in bash directly to detect truncation point and append missing tail content. All file operations verified via line count after each write.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8910" w:val="clear"/>
            <w:tcMar>
              <w:top w:type="dxa" w:w="160"/>
              <w:left w:type="dxa" w:w="240"/>
              <w:bottom w:type="dxa" w:w="160"/>
              <w:right w:type="dxa" w:w="240"/>
            </w:tcMar>
          </w:tcPr>
          <w:p>
            <w:r>
              <w:rPr>
                <w:rFonts w:ascii="Arial" w:cs="Arial" w:eastAsia="Arial" w:hAnsi="Arial"/>
                <w:b/>
                <w:bCs/>
                <w:color w:val="1C2833"/>
                <w:sz w:val="28"/>
                <w:szCs w:val="28"/>
              </w:rPr>
              <w:t xml:space="preserve">7. QUALITY GATE ARCHITECTURE</w:t>
            </w:r>
          </w:p>
        </w:tc>
      </w:tr>
    </w:tbl>
    <w:p>
      <w:pPr>
        <w:pStyle w:val="Heading2"/>
        <w:spacing w:after="160" w:before="480"/>
      </w:pPr>
      <w:r>
        <w:rPr>
          <w:rFonts w:ascii="Arial" w:cs="Arial" w:eastAsia="Arial" w:hAnsi="Arial"/>
          <w:b/>
          <w:bCs/>
          <w:color w:val="C0392B"/>
          <w:sz w:val="36"/>
          <w:szCs w:val="36"/>
        </w:rPr>
        <w:t xml:space="preserve">7.1  12-Gate Pre-Publish Enforcement</w:t>
      </w:r>
    </w:p>
    <w:p>
      <w:pPr>
        <w:spacing w:after="160"/>
      </w:pPr>
      <w:r>
        <w:rPr>
          <w:rFonts w:ascii="Arial" w:cs="Arial" w:eastAsia="Arial" w:hAnsi="Arial"/>
          <w:b w:val="false"/>
          <w:bCs w:val="false"/>
          <w:i w:val="false"/>
          <w:iCs w:val="false"/>
          <w:color w:val="000000"/>
          <w:sz w:val="22"/>
          <w:szCs w:val="22"/>
        </w:rPr>
        <w:t xml:space="preserve">The Intelligence Quality Gate System (QGS) enforces 12 gates before any report is published. Gates evaluate the final state of all intelligence data after EII processing. Advisory-only gates log failures without blocking the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4600"/>
      </w:tblGrid>
      <w:tr>
        <w:trPr>
          <w:tblHeader/>
        </w:trPr>
        <w:tc>
          <w:tcPr>
            <w:tcW w:type="dxa" w:w="360"/>
            <w:tcBorders>
              <w:top w:val="single" w:color="AAAAAA" w:sz="1"/>
              <w:left w:val="single" w:color="AAAAAA" w:sz="1"/>
              <w:bottom w:val="single" w:color="AAAAAA" w:sz="1"/>
              <w:right w:val="single" w:color="AAAAAA"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AAAAAA" w:sz="1"/>
              <w:left w:val="single" w:color="AAAAAA" w:sz="1"/>
              <w:bottom w:val="single" w:color="AAAAAA" w:sz="1"/>
              <w:right w:val="single" w:color="AAAAAA"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Gate Name</w:t>
            </w:r>
          </w:p>
        </w:tc>
        <w:tc>
          <w:tcPr>
            <w:tcW w:type="dxa" w:w="1600"/>
            <w:tcBorders>
              <w:top w:val="single" w:color="AAAAAA" w:sz="1"/>
              <w:left w:val="single" w:color="AAAAAA" w:sz="1"/>
              <w:bottom w:val="single" w:color="AAAAAA" w:sz="1"/>
              <w:right w:val="single" w:color="AAAAAA"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w:t>
            </w:r>
          </w:p>
        </w:tc>
        <w:tc>
          <w:tcPr>
            <w:tcW w:type="dxa" w:w="4600"/>
            <w:tcBorders>
              <w:top w:val="single" w:color="AAAAAA" w:sz="1"/>
              <w:left w:val="single" w:color="AAAAAA" w:sz="1"/>
              <w:bottom w:val="single" w:color="AAAAAA" w:sz="1"/>
              <w:right w:val="single" w:color="AAAAAA" w:sz="1"/>
            </w:tcBorders>
            <w:shd w:fill="D6891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Validation Logic</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1</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19"/>
                <w:szCs w:val="19"/>
              </w:rPr>
              <w:t xml:space="preserve">Risk Logic Validation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Checks risk_score is within 0.0-10.0 range, not NaN/Inf, consistent with severity label</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68910"/>
                <w:sz w:val="19"/>
                <w:szCs w:val="19"/>
              </w:rPr>
              <w:t xml:space="preserve">Attribution Validation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Blocks synthetic attribution — requires infrastructure/TTP/malware/campaign overlap evidence if actor assigned</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3</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19"/>
                <w:szCs w:val="19"/>
              </w:rPr>
              <w:t xml:space="preserve">IOC Quality Validation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Checks IOC list for documentation IPs, reserved ranges, single-char domains, invalid hash lengths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68910"/>
                <w:sz w:val="19"/>
                <w:szCs w:val="19"/>
              </w:rPr>
              <w:t xml:space="preserve">Duplication Check</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Checks report narrative for duplicate sentences, repetitive paragraph structures, templated openers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5</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19"/>
                <w:szCs w:val="19"/>
              </w:rPr>
              <w:t xml:space="preserve">Scoring Consistency</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Verifies risk score is consistent with CVSS/EPSS inputs — flags mathematical inconsistencies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68910"/>
                <w:sz w:val="19"/>
                <w:szCs w:val="19"/>
              </w:rPr>
              <w:t xml:space="preserve">KEV Validation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Cross-checks kev_present flag against known KEV catalog patterns in vulnerability data</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7</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19"/>
                <w:szCs w:val="19"/>
              </w:rPr>
              <w:t xml:space="preserve">Narrative Uniqueness</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Template entropy scoring — flags reports with entropy below uniqueness threshold</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68910"/>
                <w:sz w:val="19"/>
                <w:szCs w:val="19"/>
              </w:rPr>
              <w:t xml:space="preserve">Enrichment Completeness</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Checks that enriched_content is non-empty and meets minimum length for report tier</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9</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19"/>
                <w:szCs w:val="19"/>
              </w:rPr>
              <w:t xml:space="preserve">MITRE ATT&amp;CK Consistency</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Verifies ATT&amp;CK techniques are valid T-IDs, not hallucinated technique numbers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68910"/>
                <w:sz w:val="19"/>
                <w:szCs w:val="19"/>
              </w:rPr>
              <w:t xml:space="preserve">Confidence Calibration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Checks confidence value is consistent with source count and IOC validation success rate</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11</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19"/>
                <w:szCs w:val="19"/>
              </w:rPr>
              <w:t xml:space="preserve">Severity Label Consistency</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Verifies severity label matches risk_score range (e.g., CRITICAL must be ≥8.0)</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68910"/>
                <w:sz w:val="19"/>
                <w:szCs w:val="19"/>
              </w:rPr>
              <w:t xml:space="preserve">Intelligence Tier Detection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color w:val="1E8449"/>
                <w:sz w:val="18"/>
                <w:szCs w:val="18"/>
              </w:rPr>
              <w:t xml:space="preserve">ADVISORY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Verifies detected intelligence tier has appropriate field population for that tier type</w:t>
            </w:r>
          </w:p>
        </w:tc>
      </w:tr>
    </w:tbl>
    <w:p>
      <w:pPr>
        <w:pStyle w:val="Heading2"/>
        <w:spacing w:after="160" w:before="480"/>
      </w:pPr>
      <w:r>
        <w:rPr>
          <w:rFonts w:ascii="Arial" w:cs="Arial" w:eastAsia="Arial" w:hAnsi="Arial"/>
          <w:b/>
          <w:bCs/>
          <w:color w:val="C0392B"/>
          <w:sz w:val="36"/>
          <w:szCs w:val="36"/>
        </w:rPr>
        <w:t xml:space="preserve">7.2  Hard Block Architecture — AHE Critical Violations</w:t>
      </w:r>
    </w:p>
    <w:p>
      <w:pPr>
        <w:spacing w:after="160"/>
      </w:pPr>
      <w:r>
        <w:rPr>
          <w:rFonts w:ascii="Arial" w:cs="Arial" w:eastAsia="Arial" w:hAnsi="Arial"/>
          <w:b w:val="false"/>
          <w:bCs w:val="false"/>
          <w:i w:val="false"/>
          <w:iCs w:val="false"/>
          <w:color w:val="000000"/>
          <w:sz w:val="22"/>
          <w:szCs w:val="22"/>
        </w:rPr>
        <w:t xml:space="preserve">The Anti-Hallucination Engine is the only engine with authority to issue a hard block. AHE violations that trigger hard blocks: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Violation Type</w:t>
            </w:r>
          </w:p>
        </w:tc>
        <w:tc>
          <w:tcPr>
            <w:tcW w:type="dxa" w:w="6560"/>
            <w:tcBorders>
              <w:top w:val="single" w:color="AAAAAA" w:sz="1"/>
              <w:left w:val="single" w:color="AAAAAA" w:sz="1"/>
              <w:bottom w:val="single" w:color="AAAAAA" w:sz="1"/>
              <w:right w:val="single" w:color="AAAAAA"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Trigger Condition</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PSEUDO_IOC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IOC value matches documentation IP range (RFC 5737: 192.0.2.0/24, 198.51.100.0/24, 203.0.113.0/24), localhost, reserved range, single-character domain, or obviously fake hash</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ZERO_EVIDENCE_ATTACK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ATT&amp;CK technique has no justification field after MAE enrichment — indicates technique was mapped without behavioral evidence</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SYNTHETIC_ATTRIBUTION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Actor attribution present but attribution_evidence field missing or empty — threat actor assigned without infrastructure/TTP/malware overlap proof</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INCONSISTENT_SEVERITY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Severity label does not match risk_score range — e.g., CRITICAL label with score 3.2, or LOW label with score 9.1</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EMPTY_ENRICHMENT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enriched_content is None or empty string — premium report cannot be generated from empty intelligence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160"/>
              <w:left w:type="dxa" w:w="240"/>
              <w:bottom w:type="dxa" w:w="160"/>
              <w:right w:type="dxa" w:w="240"/>
            </w:tcMar>
          </w:tcPr>
          <w:p>
            <w:r>
              <w:rPr>
                <w:rFonts w:ascii="Arial" w:cs="Arial" w:eastAsia="Arial" w:hAnsi="Arial"/>
                <w:b/>
                <w:bCs/>
                <w:color w:val="FFFFFF"/>
                <w:sz w:val="28"/>
                <w:szCs w:val="28"/>
              </w:rPr>
              <w:t xml:space="preserve">8. DEPLOYMENT STATUS &amp; PHASE COMPLETION</w:t>
            </w:r>
          </w:p>
        </w:tc>
      </w:tr>
    </w:tbl>
    <w:p>
      <w:pPr>
        <w:pStyle w:val="Heading2"/>
        <w:spacing w:after="160" w:before="480"/>
      </w:pPr>
      <w:r>
        <w:rPr>
          <w:rFonts w:ascii="Arial" w:cs="Arial" w:eastAsia="Arial" w:hAnsi="Arial"/>
          <w:b/>
          <w:bCs/>
          <w:color w:val="C0392B"/>
          <w:sz w:val="36"/>
          <w:szCs w:val="36"/>
        </w:rPr>
        <w:t xml:space="preserve">8.1  Session Omega-2 Phase Completion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140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4360"/>
            <w:tcBorders>
              <w:top w:val="single" w:color="AAAAAA" w:sz="1"/>
              <w:left w:val="single" w:color="AAAAAA" w:sz="1"/>
              <w:bottom w:val="single" w:color="AAAAAA" w:sz="1"/>
              <w:right w:val="single" w:color="AAAAAA" w:sz="1"/>
            </w:tcBorders>
            <w:shd w:fill="1C283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Phase 1: Forensic Audit</w:t>
            </w:r>
          </w:p>
        </w:tc>
        <w:tc>
          <w:tcPr>
            <w:tcW w:type="dxa" w:w="14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 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Confirmed 7 engines disconnected from pipeline. Identified injection point: STEP 7g.</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Phase 2: EII Integrator Build</w:t>
            </w:r>
          </w:p>
        </w:tc>
        <w:tc>
          <w:tcPr>
            <w:tcW w:type="dxa" w:w="14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 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scripts/enterprise_intelligence_integrator.py — 914 lines, syntax clean, self-test passing.</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Phase 3: Pipeline Wiring</w:t>
            </w:r>
          </w:p>
        </w:tc>
        <w:tc>
          <w:tcPr>
            <w:tcW w:type="dxa" w:w="14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 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agent/sentinel_blogger.py — STEP 7g injected at line 1304. File: 1,539 lines, syntax clean.</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Phase 4: CI/CD Wiring</w:t>
            </w:r>
          </w:p>
        </w:tc>
        <w:tc>
          <w:tcPr>
            <w:tcW w:type="dxa" w:w="14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 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.github/workflows/sentinel-blogger.yml — STAGE 5.8.5 added. YAML valid.</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Phase 5: Full Validation</w:t>
            </w:r>
          </w:p>
        </w:tc>
        <w:tc>
          <w:tcPr>
            <w:tcW w:type="dxa" w:w="1400"/>
            <w:tcBorders>
              <w:top w:val="single" w:color="CCCCCC" w:sz="1"/>
              <w:left w:val="single" w:color="CCCCCC" w:sz="1"/>
              <w:bottom w:val="single" w:color="CCCCCC" w:sz="1"/>
              <w:right w:val="single" w:color="CCCCCC"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 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223/227 PASS. 0 regressions. All 3 modified files syntax clean.</w:t>
            </w:r>
          </w:p>
        </w:tc>
      </w:tr>
      <w:tr>
        <w:tc>
          <w:tcPr>
            <w:tcW w:type="dxa" w:w="3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Phase 6: Architecture Document</w:t>
            </w:r>
          </w:p>
        </w:tc>
        <w:tc>
          <w:tcPr>
            <w:tcW w:type="dxa" w:w="1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 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This document. Enterprise Intelligence Architecture Master Reference v1.0.</w:t>
            </w:r>
          </w:p>
        </w:tc>
      </w:tr>
    </w:tbl>
    <w:p>
      <w:pPr>
        <w:pStyle w:val="Heading2"/>
        <w:spacing w:after="160" w:before="480"/>
      </w:pPr>
      <w:r>
        <w:rPr>
          <w:rFonts w:ascii="Arial" w:cs="Arial" w:eastAsia="Arial" w:hAnsi="Arial"/>
          <w:b/>
          <w:bCs/>
          <w:color w:val="C0392B"/>
          <w:sz w:val="36"/>
          <w:szCs w:val="36"/>
        </w:rPr>
        <w:t xml:space="preserve">8.2  Files Modified / Created This Session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Path</w:t>
            </w:r>
          </w:p>
        </w:tc>
        <w:tc>
          <w:tcPr>
            <w:tcW w:type="dxa" w:w="12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396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 Summary</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color w:val="1C2833"/>
                <w:sz w:val="18"/>
                <w:szCs w:val="18"/>
              </w:rPr>
              <w:t xml:space="preserve">scripts/enterprise_intelligence_integrator.py</w:t>
            </w:r>
          </w:p>
        </w:tc>
        <w:tc>
          <w:tcPr>
            <w:tcW w:type="dxa" w:w="12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pPr>
              <w:jc w:val="center"/>
            </w:pPr>
            <w:r>
              <w:rPr>
                <w:rFonts w:ascii="Arial" w:cs="Arial" w:eastAsia="Arial" w:hAnsi="Arial"/>
                <w:b/>
                <w:bCs/>
                <w:color w:val="1A5276"/>
                <w:sz w:val="20"/>
                <w:szCs w:val="20"/>
              </w:rPr>
              <w:t xml:space="preserve">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914-line EII integration module. Central orchestration of all 7 engines. EnterpriseIntelResult dataclass. Zero-regression contract enforcer.</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color w:val="1C2833"/>
                <w:sz w:val="18"/>
                <w:szCs w:val="18"/>
              </w:rPr>
              <w:t xml:space="preserve">agent/sentinel_blogger.py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D68910"/>
                <w:sz w:val="20"/>
                <w:szCs w:val="20"/>
              </w:rPr>
              <w:t xml:space="preserve">MODIFIED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STEP 7g injected at line 1304 (66 lines added). STIX metadata writer updated to embed enterprise_enrichment. Total: 1,539 lines.</w:t>
            </w:r>
          </w:p>
        </w:tc>
      </w:tr>
      <w:tr>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Courier New" w:cs="Courier New" w:eastAsia="Courier New" w:hAnsi="Courier New"/>
                <w:color w:val="1C2833"/>
                <w:sz w:val="18"/>
                <w:szCs w:val="18"/>
              </w:rPr>
              <w:t xml:space="preserve">.github/workflows/sentinel-blogger.yml</w:t>
            </w:r>
          </w:p>
        </w:tc>
        <w:tc>
          <w:tcPr>
            <w:tcW w:type="dxa" w:w="12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D68910"/>
                <w:sz w:val="20"/>
                <w:szCs w:val="20"/>
              </w:rPr>
              <w:t xml:space="preserve">MODIFIED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STAGE 5.8.5 added between STAGE 5.8.4 and STAGE 5.9. EII self-test + quality gate audit on every CI/CD run.</w:t>
            </w:r>
          </w:p>
        </w:tc>
      </w:tr>
    </w:tbl>
    <w:p>
      <w:pPr>
        <w:pStyle w:val="Heading2"/>
        <w:spacing w:after="160" w:before="480"/>
      </w:pPr>
      <w:r>
        <w:rPr>
          <w:rFonts w:ascii="Arial" w:cs="Arial" w:eastAsia="Arial" w:hAnsi="Arial"/>
          <w:b/>
          <w:bCs/>
          <w:color w:val="C0392B"/>
          <w:sz w:val="36"/>
          <w:szCs w:val="36"/>
        </w:rPr>
        <w:t xml:space="preserve">8.3  Git Commit — Pending Deployment</w:t>
      </w:r>
    </w:p>
    <w:p>
      <w:pPr>
        <w:spacing w:after="160"/>
      </w:pPr>
      <w:r>
        <w:rPr>
          <w:rFonts w:ascii="Arial" w:cs="Arial" w:eastAsia="Arial" w:hAnsi="Arial"/>
          <w:b w:val="false"/>
          <w:bCs w:val="false"/>
          <w:i w:val="false"/>
          <w:iCs w:val="false"/>
          <w:color w:val="000000"/>
          <w:sz w:val="22"/>
          <w:szCs w:val="22"/>
        </w:rPr>
        <w:t xml:space="preserve">All three files are validated and ready for commit. The following commands will push the complete EII v1.0 implementation to GitHub, triggering STAGE 5.8.5 validation on the CI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ECF0F1"/>
                <w:sz w:val="28"/>
                <w:szCs w:val="28"/>
              </w:rPr>
              <w:t xml:space="preserve">Run these commands from the repo root to deploy EII v1.0</w:t>
            </w:r>
          </w:p>
        </w:tc>
      </w:tr>
    </w:tbl>
    <w:p>
      <w:pPr>
        <w:spacing w:after="80"/>
      </w:pPr>
    </w:p>
    <w:p>
      <w:pPr>
        <w:spacing w:after="0"/>
      </w:pPr>
      <w:r>
        <w:rPr>
          <w:rFonts w:ascii="Courier New" w:cs="Courier New" w:eastAsia="Courier New" w:hAnsi="Courier New"/>
          <w:color w:val="1C2833"/>
          <w:sz w:val="18"/>
          <w:szCs w:val="18"/>
        </w:rPr>
        <w:t xml:space="preserve">cd C:\Users\Administrator\Desktop\CYBERDUDEBIVASH-THREAT-INTEL-PLATFORM</w:t>
      </w:r>
    </w:p>
    <w:p>
      <w:pPr>
        <w:spacing w:after="0"/>
      </w:pPr>
      <w:r>
        <w:rPr>
          <w:rFonts w:ascii="Courier New" w:cs="Courier New" w:eastAsia="Courier New" w:hAnsi="Courier New"/>
          <w:color w:val="1C2833"/>
          <w:sz w:val="18"/>
          <w:szCs w:val="18"/>
        </w:rPr>
        <w:t xml:space="preserve"> </w:t>
      </w:r>
    </w:p>
    <w:p>
      <w:pPr>
        <w:spacing w:after="0"/>
      </w:pPr>
      <w:r>
        <w:rPr>
          <w:rFonts w:ascii="Courier New" w:cs="Courier New" w:eastAsia="Courier New" w:hAnsi="Courier New"/>
          <w:color w:val="1C2833"/>
          <w:sz w:val="18"/>
          <w:szCs w:val="18"/>
        </w:rPr>
        <w:t xml:space="preserve">git add scripts/enterprise_intelligence_integrator.py \</w:t>
      </w:r>
    </w:p>
    <w:p>
      <w:pPr>
        <w:spacing w:after="0"/>
      </w:pPr>
      <w:r>
        <w:rPr>
          <w:rFonts w:ascii="Courier New" w:cs="Courier New" w:eastAsia="Courier New" w:hAnsi="Courier New"/>
          <w:color w:val="1C2833"/>
          <w:sz w:val="18"/>
          <w:szCs w:val="18"/>
        </w:rPr>
        <w:t xml:space="preserve">        agent/sentinel_blogger.py \</w:t>
      </w:r>
    </w:p>
    <w:p>
      <w:pPr>
        <w:spacing w:after="0"/>
      </w:pPr>
      <w:r>
        <w:rPr>
          <w:rFonts w:ascii="Courier New" w:cs="Courier New" w:eastAsia="Courier New" w:hAnsi="Courier New"/>
          <w:color w:val="1C2833"/>
          <w:sz w:val="18"/>
          <w:szCs w:val="18"/>
        </w:rPr>
        <w:t xml:space="preserve">        .github/workflows/sentinel-blogger.yml</w:t>
      </w:r>
    </w:p>
    <w:p>
      <w:pPr>
        <w:spacing w:after="0"/>
      </w:pPr>
      <w:r>
        <w:rPr>
          <w:rFonts w:ascii="Courier New" w:cs="Courier New" w:eastAsia="Courier New" w:hAnsi="Courier New"/>
          <w:color w:val="1C2833"/>
          <w:sz w:val="18"/>
          <w:szCs w:val="18"/>
        </w:rPr>
        <w:t xml:space="preserve"> </w:t>
      </w:r>
    </w:p>
    <w:p>
      <w:pPr>
        <w:spacing w:after="0"/>
      </w:pPr>
      <w:r>
        <w:rPr>
          <w:rFonts w:ascii="Courier New" w:cs="Courier New" w:eastAsia="Courier New" w:hAnsi="Courier New"/>
          <w:color w:val="1C2833"/>
          <w:sz w:val="18"/>
          <w:szCs w:val="18"/>
        </w:rPr>
        <w:t xml:space="preserve">git commit -m "feat(eii): Enterprise Intelligence Integration Layer v1.0</w:t>
      </w:r>
    </w:p>
    <w:p>
      <w:pPr>
        <w:spacing w:after="0"/>
      </w:pPr>
      <w:r>
        <w:rPr>
          <w:rFonts w:ascii="Courier New" w:cs="Courier New" w:eastAsia="Courier New" w:hAnsi="Courier New"/>
          <w:color w:val="1C2833"/>
          <w:sz w:val="18"/>
          <w:szCs w:val="18"/>
        </w:rPr>
        <w:t xml:space="preserve"> </w:t>
      </w:r>
    </w:p>
    <w:p>
      <w:pPr>
        <w:spacing w:after="0"/>
      </w:pPr>
      <w:r>
        <w:rPr>
          <w:rFonts w:ascii="Courier New" w:cs="Courier New" w:eastAsia="Courier New" w:hAnsi="Courier New"/>
          <w:color w:val="1C2833"/>
          <w:sz w:val="18"/>
          <w:szCs w:val="18"/>
        </w:rPr>
        <w:t xml:space="preserve">- Wire 7 enterprise engines into process_entry() at STEP 7g</w:t>
      </w:r>
    </w:p>
    <w:p>
      <w:pPr>
        <w:spacing w:after="0"/>
      </w:pPr>
      <w:r>
        <w:rPr>
          <w:rFonts w:ascii="Courier New" w:cs="Courier New" w:eastAsia="Courier New" w:hAnsi="Courier New"/>
          <w:color w:val="1C2833"/>
          <w:sz w:val="18"/>
          <w:szCs w:val="18"/>
        </w:rPr>
        <w:t xml:space="preserve">- IIP + MAE + AHE + RSE + DCE + NE + QGS execution pipeline</w:t>
      </w:r>
    </w:p>
    <w:p>
      <w:pPr>
        <w:spacing w:after="0"/>
      </w:pPr>
      <w:r>
        <w:rPr>
          <w:rFonts w:ascii="Courier New" w:cs="Courier New" w:eastAsia="Courier New" w:hAnsi="Courier New"/>
          <w:color w:val="1C2833"/>
          <w:sz w:val="18"/>
          <w:szCs w:val="18"/>
        </w:rPr>
        <w:t xml:space="preserve">- Zero-regression contract: engine failures preserve originals</w:t>
      </w:r>
    </w:p>
    <w:p>
      <w:pPr>
        <w:spacing w:after="0"/>
      </w:pPr>
      <w:r>
        <w:rPr>
          <w:rFonts w:ascii="Courier New" w:cs="Courier New" w:eastAsia="Courier New" w:hAnsi="Courier New"/>
          <w:color w:val="1C2833"/>
          <w:sz w:val="18"/>
          <w:szCs w:val="18"/>
        </w:rPr>
        <w:t xml:space="preserve">- Hard block on AHE critical violations only</w:t>
      </w:r>
    </w:p>
    <w:p>
      <w:pPr>
        <w:spacing w:after="0"/>
      </w:pPr>
      <w:r>
        <w:rPr>
          <w:rFonts w:ascii="Courier New" w:cs="Courier New" w:eastAsia="Courier New" w:hAnsi="Courier New"/>
          <w:color w:val="1C2833"/>
          <w:sz w:val="18"/>
          <w:szCs w:val="18"/>
        </w:rPr>
        <w:t xml:space="preserve">- EnterpriseIntelResult replaces IOCs, risk_score, confidence,</w:t>
      </w:r>
    </w:p>
    <w:p>
      <w:pPr>
        <w:spacing w:after="0"/>
      </w:pPr>
      <w:r>
        <w:rPr>
          <w:rFonts w:ascii="Courier New" w:cs="Courier New" w:eastAsia="Courier New" w:hAnsi="Courier New"/>
          <w:color w:val="1C2833"/>
          <w:sz w:val="18"/>
          <w:szCs w:val="18"/>
        </w:rPr>
        <w:t xml:space="preserve">  severity, mitre_data, enriched_content with validated outputs</w:t>
      </w:r>
    </w:p>
    <w:p>
      <w:pPr>
        <w:spacing w:after="0"/>
      </w:pPr>
      <w:r>
        <w:rPr>
          <w:rFonts w:ascii="Courier New" w:cs="Courier New" w:eastAsia="Courier New" w:hAnsi="Courier New"/>
          <w:color w:val="1C2833"/>
          <w:sz w:val="18"/>
          <w:szCs w:val="18"/>
        </w:rPr>
        <w:t xml:space="preserve">- STIX bundles now embed enterprise_enrichment manifest</w:t>
      </w:r>
    </w:p>
    <w:p>
      <w:pPr>
        <w:spacing w:after="0"/>
      </w:pPr>
      <w:r>
        <w:rPr>
          <w:rFonts w:ascii="Courier New" w:cs="Courier New" w:eastAsia="Courier New" w:hAnsi="Courier New"/>
          <w:color w:val="1C2833"/>
          <w:sz w:val="18"/>
          <w:szCs w:val="18"/>
        </w:rPr>
        <w:t xml:space="preserve">- CI: STAGE 5.8.5 EII self-test + quality audit on every deploy</w:t>
      </w:r>
    </w:p>
    <w:p>
      <w:pPr>
        <w:spacing w:after="0"/>
      </w:pPr>
      <w:r>
        <w:rPr>
          <w:rFonts w:ascii="Courier New" w:cs="Courier New" w:eastAsia="Courier New" w:hAnsi="Courier New"/>
          <w:color w:val="1C2833"/>
          <w:sz w:val="18"/>
          <w:szCs w:val="18"/>
        </w:rPr>
        <w:t xml:space="preserve">- Fix: CVE IDs excluded from IOC list (VALID_IOC_TYPES whitelist)</w:t>
      </w:r>
    </w:p>
    <w:p>
      <w:pPr>
        <w:spacing w:after="0"/>
      </w:pPr>
      <w:r>
        <w:rPr>
          <w:rFonts w:ascii="Courier New" w:cs="Courier New" w:eastAsia="Courier New" w:hAnsi="Courier New"/>
          <w:color w:val="1C2833"/>
          <w:sz w:val="18"/>
          <w:szCs w:val="18"/>
        </w:rPr>
        <w:t xml:space="preserve">- Fix: Engine order IIP-&gt;MAE-&gt;AHE prevents ZERO_EVIDENCE_ATTACK"</w:t>
      </w:r>
    </w:p>
    <w:p>
      <w:pPr>
        <w:spacing w:after="0"/>
      </w:pPr>
      <w:r>
        <w:rPr>
          <w:rFonts w:ascii="Courier New" w:cs="Courier New" w:eastAsia="Courier New" w:hAnsi="Courier New"/>
          <w:color w:val="1C2833"/>
          <w:sz w:val="18"/>
          <w:szCs w:val="18"/>
        </w:rPr>
        <w:t xml:space="preserve"> </w:t>
      </w:r>
    </w:p>
    <w:p>
      <w:pPr>
        <w:spacing w:after="0"/>
      </w:pPr>
      <w:r>
        <w:rPr>
          <w:rFonts w:ascii="Courier New" w:cs="Courier New" w:eastAsia="Courier New" w:hAnsi="Courier New"/>
          <w:color w:val="1C2833"/>
          <w:sz w:val="18"/>
          <w:szCs w:val="18"/>
        </w:rPr>
        <w:t xml:space="preserve">git push origin main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60"/>
              <w:left w:type="dxa" w:w="240"/>
              <w:bottom w:type="dxa" w:w="160"/>
              <w:right w:type="dxa" w:w="240"/>
            </w:tcMar>
          </w:tcPr>
          <w:p>
            <w:r>
              <w:rPr>
                <w:rFonts w:ascii="Arial" w:cs="Arial" w:eastAsia="Arial" w:hAnsi="Arial"/>
                <w:b/>
                <w:bCs/>
                <w:color w:val="FFFFFF"/>
                <w:sz w:val="28"/>
                <w:szCs w:val="28"/>
              </w:rPr>
              <w:t xml:space="preserve">9. MONETIZATION READINESS ASSESSMENT</w:t>
            </w:r>
          </w:p>
        </w:tc>
      </w:tr>
    </w:tbl>
    <w:p>
      <w:pPr>
        <w:pStyle w:val="Heading2"/>
        <w:spacing w:after="160" w:before="480"/>
      </w:pPr>
      <w:r>
        <w:rPr>
          <w:rFonts w:ascii="Arial" w:cs="Arial" w:eastAsia="Arial" w:hAnsi="Arial"/>
          <w:b/>
          <w:bCs/>
          <w:color w:val="C0392B"/>
          <w:sz w:val="36"/>
          <w:szCs w:val="36"/>
        </w:rPr>
        <w:t xml:space="preserve">9.1  Enterprise Value Delivered</w:t>
      </w:r>
    </w:p>
    <w:p>
      <w:pPr>
        <w:spacing w:after="160"/>
      </w:pPr>
      <w:r>
        <w:rPr>
          <w:rFonts w:ascii="Arial" w:cs="Arial" w:eastAsia="Arial" w:hAnsi="Arial"/>
          <w:b w:val="false"/>
          <w:bCs w:val="false"/>
          <w:i w:val="false"/>
          <w:iCs w:val="false"/>
          <w:color w:val="000000"/>
          <w:sz w:val="22"/>
          <w:szCs w:val="22"/>
        </w:rPr>
        <w:t xml:space="preserve">The EII v1.0 directly addresses the highest-value differentiators in enterprise CTI platform sales: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AAAAAA" w:sz="1"/>
              <w:left w:val="single" w:color="AAAAAA" w:sz="1"/>
              <w:bottom w:val="single" w:color="AAAAAA" w:sz="1"/>
              <w:right w:val="single" w:color="AAAAAA" w:sz="1"/>
            </w:tcBorders>
            <w:shd w:fill="0E665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Enterprise Requirement</w:t>
            </w:r>
          </w:p>
        </w:tc>
        <w:tc>
          <w:tcPr>
            <w:tcW w:type="dxa" w:w="2560"/>
            <w:tcBorders>
              <w:top w:val="single" w:color="AAAAAA" w:sz="1"/>
              <w:left w:val="single" w:color="AAAAAA" w:sz="1"/>
              <w:bottom w:val="single" w:color="AAAAAA" w:sz="1"/>
              <w:right w:val="single" w:color="AAAAAA" w:sz="1"/>
            </w:tcBorders>
            <w:shd w:fill="0E665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EII Component</w:t>
            </w:r>
          </w:p>
        </w:tc>
        <w:tc>
          <w:tcPr>
            <w:tcW w:type="dxa" w:w="3600"/>
            <w:tcBorders>
              <w:top w:val="single" w:color="AAAAAA" w:sz="1"/>
              <w:left w:val="single" w:color="AAAAAA" w:sz="1"/>
              <w:bottom w:val="single" w:color="AAAAAA" w:sz="1"/>
              <w:right w:val="single" w:color="AAAAAA" w:sz="1"/>
            </w:tcBorders>
            <w:shd w:fill="0E665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Revenue Impact</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"Reports must not be AI-generated"</w:t>
            </w:r>
          </w:p>
        </w:tc>
        <w:tc>
          <w:tcPr>
            <w:tcW w:type="dxa" w:w="25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NE: tier-aware analyst narratives + entropy scoring</w:t>
            </w:r>
          </w:p>
        </w:tc>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1E8449"/>
                <w:sz w:val="18"/>
                <w:szCs w:val="18"/>
              </w:rPr>
              <w:t xml:space="preserve">Removes primary enterprise objection to CTI platform procurement</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"Show me evidence for every score"</w:t>
            </w:r>
          </w:p>
        </w:tc>
        <w:tc>
          <w:tcPr>
            <w:tcW w:type="dxa" w:w="25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RSE: evidence-weighted scoring with traceability fields</w:t>
            </w:r>
          </w:p>
        </w:tc>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1E8449"/>
                <w:sz w:val="18"/>
                <w:szCs w:val="18"/>
              </w:rPr>
              <w:t xml:space="preserve">Enables CISO and audit-team trust — required for enterprise renewals</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"Verify attribution before publishing"</w:t>
            </w:r>
          </w:p>
        </w:tc>
        <w:tc>
          <w:tcPr>
            <w:tcW w:type="dxa" w:w="25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AHE: SYNTHETIC_ATTRIBUTION hard block</w:t>
            </w:r>
          </w:p>
        </w:tc>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1E8449"/>
                <w:sz w:val="18"/>
                <w:szCs w:val="18"/>
              </w:rPr>
              <w:t xml:space="preserve">Eliminates legal/reputational risk from false threat actor attribution</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"Only actionable IOCs — no noise"</w:t>
            </w:r>
          </w:p>
        </w:tc>
        <w:tc>
          <w:tcPr>
            <w:tcW w:type="dxa" w:w="25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IIP: VALID_IOC_TYPES whitelist + fake IP removal</w:t>
            </w:r>
          </w:p>
        </w:tc>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1E8449"/>
                <w:sz w:val="18"/>
                <w:szCs w:val="18"/>
              </w:rPr>
              <w:t xml:space="preserve">SOC teams pay premium for clean, validated IOC feeds with zero false positives</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"Prove detection coverage"</w:t>
            </w:r>
          </w:p>
        </w:tc>
        <w:tc>
          <w:tcPr>
            <w:tcW w:type="dxa" w:w="25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MAE: ATT&amp;CK evidence + Sigma/KQL examples</w:t>
            </w:r>
          </w:p>
        </w:tc>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1E8449"/>
                <w:sz w:val="18"/>
                <w:szCs w:val="18"/>
              </w:rPr>
              <w:t xml:space="preserve">SIEM integration upsell — customers need detection content, not raw mappings</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"12-month data quality SLA"</w:t>
            </w:r>
          </w:p>
        </w:tc>
        <w:tc>
          <w:tcPr>
            <w:tcW w:type="dxa" w:w="25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QGS: pre-publish gate audit trail in STIX bundles</w:t>
            </w:r>
          </w:p>
        </w:tc>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1E8449"/>
                <w:sz w:val="18"/>
                <w:szCs w:val="18"/>
              </w:rPr>
              <w:t xml:space="preserve">Enterprise contracts require measurable quality SLA with audit evidence</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19"/>
                <w:szCs w:val="19"/>
              </w:rPr>
              <w:t xml:space="preserve">"ICS/OT threat awareness"</w:t>
            </w:r>
          </w:p>
        </w:tc>
        <w:tc>
          <w:tcPr>
            <w:tcW w:type="dxa" w:w="25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0E6655"/>
                <w:sz w:val="18"/>
                <w:szCs w:val="18"/>
              </w:rPr>
              <w:t xml:space="preserve">RSE + QGS: ICS/OT impact scoring fields</w:t>
            </w:r>
          </w:p>
        </w:tc>
        <w:tc>
          <w:tcPr>
            <w:tcW w:type="dxa" w:w="3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tcPr>
          <w:p>
            <w:r>
              <w:rPr>
                <w:rFonts w:ascii="Arial" w:cs="Arial" w:eastAsia="Arial" w:hAnsi="Arial"/>
                <w:color w:val="1E8449"/>
                <w:sz w:val="18"/>
                <w:szCs w:val="18"/>
              </w:rPr>
              <w:t xml:space="preserve">Dragos-competitive positioning in critical infrastructure verticals</w:t>
            </w:r>
          </w:p>
        </w:tc>
      </w:tr>
    </w:tbl>
    <w:p>
      <w:pPr>
        <w:pStyle w:val="Heading2"/>
        <w:spacing w:after="160" w:before="480"/>
      </w:pPr>
      <w:r>
        <w:rPr>
          <w:rFonts w:ascii="Arial" w:cs="Arial" w:eastAsia="Arial" w:hAnsi="Arial"/>
          <w:b/>
          <w:bCs/>
          <w:color w:val="C0392B"/>
          <w:sz w:val="36"/>
          <w:szCs w:val="36"/>
        </w:rPr>
        <w:t xml:space="preserve">9.2  Competitive Positioning</w:t>
      </w:r>
    </w:p>
    <w:p>
      <w:pPr>
        <w:spacing w:after="160"/>
      </w:pPr>
      <w:r>
        <w:rPr>
          <w:rFonts w:ascii="Arial" w:cs="Arial" w:eastAsia="Arial" w:hAnsi="Arial"/>
          <w:b w:val="false"/>
          <w:bCs w:val="false"/>
          <w:i w:val="false"/>
          <w:iCs w:val="false"/>
          <w:color w:val="000000"/>
          <w:sz w:val="22"/>
          <w:szCs w:val="22"/>
        </w:rPr>
        <w:t xml:space="preserve">With EII v1.0 deployed, SENTINEL APEX is now architecturally comparable to:</w:t>
      </w:r>
    </w:p>
    <w:p>
      <w:pPr>
        <w:pStyle w:val="ListParagraph"/>
        <w:numPr>
          <w:ilvl w:val="0"/>
          <w:numId w:val="2"/>
        </w:numPr>
        <w:spacing w:after="80"/>
      </w:pPr>
      <w:r>
        <w:rPr>
          <w:rFonts w:ascii="Arial" w:cs="Arial" w:eastAsia="Arial" w:hAnsi="Arial"/>
          <w:b w:val="false"/>
          <w:bCs w:val="false"/>
          <w:color w:val="000000"/>
          <w:sz w:val="22"/>
          <w:szCs w:val="22"/>
        </w:rPr>
        <w:t xml:space="preserve">Recorded Future — evidence-weighted risk scoring with CVSS/EPSS/KEV integration</w:t>
      </w:r>
    </w:p>
    <w:p>
      <w:pPr>
        <w:pStyle w:val="ListParagraph"/>
        <w:numPr>
          <w:ilvl w:val="0"/>
          <w:numId w:val="2"/>
        </w:numPr>
        <w:spacing w:after="80"/>
      </w:pPr>
      <w:r>
        <w:rPr>
          <w:rFonts w:ascii="Arial" w:cs="Arial" w:eastAsia="Arial" w:hAnsi="Arial"/>
          <w:b w:val="false"/>
          <w:bCs w:val="false"/>
          <w:color w:val="000000"/>
          <w:sz w:val="22"/>
          <w:szCs w:val="22"/>
        </w:rPr>
        <w:t xml:space="preserve">Mandiant / Google Threat Intelligence — analyst-grade narrative with behavioral evidence requirements</w:t>
      </w:r>
    </w:p>
    <w:p>
      <w:pPr>
        <w:pStyle w:val="ListParagraph"/>
        <w:numPr>
          <w:ilvl w:val="0"/>
          <w:numId w:val="2"/>
        </w:numPr>
        <w:spacing w:after="80"/>
      </w:pPr>
      <w:r>
        <w:rPr>
          <w:rFonts w:ascii="Arial" w:cs="Arial" w:eastAsia="Arial" w:hAnsi="Arial"/>
          <w:b w:val="false"/>
          <w:bCs w:val="false"/>
          <w:color w:val="000000"/>
          <w:sz w:val="22"/>
          <w:szCs w:val="22"/>
        </w:rPr>
        <w:t xml:space="preserve">CrowdStrike Falcon Intelligence — anti-hallucination controls preventing synthetic attribution publication</w:t>
      </w:r>
    </w:p>
    <w:p>
      <w:pPr>
        <w:pStyle w:val="ListParagraph"/>
        <w:numPr>
          <w:ilvl w:val="0"/>
          <w:numId w:val="2"/>
        </w:numPr>
        <w:spacing w:after="80"/>
      </w:pPr>
      <w:r>
        <w:rPr>
          <w:rFonts w:ascii="Arial" w:cs="Arial" w:eastAsia="Arial" w:hAnsi="Arial"/>
          <w:b w:val="false"/>
          <w:bCs w:val="false"/>
          <w:color w:val="000000"/>
          <w:sz w:val="22"/>
          <w:szCs w:val="22"/>
        </w:rPr>
        <w:t xml:space="preserve">Unit 42 (Palo Alto) — multi-source IOC validation pipeline with ASN/geo enrichment</w:t>
      </w:r>
    </w:p>
    <w:p>
      <w:pPr>
        <w:pStyle w:val="ListParagraph"/>
        <w:numPr>
          <w:ilvl w:val="0"/>
          <w:numId w:val="2"/>
        </w:numPr>
        <w:spacing w:after="80"/>
      </w:pPr>
      <w:r>
        <w:rPr>
          <w:rFonts w:ascii="Arial" w:cs="Arial" w:eastAsia="Arial" w:hAnsi="Arial"/>
          <w:b w:val="false"/>
          <w:bCs w:val="false"/>
          <w:color w:val="000000"/>
          <w:sz w:val="22"/>
          <w:szCs w:val="22"/>
        </w:rPr>
        <w:t xml:space="preserve">Dragos — ICS/OT impact scoring fields in risk engine</w:t>
      </w:r>
    </w:p>
    <w:p>
      <w:pPr>
        <w:pStyle w:val="ListParagraph"/>
        <w:numPr>
          <w:ilvl w:val="0"/>
          <w:numId w:val="2"/>
        </w:numPr>
        <w:spacing w:after="80"/>
      </w:pPr>
      <w:r>
        <w:rPr>
          <w:rFonts w:ascii="Arial" w:cs="Arial" w:eastAsia="Arial" w:hAnsi="Arial"/>
          <w:b w:val="false"/>
          <w:bCs w:val="false"/>
          <w:color w:val="000000"/>
          <w:sz w:val="22"/>
          <w:szCs w:val="22"/>
        </w:rPr>
        <w:t xml:space="preserve">Microsoft Threat Intelligence — pre-publish quality gate enforcement with STIX audit trail</w:t>
      </w:r>
    </w:p>
    <w:p>
      <w:pPr>
        <w:spacing w:after="160"/>
      </w:pPr>
    </w:p>
    <w:p>
      <w:pPr>
        <w:spacing w:after="160"/>
      </w:pPr>
      <w:r>
        <w:rPr>
          <w:rFonts w:ascii="Arial" w:cs="Arial" w:eastAsia="Arial" w:hAnsi="Arial"/>
          <w:b w:val="false"/>
          <w:bCs w:val="false"/>
          <w:i w:val="false"/>
          <w:iCs w:val="false"/>
          <w:color w:val="000000"/>
          <w:sz w:val="22"/>
          <w:szCs w:val="22"/>
        </w:rPr>
        <w:t xml:space="preserve">SENTINEL APEX differentiates from these platforms through its open-architecture engine design, API economy model, and the ability to add new intelligence engines as plug-in modules without modifying the core pipeline.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8"/>
                <w:szCs w:val="28"/>
              </w:rPr>
              <w:t xml:space="preserve">10. APPENDIX — FILE MANIFESTS &amp; TECHNICAL REFERENCE</w:t>
            </w:r>
          </w:p>
        </w:tc>
      </w:tr>
    </w:tbl>
    <w:p>
      <w:pPr>
        <w:pStyle w:val="Heading2"/>
        <w:spacing w:after="160" w:before="480"/>
      </w:pPr>
      <w:r>
        <w:rPr>
          <w:rFonts w:ascii="Arial" w:cs="Arial" w:eastAsia="Arial" w:hAnsi="Arial"/>
          <w:b/>
          <w:bCs/>
          <w:color w:val="C0392B"/>
          <w:sz w:val="36"/>
          <w:szCs w:val="36"/>
        </w:rPr>
        <w:t xml:space="preserve">10.1  Complete Engine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scripts/enterprise_intelligence_integrator.py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914 lines | EII orchestrator | STEP 7g bridge</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scripts/anti_hallucination_engine.py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593 lines | AHE | HallucinationEngine().audit(item)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scripts/apex_risk_scoring_engine.py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487 lines | RSE | compute_apex_risk(item)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scripts/apex_confidence_engine.py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334 lines | DCE | compute_confidence(item)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scripts/apex_ioc_intelligence_pipeline.py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 lines | IIP | process_item_iocs(item)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scripts/apex_mitre_attack_engine.py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367 lines | MAE | enrich_attack_mapping(item)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scripts/apex_narrative_engine.py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519 lines | NE  | NarrativeEngine().generate(item)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scripts/apex_intelligence_quality_gates.py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521 lines | QGS | QualityGateSystem().evaluate(item)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agent/sentinel_blogger.py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1,539 lines | Live pipeline | process_entry() with STEP 7g</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.github/workflows/sentinel-blogger.yml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YAML | STAGE 5.8.5 EII audit wired</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20"/>
                <w:szCs w:val="20"/>
              </w:rPr>
              <w:t xml:space="preserve">Total engine code (8 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5,212 lines of production-grade Python</w:t>
            </w:r>
          </w:p>
        </w:tc>
      </w:tr>
    </w:tbl>
    <w:p>
      <w:pPr>
        <w:pStyle w:val="Heading2"/>
        <w:spacing w:after="160" w:before="480"/>
      </w:pPr>
      <w:r>
        <w:rPr>
          <w:rFonts w:ascii="Arial" w:cs="Arial" w:eastAsia="Arial" w:hAnsi="Arial"/>
          <w:b/>
          <w:bCs/>
          <w:color w:val="C0392B"/>
          <w:sz w:val="36"/>
          <w:szCs w:val="36"/>
        </w:rPr>
        <w:t xml:space="preserve">10.2  Intelligence Tier Taxonomy</w:t>
      </w:r>
    </w:p>
    <w:p>
      <w:pPr>
        <w:spacing w:after="160"/>
      </w:pPr>
      <w:r>
        <w:rPr>
          <w:rFonts w:ascii="Arial" w:cs="Arial" w:eastAsia="Arial" w:hAnsi="Arial"/>
          <w:b w:val="false"/>
          <w:bCs w:val="false"/>
          <w:i w:val="false"/>
          <w:iCs w:val="false"/>
          <w:color w:val="000000"/>
          <w:sz w:val="22"/>
          <w:szCs w:val="22"/>
        </w:rPr>
        <w:t xml:space="preserve">The Narrative Engine and Quality Gate System apply tier-specific analysis logic across 9 intelligence tier types: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rPr>
          <w:tblHeader/>
        </w:trPr>
        <w:tc>
          <w:tcPr>
            <w:tcW w:type="dxa" w:w="36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Intelligence Tier</w:t>
            </w:r>
          </w:p>
        </w:tc>
        <w:tc>
          <w:tcPr>
            <w:tcW w:type="dxa" w:w="62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Required Analysis Fields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1</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19"/>
                <w:szCs w:val="19"/>
              </w:rPr>
              <w:t xml:space="preserve">CVE Advisories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CVSS, EPSS, KEV status, exploit maturity, affected component, PoC availability, patch guidance</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Threat Actor Campaigns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Attribution evidence, victimology, infrastructure overlap, TTP overlap, campaign timeline</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3</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19"/>
                <w:szCs w:val="19"/>
              </w:rPr>
              <w:t xml:space="preserve">Malware Operations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Malware family, capabilities, C2 infrastructure, distribution vector, detection signatures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ICS / OT Advisories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Affected vendor/model, OT protocol, safety impact, operational continuity risk, ICS-CERT reference</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5</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19"/>
                <w:szCs w:val="19"/>
              </w:rPr>
              <w:t xml:space="preserve">Ransomware Intelligence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Ransomware group, affiliate model, initial access vector, ransom demand range, victim sector</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Exploit Weaponization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Exploit type, affected versions, CVSS, PoC/weaponized status, active exploitation evidence</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7</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19"/>
                <w:szCs w:val="19"/>
              </w:rPr>
              <w:t xml:space="preserve">Vulnerability Research</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Vulnerability class, discovery context, researcher credit, patch/mitigation status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Phishing Campaigns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Lure theme, delivery mechanism, infrastructure, targeted sector, credential harvest vs payload</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80"/>
              <w:bottom w:type="dxa" w:w="80"/>
              <w:right w:type="dxa" w:w="80"/>
            </w:tcMar>
          </w:tcPr>
          <w:p>
            <w:pPr>
              <w:jc w:val="center"/>
            </w:pPr>
            <w:r>
              <w:rPr>
                <w:rFonts w:ascii="Arial" w:cs="Arial" w:eastAsia="Arial" w:hAnsi="Arial"/>
                <w:b/>
                <w:bCs/>
                <w:sz w:val="19"/>
                <w:szCs w:val="19"/>
              </w:rPr>
              <w:t xml:space="preserve">9</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19"/>
                <w:szCs w:val="19"/>
              </w:rPr>
              <w:t xml:space="preserve">Geopolitical CTI</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Threat actors, nation-state nexus, geopolitical context, targeted nation/sector, TTPs</w:t>
            </w:r>
          </w:p>
        </w:tc>
      </w:tr>
    </w:tbl>
    <w:p>
      <w:pPr>
        <w:pStyle w:val="Heading2"/>
        <w:spacing w:after="160" w:before="480"/>
      </w:pPr>
      <w:r>
        <w:rPr>
          <w:rFonts w:ascii="Arial" w:cs="Arial" w:eastAsia="Arial" w:hAnsi="Arial"/>
          <w:b/>
          <w:bCs/>
          <w:color w:val="C0392B"/>
          <w:sz w:val="36"/>
          <w:szCs w:val="36"/>
        </w:rPr>
        <w:t xml:space="preserve">10.3  Anti-Regression Checklist — Future Deployments</w:t>
      </w:r>
    </w:p>
    <w:p>
      <w:pPr>
        <w:spacing w:after="160"/>
      </w:pPr>
      <w:r>
        <w:rPr>
          <w:rFonts w:ascii="Arial" w:cs="Arial" w:eastAsia="Arial" w:hAnsi="Arial"/>
          <w:b w:val="false"/>
          <w:bCs w:val="false"/>
          <w:i w:val="false"/>
          <w:iCs w:val="false"/>
          <w:color w:val="000000"/>
          <w:sz w:val="22"/>
          <w:szCs w:val="22"/>
        </w:rPr>
        <w:t xml:space="preserve">Before any future modification to the intelligence pipeline, verify the following against EII v1.0 contracts:</w:t>
      </w:r>
    </w:p>
    <w:p>
      <w:pPr>
        <w:pStyle w:val="ListParagraph"/>
        <w:numPr>
          <w:ilvl w:val="0"/>
          <w:numId w:val="2"/>
        </w:numPr>
        <w:spacing w:after="80"/>
      </w:pPr>
      <w:r>
        <w:rPr>
          <w:rFonts w:ascii="Arial" w:cs="Arial" w:eastAsia="Arial" w:hAnsi="Arial"/>
          <w:b w:val="false"/>
          <w:bCs w:val="false"/>
          <w:color w:val="000000"/>
          <w:sz w:val="22"/>
          <w:szCs w:val="22"/>
        </w:rPr>
        <w:t xml:space="preserve">Run py_compile on all 8 engine scripts before merge</w:t>
      </w:r>
    </w:p>
    <w:p>
      <w:pPr>
        <w:pStyle w:val="ListParagraph"/>
        <w:numPr>
          <w:ilvl w:val="0"/>
          <w:numId w:val="2"/>
        </w:numPr>
        <w:spacing w:after="80"/>
      </w:pPr>
      <w:r>
        <w:rPr>
          <w:rFonts w:ascii="Arial" w:cs="Arial" w:eastAsia="Arial" w:hAnsi="Arial"/>
          <w:b w:val="false"/>
          <w:bCs w:val="false"/>
          <w:color w:val="000000"/>
          <w:sz w:val="22"/>
          <w:szCs w:val="22"/>
        </w:rPr>
        <w:t xml:space="preserve">Verify engine execution order: IIP → MAE → AHE → RSE → DCE → NE → QGS</w:t>
      </w:r>
    </w:p>
    <w:p>
      <w:pPr>
        <w:pStyle w:val="ListParagraph"/>
        <w:numPr>
          <w:ilvl w:val="0"/>
          <w:numId w:val="2"/>
        </w:numPr>
        <w:spacing w:after="80"/>
      </w:pPr>
      <w:r>
        <w:rPr>
          <w:rFonts w:ascii="Arial" w:cs="Arial" w:eastAsia="Arial" w:hAnsi="Arial"/>
          <w:b w:val="false"/>
          <w:bCs w:val="false"/>
          <w:color w:val="000000"/>
          <w:sz w:val="22"/>
          <w:szCs w:val="22"/>
        </w:rPr>
        <w:t xml:space="preserve">Confirm VALID_IOC_TYPES whitelist excludes cve, reference_url, source_url</w:t>
      </w:r>
    </w:p>
    <w:p>
      <w:pPr>
        <w:pStyle w:val="ListParagraph"/>
        <w:numPr>
          <w:ilvl w:val="0"/>
          <w:numId w:val="2"/>
        </w:numPr>
        <w:spacing w:after="80"/>
      </w:pPr>
      <w:r>
        <w:rPr>
          <w:rFonts w:ascii="Arial" w:cs="Arial" w:eastAsia="Arial" w:hAnsi="Arial"/>
          <w:b w:val="false"/>
          <w:bCs w:val="false"/>
          <w:color w:val="000000"/>
          <w:sz w:val="22"/>
          <w:szCs w:val="22"/>
        </w:rPr>
        <w:t xml:space="preserve">Confirm AHE is the ONLY engine that sets hard_block=True</w:t>
      </w:r>
    </w:p>
    <w:p>
      <w:pPr>
        <w:pStyle w:val="ListParagraph"/>
        <w:numPr>
          <w:ilvl w:val="0"/>
          <w:numId w:val="2"/>
        </w:numPr>
        <w:spacing w:after="80"/>
      </w:pPr>
      <w:r>
        <w:rPr>
          <w:rFonts w:ascii="Arial" w:cs="Arial" w:eastAsia="Arial" w:hAnsi="Arial"/>
          <w:b w:val="false"/>
          <w:bCs w:val="false"/>
          <w:color w:val="000000"/>
          <w:sz w:val="22"/>
          <w:szCs w:val="22"/>
        </w:rPr>
        <w:t xml:space="preserve">Confirm QGS is ADVISORY-ONLY (non-blocking) in EII policy</w:t>
      </w:r>
    </w:p>
    <w:p>
      <w:pPr>
        <w:pStyle w:val="ListParagraph"/>
        <w:numPr>
          <w:ilvl w:val="0"/>
          <w:numId w:val="2"/>
        </w:numPr>
        <w:spacing w:after="80"/>
      </w:pPr>
      <w:r>
        <w:rPr>
          <w:rFonts w:ascii="Arial" w:cs="Arial" w:eastAsia="Arial" w:hAnsi="Arial"/>
          <w:b w:val="false"/>
          <w:bCs w:val="false"/>
          <w:color w:val="000000"/>
          <w:sz w:val="22"/>
          <w:szCs w:val="22"/>
        </w:rPr>
        <w:t xml:space="preserve">Run EII self-test with synthetic item: expect 6/7 PASS, 1/7 BLOCK* (QGS advisory)</w:t>
      </w:r>
    </w:p>
    <w:p>
      <w:pPr>
        <w:pStyle w:val="ListParagraph"/>
        <w:numPr>
          <w:ilvl w:val="0"/>
          <w:numId w:val="2"/>
        </w:numPr>
        <w:spacing w:after="80"/>
      </w:pPr>
      <w:r>
        <w:rPr>
          <w:rFonts w:ascii="Arial" w:cs="Arial" w:eastAsia="Arial" w:hAnsi="Arial"/>
          <w:b w:val="false"/>
          <w:bCs w:val="false"/>
          <w:color w:val="000000"/>
          <w:sz w:val="22"/>
          <w:szCs w:val="22"/>
        </w:rPr>
        <w:t xml:space="preserve">Verify sentinel_blogger.py STEP 7g line count: expect 66 EII lines between STEP 7f and STEP 8</w:t>
      </w:r>
    </w:p>
    <w:p>
      <w:pPr>
        <w:pStyle w:val="ListParagraph"/>
        <w:numPr>
          <w:ilvl w:val="0"/>
          <w:numId w:val="2"/>
        </w:numPr>
        <w:spacing w:after="80"/>
      </w:pPr>
      <w:r>
        <w:rPr>
          <w:rFonts w:ascii="Arial" w:cs="Arial" w:eastAsia="Arial" w:hAnsi="Arial"/>
          <w:b w:val="false"/>
          <w:bCs w:val="false"/>
          <w:color w:val="000000"/>
          <w:sz w:val="22"/>
          <w:szCs w:val="22"/>
        </w:rPr>
        <w:t xml:space="preserve">Verify STIX writer includes enterprise_enrichment in metadata after STEP 7g block</w:t>
      </w:r>
    </w:p>
    <w:p>
      <w:pPr>
        <w:pStyle w:val="ListParagraph"/>
        <w:numPr>
          <w:ilvl w:val="0"/>
          <w:numId w:val="2"/>
        </w:numPr>
        <w:spacing w:after="80"/>
      </w:pPr>
      <w:r>
        <w:rPr>
          <w:rFonts w:ascii="Arial" w:cs="Arial" w:eastAsia="Arial" w:hAnsi="Arial"/>
          <w:b w:val="false"/>
          <w:bCs w:val="false"/>
          <w:color w:val="000000"/>
          <w:sz w:val="22"/>
          <w:szCs w:val="22"/>
        </w:rPr>
        <w:t xml:space="preserve">Verify CI STAGE 5.8.5 is present in sentinel-blogger.yml and set continue-on-error: true</w:t>
      </w:r>
    </w:p>
    <w:p>
      <w:pPr>
        <w:pStyle w:val="ListParagraph"/>
        <w:numPr>
          <w:ilvl w:val="0"/>
          <w:numId w:val="2"/>
        </w:numPr>
        <w:spacing w:after="80"/>
      </w:pPr>
      <w:r>
        <w:rPr>
          <w:rFonts w:ascii="Arial" w:cs="Arial" w:eastAsia="Arial" w:hAnsi="Arial"/>
          <w:b w:val="false"/>
          <w:bCs w:val="false"/>
          <w:color w:val="000000"/>
          <w:sz w:val="22"/>
          <w:szCs w:val="22"/>
        </w:rPr>
        <w:t xml:space="preserve">Verify data/telemetry/intelligence_quality_audit.json is written by STAGE 5.8.5</w:t>
      </w:r>
    </w:p>
    <w:p>
      <w:pPr>
        <w:spacing w:after="160" w:before="480"/>
      </w:pPr>
    </w:p>
    <w:p>
      <w:pPr>
        <w:pBdr>
          <w:bottom w:val="single" w:color="C0392B" w:sz="4" w:space="1"/>
        </w:pBdr>
        <w:spacing w:after="80" w:before="80"/>
      </w:pPr>
    </w:p>
    <w:p>
      <w:pPr>
        <w:spacing w:after="240" w:before="240"/>
        <w:jc w:val="center"/>
      </w:pPr>
      <w:r>
        <w:rPr>
          <w:rFonts w:ascii="Arial" w:cs="Arial" w:eastAsia="Arial" w:hAnsi="Arial"/>
          <w:b/>
          <w:bCs/>
          <w:color w:val="2C3E50"/>
          <w:sz w:val="20"/>
          <w:szCs w:val="20"/>
        </w:rPr>
        <w:t xml:space="preserve">CYBERDUDEBIVASH® SENTINEL APEX  |  Enterprise Intelligence Architecture Master Document  |  v1.0</w:t>
      </w:r>
    </w:p>
    <w:p>
      <w:pPr>
        <w:spacing w:after="80"/>
        <w:jc w:val="center"/>
      </w:pPr>
      <w:r>
        <w:rPr>
          <w:rFonts w:ascii="Arial" w:cs="Arial" w:eastAsia="Arial" w:hAnsi="Arial"/>
          <w:color w:val="999999"/>
          <w:sz w:val="18"/>
          <w:szCs w:val="18"/>
        </w:rPr>
        <w:t xml:space="preserve">Produced by CYBERDUDEBIVASH Pvt. Ltd.  —  Principal Cybersecurity Architect  —  May 21, 2026</w:t>
      </w:r>
    </w:p>
    <w:p>
      <w:pPr>
        <w:spacing w:after="80"/>
        <w:jc w:val="center"/>
      </w:pPr>
      <w:r>
        <w:rPr>
          <w:rFonts w:ascii="Arial" w:cs="Arial" w:eastAsia="Arial" w:hAnsi="Arial"/>
          <w:b/>
          <w:bCs/>
          <w:color w:val="C0392B"/>
          <w:sz w:val="18"/>
          <w:szCs w:val="18"/>
        </w:rPr>
        <w:t xml:space="preserve">INTERNAL TECHNICAL REFERENCE  |  NOT FOR EXTERNAL DISTRIBUTION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spacing w:before="80"/>
    </w:pPr>
    <w:r>
      <w:rPr>
        <w:rFonts w:ascii="Arial" w:cs="Arial" w:eastAsia="Arial" w:hAnsi="Arial"/>
        <w:color w:val="2C3E50"/>
        <w:sz w:val="16"/>
        <w:szCs w:val="16"/>
      </w:rPr>
      <w:t xml:space="preserve">CYBERDUDEBIVASH Pvt. Ltd. — Internal Technical Reference   |   May 2026   |   Page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80"/>
    </w:pPr>
    <w:r>
      <w:rPr>
        <w:rFonts w:ascii="Arial" w:cs="Arial" w:eastAsia="Arial" w:hAnsi="Arial"/>
        <w:b/>
        <w:bCs/>
        <w:color w:val="C0392B"/>
        <w:sz w:val="18"/>
        <w:szCs w:val="18"/>
      </w:rPr>
      <w:t xml:space="preserve">CYBERDUDEBIVASH® SENTINEL APEX</w:t>
    </w:r>
    <w:r>
      <w:rPr>
        <w:rFonts w:ascii="Arial" w:cs="Arial" w:eastAsia="Arial" w:hAnsi="Arial"/>
        <w:color w:val="2C3E50"/>
        <w:sz w:val="18"/>
        <w:szCs w:val="18"/>
      </w:rPr>
      <w:t xml:space="preserve">   |   Enterprise Intelligence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2833"/>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C0392B"/>
      <w:sz w:val="36"/>
      <w:szCs w:val="36"/>
    </w:rPr>
  </w:style>
  <w:style w:type="paragraph" w:styleId="Heading3">
    <w:name w:val="Heading 3"/>
    <w:basedOn w:val="Normal"/>
    <w:next w:val="Normal"/>
    <w:qFormat/>
    <w:pPr>
      <w:spacing w:after="120" w:before="320"/>
      <w:outlineLvl w:val="2"/>
    </w:pPr>
    <w:rPr>
      <w:rFonts w:ascii="Arial" w:cs="Arial" w:eastAsia="Arial" w:hAnsi="Arial"/>
      <w:b/>
      <w:bCs/>
      <w:color w:val="1A5276"/>
      <w:sz w:val="28"/>
      <w:szCs w:val="28"/>
    </w:rPr>
  </w:style>
  <w:style w:type="paragraph" w:styleId="Heading4">
    <w:name w:val="Heading 4"/>
    <w:basedOn w:val="Normal"/>
    <w:next w:val="Normal"/>
    <w:qFormat/>
    <w:pPr>
      <w:spacing w:after="80" w:before="240"/>
      <w:outlineLvl w:val="3"/>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2026-05-21T06:46:52.090Z</dcterms:created>
  <dcterms:modified xsi:type="dcterms:W3CDTF">2026-05-21T06:46:52.091Z</dcterms:modified>
</cp:coreProperties>
</file>

<file path=docProps/custom.xml><?xml version="1.0" encoding="utf-8"?>
<Properties xmlns="http://schemas.openxmlformats.org/officeDocument/2006/custom-properties" xmlns:vt="http://schemas.openxmlformats.org/officeDocument/2006/docPropsVTypes"/>
</file>