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F1535"/>
          <w:sz w:val="52"/>
          <w:szCs w:val="52"/>
        </w:rPr>
        <w:t xml:space="preserve">CYBERDUDEBIVASH</w:t>
      </w:r>
    </w:p>
    <w:p>
      <w:pPr>
        <w:spacing w:after="40"/>
        <w:jc w:val="center"/>
      </w:pPr>
      <w:r>
        <w:rPr>
          <w:b/>
          <w:bCs/>
          <w:color w:val="2E5BFF"/>
          <w:sz w:val="30"/>
          <w:szCs w:val="30"/>
        </w:rPr>
        <w:t xml:space="preserve">AI SECURITY HUB™</w:t>
      </w:r>
    </w:p>
    <w:p>
      <w:pPr>
        <w:spacing w:after="0" w:before="240"/>
        <w:jc w:val="center"/>
      </w:pPr>
      <w:r>
        <w:rPr>
          <w:color w:val="111827"/>
          <w:sz w:val="30"/>
          <w:szCs w:val="30"/>
        </w:rPr>
        <w:t xml:space="preserve">Enterprise Mobile, Tablet &amp; Smartphone</w:t>
      </w:r>
    </w:p>
    <w:p>
      <w:pPr>
        <w:spacing w:after="240"/>
        <w:jc w:val="center"/>
      </w:pPr>
      <w:r>
        <w:rPr>
          <w:color w:val="111827"/>
          <w:sz w:val="30"/>
          <w:szCs w:val="30"/>
        </w:rPr>
        <w:t xml:space="preserve">Transformation Program</w:t>
      </w:r>
    </w:p>
    <w:p>
      <w:pPr>
        <w:spacing w:after="0" w:before="200"/>
        <w:jc w:val="center"/>
      </w:pPr>
      <w:r>
        <w:rPr>
          <w:color w:val="475569"/>
          <w:sz w:val="19"/>
          <w:szCs w:val="19"/>
        </w:rPr>
        <w:t xml:space="preserve">Executive Audit · Mobile-First Redesign · Revenue Engine · Performance ·</w:t>
      </w:r>
    </w:p>
    <w:p>
      <w:pPr>
        <w:spacing w:after="600"/>
        <w:jc w:val="center"/>
      </w:pPr>
      <w:r>
        <w:rPr>
          <w:color w:val="475569"/>
          <w:sz w:val="19"/>
          <w:szCs w:val="19"/>
        </w:rPr>
        <w:t xml:space="preserve">Security · Conversion · Enterprise App Strategy</w:t>
      </w:r>
    </w:p>
    <w:p>
      <w:pPr>
        <w:pBdr>
          <w:top w:val="single" w:color="2E5BFF" w:sz="6" w:space="6"/>
        </w:pBdr>
        <w:spacing w:after="0" w:before="200"/>
        <w:jc w:val="center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0F1535"/>
          <w:sz w:val="20"/>
          <w:szCs w:val="20"/>
        </w:rPr>
        <w:t xml:space="preserve">Production-Grade Implementation Blueprint</w:t>
      </w:r>
    </w:p>
    <w:p>
      <w:pPr>
        <w:spacing w:before="120"/>
        <w:jc w:val="center"/>
      </w:pPr>
      <w:r>
        <w:rPr>
          <w:color w:val="475569"/>
          <w:sz w:val="18"/>
          <w:szCs w:val="18"/>
        </w:rPr>
        <w:t xml:space="preserve">Prepared for: CYBERDUDEBIVASH® Executive, Engineering, Product &amp; UX Leadership</w:t>
      </w:r>
    </w:p>
    <w:p>
      <w:pPr>
        <w:spacing w:before="40"/>
        <w:jc w:val="center"/>
      </w:pPr>
      <w:r>
        <w:rPr>
          <w:color w:val="475569"/>
          <w:sz w:val="18"/>
          <w:szCs w:val="18"/>
        </w:rPr>
        <w:t xml:space="preserve">Platform: https://cyberdudebivash.in   ·   Version 30.x   · 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CYBERDUDEBIVASH AI Security Hub™ is a content-rich, single-page enterprise platform (a 1.37 MB index.html spanning ~22,300 lines) serving AI Security, Threat Intelligence, MSSP, and assessment products. A real customer attempted a domain scan from a smartphone and hit a degraded, uncomfortable experience. This program turns that mobile experience into a world-class, mobile-first revenue surface — without sacrificing the production-stability mandate of zero regression, zero failure, zero error.</w:t>
      </w:r>
    </w:p>
    <w:p>
      <w:pPr>
        <w:spacing w:after="120" w:line="276"/>
      </w:pPr>
      <w:r>
        <w:t xml:space="preserve">This document delivers all ten Phase-8 outputs: an evidence-grounded mobile audit, a mobile-first redesign roadmap, a five-tier mobile revenue engine, a Lighthouse 95+/100 performance plan, a mobile security roadmap, a conversion-optimization playbook, an enterprise app-strategy recommendation, and 30-day / 90-day / 12-month execution plans. It is written for direct implementation by engineering, product, UX, and executive leadership.</w:t>
      </w:r>
    </w:p>
    <w:p>
      <w:pPr>
        <w:pStyle w:val="Heading2"/>
      </w:pPr>
      <w:r>
        <w:t xml:space="preserve">1.1 What was already fixed this session (verified)</w:t>
      </w:r>
    </w:p>
    <w:p>
      <w:pPr>
        <w:spacing w:after="120" w:line="276"/>
      </w:pPr>
      <w:r>
        <w:t xml:space="preserve">Before strategy, production stability. The prior in-progress session diagnosed and repaired a live P1 defect breaking the mobile dashboard. All fixes are verified and staged in the repo working tree: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60"/>
        <w:gridCol w:w="2800"/>
      </w:tblGrid>
      <w:tr>
        <w:trPr>
          <w:tblHeader/>
        </w:trP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3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/ evidence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Uncaught SyntaxError: Unexpected identifier 'defer' (fatal red banner on the live mobile site)</w:t>
            </w:r>
          </w:p>
        </w:tc>
        <w:tc>
          <w:tcPr>
            <w:tcW w:type="dxa" w:w="3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index.html was truncated mid-&lt;button&gt;; the unterminated onclick=" swallowed later markup, so clicking compiled HTML and hit a stray &lt;script defer&gt;.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FIXED — atomic rebuild of the file tail from the pristine git blob. Tags balanced (div 3396/3396, button 316/316); file ends &lt;/html&gt;.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Empty unlabeled button in Quick Actions (near footer)</w:t>
            </w:r>
          </w:p>
        </w:tc>
        <w:tc>
          <w:tcPr>
            <w:tcW w:type="dxa" w:w="3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Same truncation removed the button label and closing tag.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FIXED — now “Book Enterprise Demo” (verified present, 0 empty).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Dead command center (SOC / Sentinel / AI / MSSP tabs blank)</w:t>
            </w:r>
          </w:p>
        </w:tc>
        <w:tc>
          <w:tcPr>
            <w:tcW w:type="dxa" w:w="3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Truncation deleted 4 panels and the &lt;script src="/dashboard-live.js"&gt; (survived only as a comment).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FIXED — 4 panels rebuilt with exact data-container IDs; dashboard-live.js now loaded. node --check passes.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layout broken (cramped grids, overflow)</w:t>
            </w:r>
          </w:p>
        </w:tc>
        <w:tc>
          <w:tcPr>
            <w:tcW w:type="dxa" w:w="3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Only 4 media queries across 22k lines; desktop-only layout.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FIXED — cdb-mobile-responsive.css linked across all 31 pages; every rule @media(max-width)-scoped → provably 0 desktop regression.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Newly shipped this session: targeted fixes for the visible Phase-4 command strip overflow (the cut-off “Sales / Proposals / Affiliate / Growth” bar), 44px minimum touch targets on primary controls, and injected-bar viewport containment — all max-width-scoped, brace-balanced 37/37, 0 desktop regression. Deployment note: production publishes the root frontend/ directory to Cloudflare Pages (deploy.yml line 290: wrangler pages deploy frontend), so these repairs reach the live site on the next push. A stale, still-truncated duplicate at workers/frontend/index.html is NOT deployed but should be reconciled.</w:t>
      </w:r>
    </w:p>
    <w:p>
      <w:pPr>
        <w:pStyle w:val="Heading2"/>
      </w:pPr>
      <w:r>
        <w:t xml:space="preserve">1.2 The transformation thesis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Mobile is the entry point, not the afterthought. </w:t>
      </w:r>
      <w:r>
        <w:t xml:space="preserve">Free-scan traffic — the top of the funnel — arrives overwhelmingly on phones. Every mobile friction point is a revenue leak on the highest-volume surface.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Trust is the product. </w:t>
      </w:r>
      <w:r>
        <w:t xml:space="preserve">A fatal error banner on a security vendor's own site is an existential trust failure. Mobile polish is credibility for enterprise buyers who evaluate on phones first.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Convert where the intent is. </w:t>
      </w:r>
      <w:r>
        <w:t xml:space="preserve">The scan→report→checkout flow is the monetization spine. A frictionless one-handed mobile path is the single highest-leverage investment.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Ship a PWA, not a native app (yet). </w:t>
      </w:r>
      <w:r>
        <w:t xml:space="preserve">The platform is already a responsive web app with a manifest and service worker present. A hardened installable PWA captures ~90% of native value at ~10% of the cost — see Section 8.</w:t>
      </w:r>
    </w:p>
    <w:p>
      <w:pPr>
        <w:pStyle w:val="Heading2"/>
      </w:pPr>
      <w:r>
        <w:t xml:space="preserve">1.3 Headline opportunity (illustrative model)</w:t>
      </w:r>
    </w:p>
    <w:p>
      <w:pPr>
        <w:spacing w:after="120" w:line="276"/>
      </w:pPr>
      <w:r>
        <w:rPr>
          <w:i/>
          <w:iCs/>
          <w:color w:val="475569"/>
        </w:rPr>
        <w:t xml:space="preserve">The figures below are a transparent planning model, not a forecast. They are built from stated public pricing (reports from ₹999) and conventional SaaS funnel benchmarks, with every assumption labeled. They size the prize and prioritize work, and must be replaced with the platform's own analytics before any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3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friction (evidence)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Modeled 12-mo impact*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 mobile conversion blockers</w:t>
            </w:r>
          </w:p>
        </w:tc>
        <w:tc>
          <w:tcPr>
            <w:tcW w:type="dxa" w:w="3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Fatal JS error + cramped checkout on phones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Recover 15–30% of abandoned mobile scans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revenue engine (5 tiers)</w:t>
            </w:r>
          </w:p>
        </w:tc>
        <w:tc>
          <w:tcPr>
            <w:tcW w:type="dxa" w:w="3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Single “report from ₹999” entry; no clear ladder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New recurring MRR from Starter/Pro self-serve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Performance (Lighthouse 95+)</w:t>
            </w:r>
          </w:p>
        </w:tc>
        <w:tc>
          <w:tcPr>
            <w:tcW w:type="dxa" w:w="3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1.37 MB single file; render-blocking head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Lower bounce; +SEO rank → more free-scan top-of-funnel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Conversion optimization</w:t>
            </w:r>
          </w:p>
        </w:tc>
        <w:tc>
          <w:tcPr>
            <w:tcW w:type="dxa" w:w="3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Weak mobile trust signals / CTA hierarchy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Higher scan→paid and visitor→trial rates</w:t>
            </w:r>
          </w:p>
        </w:tc>
      </w:tr>
    </w:tbl>
    <w:p>
      <w:pPr>
        <w:spacing w:before="60"/>
      </w:pPr>
      <w:r>
        <w:rPr>
          <w:i/>
          <w:iCs/>
          <w:color w:val="475569"/>
          <w:sz w:val="16"/>
          <w:szCs w:val="16"/>
        </w:rPr>
        <w:t xml:space="preserve">*Illustrative ranges for prioritization only. Validate against real funnel analytics (Section 4.4).</w:t>
      </w:r>
    </w:p>
    <w:p>
      <w:r>
        <w:br w:type="page"/>
      </w:r>
    </w:p>
    <w:p>
      <w:pPr>
        <w:pStyle w:val="Heading1"/>
      </w:pPr>
      <w:r>
        <w:t xml:space="preserve">2. Mobile Audit Report (Phase 1)</w:t>
      </w:r>
    </w:p>
    <w:p>
      <w:pPr>
        <w:pStyle w:val="Heading2"/>
      </w:pPr>
      <w:r>
        <w:t xml:space="preserve">2.1 Method &amp; evidence basis</w:t>
      </w:r>
    </w:p>
    <w:p>
      <w:pPr>
        <w:spacing w:after="120" w:line="276"/>
      </w:pPr>
      <w:r>
        <w:t xml:space="preserve">Findings are grounded in three independent evidence sources, with facts, inferences, and assumptions distinguished: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Runtime evidence — </w:t>
      </w:r>
      <w:r>
        <w:t xml:space="preserve">three live mobile screenshots from a real device: the fatal “Unexpected identifier 'defer'” banner, the Phase-4 strip clipped at the left edge, a doubled brand header, and the empty Quick-Actions button.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Deployed-HTML evidence — </w:t>
      </w:r>
      <w:r>
        <w:t xml:space="preserve">WebFetch of the live homepage confirming structure: the Phase-4 strip, duplicated ecosystem link rows, and the scan/command-center sections.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Source evidence — </w:t>
      </w:r>
      <w:r>
        <w:t xml:space="preserve">static analysis of frontend/index.html and the 31-page set: media-query coverage, grid patterns, head resources, manifest/service-worker presence, and the Cloudflare Pages deploy path.</w:t>
      </w:r>
    </w:p>
    <w:p>
      <w:pPr>
        <w:spacing w:after="160"/>
      </w:pPr>
      <w:r>
        <w:rPr>
          <w:b/>
          <w:bCs/>
          <w:color w:val="B45309"/>
        </w:rPr>
        <w:t xml:space="preserve">Limitation (stated honestly): </w:t>
      </w:r>
      <w:r>
        <w:rPr>
          <w:sz w:val="18"/>
          <w:szCs w:val="18"/>
        </w:rPr>
        <w:t xml:space="preserve">the live-browser automation channel and a headless Chromium download were both unavailable in this environment, so Lighthouse scores and runtime Core Web Vitals could not be measured directly. Desktop 0-regression is proven statically (all new CSS is max-width-scoped). Performance numbers in Section 7 are engineering targets to confirm with a real Lighthouse run.</w:t>
      </w:r>
    </w:p>
    <w:p>
      <w:pPr>
        <w:pStyle w:val="Heading2"/>
      </w:pPr>
      <w:r>
        <w:t xml:space="preserve">2.2 Prioritized findings</w:t>
      </w:r>
    </w:p>
    <w:p>
      <w:pPr>
        <w:spacing w:after="120" w:line="276"/>
      </w:pPr>
      <w:r>
        <w:t xml:space="preserve">Severity: P0 = business outage · P1 = core functionality degraded · P2 = significant feature impact · P3 = minor. Ordered by combined revenue + trust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40"/>
        <w:gridCol w:w="1420"/>
        <w:gridCol w:w="2760"/>
        <w:gridCol w:w="1840"/>
        <w:gridCol w:w="2140"/>
      </w:tblGrid>
      <w:tr>
        <w:trPr>
          <w:tblHeader/>
        </w:trP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 (evidence)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F1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0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P1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Stability / Trust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Fatal JS error banner on mobile (“defer”)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Page appears broken to every mobile visitor; catastrophic trust loss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FIXED (truncation repair + non-fatal dynamic import)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F2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0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P1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Conversion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Empty unlabeled CTA in Quick Actions; clicking it threw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Dead/scary control on the primary action row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FIXED → “Book Enterprise Demo”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F3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7"/>
                <w:szCs w:val="17"/>
              </w:rPr>
              <w:t xml:space="preserve">P2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Navigation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Phase-4 strip clipped left on phones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Key business nav unreachable / looks broken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FIXED → momentum scroll, flush-left, 44px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F4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7"/>
                <w:szCs w:val="17"/>
              </w:rPr>
              <w:t xml:space="preserve">P2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IA / Trust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Doubled brand header + duplicated ecosystem rows (6×)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Wastes scarce mobile viewport; unpolished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Dedup in HTML (Section 5)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F5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7"/>
                <w:szCs w:val="17"/>
              </w:rPr>
              <w:t xml:space="preserve">P2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1.37 MB single HTML; 5 render-blocking head resources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Slow first paint → bounce + SEO drag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Defer/split JS, inline critical CSS (Section 7)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F6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7"/>
                <w:szCs w:val="17"/>
              </w:rPr>
              <w:t xml:space="preserve">P2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Sub-44px tap targets; iOS focus-zoom risk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Mis-taps; WCAG 2.5.5 fail; form abandonment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FIXED → 44px targets + 16px inputs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F7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7"/>
                <w:szCs w:val="17"/>
              </w:rPr>
              <w:t xml:space="preserve">P2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Checkout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Scan→report→pay not one-hand optimized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Friction at the monetization moment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Redesign funnel (Sections 4 &amp; 6)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F8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47857"/>
                <w:sz w:val="17"/>
                <w:szCs w:val="17"/>
              </w:rPr>
              <w:t xml:space="preserve">P3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Stale truncated duplicate workers/frontend/index.html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Risk of deploying the broken copy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Reconcile/remove (Section 11)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F9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47857"/>
                <w:sz w:val="17"/>
                <w:szCs w:val="17"/>
              </w:rPr>
              <w:t xml:space="preserve">P3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Dense KPI/CTI grids cramped on phones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Hard to read SOC/CTI data on mobile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Card redesign (Section 3)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F10</w:t>
            </w:r>
          </w:p>
        </w:tc>
        <w:tc>
          <w:tcPr>
            <w:tcW w:type="dxa" w:w="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47857"/>
                <w:sz w:val="17"/>
                <w:szCs w:val="17"/>
              </w:rPr>
              <w:t xml:space="preserve">P3</w:t>
            </w:r>
          </w:p>
        </w:tc>
        <w:tc>
          <w:tcPr>
            <w:tcW w:type="dxa" w:w="14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PWA</w:t>
            </w:r>
          </w:p>
        </w:tc>
        <w:tc>
          <w:tcPr>
            <w:tcW w:type="dxa" w:w="2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Manifest + sw.js exist but unhardened</w:t>
            </w:r>
          </w:p>
        </w:tc>
        <w:tc>
          <w:tcPr>
            <w:tcW w:type="dxa" w:w="18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Missed install + offline + retention upside</w:t>
            </w:r>
          </w:p>
        </w:tc>
        <w:tc>
          <w:tcPr>
            <w:tcW w:type="dxa" w:w="21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Harden PWA (Section 8)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  <w:bCs/>
          <w:sz w:val="18"/>
          <w:szCs w:val="18"/>
        </w:rPr>
        <w:t xml:space="preserve">Net: 2 of the 3 highest-severity findings (F1, F2) and the worst navigation defect (F3) are already remediated and verified. The remainder is improvement work, not outages.</w:t>
      </w:r>
    </w:p>
    <w:p>
      <w:r>
        <w:br w:type="page"/>
      </w:r>
    </w:p>
    <w:p>
      <w:pPr>
        <w:pStyle w:val="Heading1"/>
      </w:pPr>
      <w:r>
        <w:t xml:space="preserve">3. Mobile UX Roadmap (Phase 2 — Mobile-First Redesign)</w:t>
      </w:r>
    </w:p>
    <w:p>
      <w:pPr>
        <w:spacing w:after="120" w:line="276"/>
      </w:pPr>
      <w:r>
        <w:t xml:space="preserve">Design principle: thumb-first. The bottom third of the screen is the action zone; the top is for orientation and trust. Every primary task must be completable one-handed on a 360–390px viewport, then scale gracefully to tablets and desktop.</w:t>
      </w:r>
    </w:p>
    <w:p>
      <w:pPr>
        <w:pStyle w:val="Heading2"/>
      </w:pPr>
      <w:r>
        <w:t xml:space="preserve">3.1 Navigation &amp; information architecture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Single primary nav. </w:t>
      </w:r>
      <w:r>
        <w:t xml:space="preserve">Keep the working hamburger/drawer (in main.v10.css); collapse the secondary Phase-4 business strip into a scrollable rail (shipped) or fold it into the drawer.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Sticky bottom action bar. </w:t>
      </w:r>
      <w:r>
        <w:t xml:space="preserve">A thumb-zone bar with the one dominant context action (“Scan Your Domain” → “Get Full Report” → “Upgrade”).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De-duplicate headers and ecosystem links. </w:t>
      </w:r>
      <w:r>
        <w:t xml:space="preserve">One brand header, one ecosystem row (move the rest to footer).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Reduce above-the-fold density. </w:t>
      </w:r>
      <w:r>
        <w:t xml:space="preserve">Lead with one promise + one CTA + one trust signal; defer tickers and badges below the fold.</w:t>
      </w:r>
    </w:p>
    <w:p>
      <w:pPr>
        <w:pStyle w:val="Heading2"/>
      </w:pPr>
      <w:r>
        <w:t xml:space="preserve">3.2 Enterprise mobile dashboards (CTI / AI Security / SOC)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Card-per-metric, not table-per-screen. </w:t>
      </w:r>
      <w:r>
        <w:t xml:space="preserve">Convert dense KPI/CTI tables into swipeable metric cards with one headline number, trend, and a drill-in tap.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Progressive disclosure. </w:t>
      </w:r>
      <w:r>
        <w:t xml:space="preserve">Show executive summary first (risk score, critical count); reveal raw IOC/CVE tables behind “View details” in a momentum-scrolling container (pattern shipped).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Status-first semantics. </w:t>
      </w:r>
      <w:r>
        <w:t xml:space="preserve">Critical/High/Medium/Low encoded with text + icon + color (never color alone — accessibility).</w:t>
      </w:r>
    </w:p>
    <w:p>
      <w:pPr>
        <w:pStyle w:val="Heading2"/>
      </w:pPr>
      <w:r>
        <w:t xml:space="preserve">3.3 Device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 devices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widths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Small phone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iPhone SE, Pixel 5a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360–390px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Large phone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iPhone 15 Pro Max, Samsung S24 Ultra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414–430px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Tablet portrait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iPad 10.9", Galaxy Tab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768–834px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Tablet landscape / small laptop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iPad Pro 12.9", Surface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1024–1280px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Revenue Opportunity Report (Phase 3 — Mobile Revenue Engine)</w:t>
      </w:r>
    </w:p>
    <w:p>
      <w:pPr>
        <w:spacing w:after="120" w:line="276"/>
      </w:pPr>
      <w:r>
        <w:rPr>
          <w:i/>
          <w:iCs/>
          <w:color w:val="475569"/>
        </w:rPr>
        <w:t xml:space="preserve">A five-tier ladder turns one-off ₹999 report buyers into recurring subscribers. Pricing is anchored to the stated ₹999 report price and shown in INR with indicative USD. Treat all amounts as a starting pricing hypothesis to A/B test, not fixed prices.</w:t>
      </w:r>
    </w:p>
    <w:p>
      <w:pPr>
        <w:pStyle w:val="Heading2"/>
      </w:pPr>
      <w:r>
        <w:t xml:space="preserve">4.1 Five-tier 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(INR / USD)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entitlements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₹0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visitor, first scan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 domain scan, summary risk score, blurred full findings, CVE headline feed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₹999/mo (~$12)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Solo dev / founder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Full single-domain report, 5 scans/mo, email alerts, 1 assessment credit/qtr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₹3,999/mo (~$48)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SME / consultant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 domains, scheduled scans, Sentinel APEX CTI feed, API (10k calls), PDF exec reports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₹14,999/mo (~$180)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Growing security team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 domains, team seats, MSSP-lite monitoring, priority CTI, 100k API calls, SSO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Custom (annual)</w:t>
            </w:r>
          </w:p>
        </w:tc>
        <w:tc>
          <w:tcPr>
            <w:tcW w:type="dxa" w:w="1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 / MSSP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Unlimited, multi-tenant, dedicated SOC, custom CTI, SLA, on-call IR, contract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4.2 Upsell, cross-sell &amp; retention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60"/>
        <w:gridCol w:w="266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upsell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Cross-sell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 mechanic</w:t>
            </w:r>
          </w:p>
        </w:tc>
      </w:tr>
      <w:t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Unlock full report (₹999)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Book free consult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Weekly “new CVE affects you” push</w:t>
            </w:r>
          </w:p>
        </w:tc>
      </w:tr>
      <w:t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Starter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Upgrade to Pro for CTI feed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AI/API/SaaS assessment (one-off)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Monthly mobile risk digest + streak</w:t>
            </w:r>
          </w:p>
        </w:tc>
      </w:tr>
      <w:t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Business tier (seats + MSSP-lite)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Threat Hunting engagement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Scheduled-scan trend report; renewal nudges</w:t>
            </w:r>
          </w:p>
        </w:tc>
      </w:tr>
      <w:t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 (dedicated SOC)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AI Governance consulting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QBR; usage-based expansion alerts</w:t>
            </w:r>
          </w:p>
        </w:tc>
      </w:tr>
      <w:tr>
        <w:tc>
          <w:tcPr>
            <w:tcW w:type="dxa" w:w="1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Seat / tenant expansion</w:t>
            </w:r>
          </w:p>
        </w:tc>
        <w:tc>
          <w:tcPr>
            <w:tcW w:type="dxa" w:w="2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DevSecOps optimization retainer</w:t>
            </w:r>
          </w:p>
        </w:tc>
        <w:tc>
          <w:tcPr>
            <w:tcW w:type="dxa" w:w="2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Named CSM; SLA dashboard; renewal 90d motion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4.3 Mobile funnels &amp; monetization moments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Scan → Result: </w:t>
      </w:r>
      <w:r>
        <w:t xml:space="preserve">free scan returns a risk score + a blurred findings card with a single “Unlock full report — ₹999” CTA in the thumb zone.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Report → Subscription: </w:t>
      </w:r>
      <w:r>
        <w:t xml:space="preserve">after purchase, offer Starter at “first month ₹1, then ₹999” to convert one-off to recurring.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Contextual upgrade prompts: </w:t>
      </w:r>
      <w:r>
        <w:t xml:space="preserve">trigger an upgrade sheet when a user hits a tier limit (6th scan, 2nd domain), never as a random interstitial.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Assessment purchases: </w:t>
      </w:r>
      <w:r>
        <w:t xml:space="preserve">AI / API / SaaS security assessments as one-tap add-ons inside the report view, priced as fixed packages.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CTI subscription: </w:t>
      </w:r>
      <w:r>
        <w:t xml:space="preserve">Sentinel APEX feed as a standalone mobile subscription with a notification-led retention loop.</w:t>
      </w:r>
    </w:p>
    <w:p>
      <w:pPr>
        <w:pStyle w:val="Heading2"/>
      </w:pPr>
      <w:r>
        <w:t xml:space="preserve">4.4 Instrumentation prerequisite (do this first)</w:t>
      </w:r>
    </w:p>
    <w:p>
      <w:pPr>
        <w:spacing w:after="120" w:line="276"/>
      </w:pPr>
      <w:r>
        <w:t xml:space="preserve">None of the modeled numbers in Section 1.3 should be trusted until the funnel is instrumented. Required before pricing commitments: device-segmented events for scan_started, scan_completed, report_viewed, unlock_clicked, checkout_started, purchase_completed, subscription_started, and tier_limit_hit — with mobile vs tablet vs desktop dimensions. Build this telemetry as task #1 of the 30-day plan.</w:t>
      </w:r>
    </w:p>
    <w:p>
      <w:r>
        <w:br w:type="page"/>
      </w:r>
    </w:p>
    <w:p>
      <w:pPr>
        <w:pStyle w:val="Heading1"/>
      </w:pPr>
      <w:r>
        <w:t xml:space="preserve">5. Conversion Optimization Roadmap (Phase 6)</w:t>
      </w:r>
    </w:p>
    <w:p>
      <w:pPr>
        <w:spacing w:after="120" w:line="276"/>
      </w:pPr>
      <w:r>
        <w:t xml:space="preserve">Per-page mobile conversion playbook. Each page gets one dominant CTA, trust signals above the fold, and social proof near the decision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Conversion improvements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CTA + trust strategy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Landing / Home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Cut above-the-fold density to 1 promise + 1 CTA; sticky bottom “Scan free”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Primary: “Scan Your Domain Free”. Trust: customer logos, CERT/cert badges, “1,247+ threats tracked”.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Scan result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Show value before paywall: real risk score + blurred specifics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Single “Unlock full report ₹999”; reassurance: “No card for scan”, secure-pay badge.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Premium report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One-tap purchase; Apple/Google Pay; itemized value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“Get Full Report”; testimonial + “used by N teams”; money-back line.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Threat intelligence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Live sample feed; clear subscription value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“Start CTI feed”; freshness timestamp; APT/CVE source provenance.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Assessment pages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Fixed-scope packages, clear deliverable + timeline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“Book assessment”; sample report preview; analyst credentials.</w:t>
            </w:r>
          </w:p>
        </w:tc>
      </w:tr>
      <w:tr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Consultation booking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Mobile-first scheduler; minimal fields; timezone auto</w:t>
            </w:r>
          </w:p>
        </w:tc>
        <w:tc>
          <w:tcPr>
            <w:tcW w:type="dxa" w:w="3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“Book free 30-min consult”; calendar trust; “No obligation”.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5.1 Trust &amp; enterprise-positioning signals (global)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Security/compliance posture stated plainly (data handling, where scans run, retention).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Real, attributed social proof near each CTA — not anonymous counters alone.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Consistent enterprise visual system: calm, dense-but-legible, no broken/empty controls (root cause of distrust — now fixed).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Provenance on every intelligence claim (CISA KEV / NIST NVD sources) — directly supports the trust mandate.</w:t>
      </w:r>
    </w:p>
    <w:p>
      <w:r>
        <w:br w:type="page"/>
      </w:r>
    </w:p>
    <w:p>
      <w:pPr>
        <w:pStyle w:val="Heading1"/>
      </w:pPr>
      <w:r>
        <w:t xml:space="preserve">6. Performance Engineering Plan (Phase 4)</w:t>
      </w:r>
    </w:p>
    <w:p>
      <w:pPr>
        <w:spacing w:after="120" w:line="276"/>
      </w:pPr>
      <w:r>
        <w:t xml:space="preserve">Targets: Lighthouse Performance 95+, Accessibility 100, Best Practices 100, SEO 100 — measured on a throttled mid-tier mobile profile. The dominant risk is the 1.37 MB single HTML file with render-blocking head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effect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JavaScript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Defer all non-critical JS; dynamic-import heavy modules (pattern already applied to mcpControl); split inline scripts out of the 1.37 MB doc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Faster TBT/TTI; smaller main-thread blocking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Critical CSS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Inline above-the-fold CSS; load main.v10.css + responsive layer async (preload + onload)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Faster FCP/LCP on mobile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HTML weight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Move large inline data/sections to async-fetched JSON; the page should not ship 22k lines on first paint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Smaller HTML transfer; faster parse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Images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Serve AVIF/WebP, explicit width/height (CLS), lazy-load below the fold, responsive srcset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Better LCP; less layout shift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Fonts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System font stack or self-host woff2 with font-display:swap; preconnect already present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No invisible-text flash; less blocking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Cache /api/* hydration (KV-backed already); single bootstrap fetch for dashboards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Fewer round-trips on mobile networks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Rendering</w:t>
            </w:r>
          </w:p>
        </w:tc>
        <w:tc>
          <w:tcPr>
            <w:tcW w:type="dxa" w:w="4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Reduce DOM nodes per screen via progressive disclosure; content-visibility:auto for offscreen sections</w:t>
            </w:r>
          </w:p>
        </w:tc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Lower style/layout cost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6.1 Core Web Vitals acceptance gates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LCP &lt; 2.5s, INP &lt; 200ms, CLS &lt; 0.1 on a Moto-G-class device over 4G — enforced as a CI Lighthouse budget gate before deploy.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a Lighthouse-CI job to the existing GitHub Actions pipeline; fail the build on regression (treat warnings as failures, per mandate).</w:t>
      </w:r>
    </w:p>
    <w:p>
      <w:r>
        <w:br w:type="page"/>
      </w:r>
    </w:p>
    <w:p>
      <w:pPr>
        <w:pStyle w:val="Heading1"/>
      </w:pPr>
      <w:r>
        <w:t xml:space="preserve">7. Mobile Security Roadmap (Phase 5)</w:t>
      </w:r>
    </w:p>
    <w:p>
      <w:pPr>
        <w:spacing w:after="120" w:line="276"/>
      </w:pPr>
      <w:r>
        <w:t xml:space="preserve">Zero-Trust posture extended to the mobile surface. Review covers authentication, sessions, tokens, API security, CSP, and secure headers; the platform already ships a frontend/_headers file (good baseline) to harden.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4100"/>
      </w:tblGrid>
      <w:tr>
        <w:trPr>
          <w:tblHeader/>
        </w:trP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(inferred)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Hardening action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AuthN / SSO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Account + enterprise SSO referenced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Enforce MFA; short-lived sessions; WebAuthn/passkeys for mobile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Sessions / tokens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Cookie/JWT (to confirm)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HttpOnly+Secure+SameSite cookies; rotate refresh tokens; bind to device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API security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Cloudflare Worker API with KV/D1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Per-tier rate limits; auth on every /api/*; input validation; WAF rules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CSP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_headers present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Strict Content-Security-Policy (no unsafe-inline where possible); nonce inline scripts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Secure headers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nosniff set (X-Content-Type-Options)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Add HSTS, X-Frame-Options/frame-ancestors, Referrer-Policy, Permissions-Policy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threat model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4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Clickjacking, token theft on shared devices, deep-link abuse, PWA cache poisoning, malicious QR/scan input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7.1 Secure mobile subscription workflow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Payment via PCI-compliant processor (Razorpay key is server-issued via /api/config — keep keys server-side, never in the bundle).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Tokenized card storage handled by the processor; the app never sees raw PAN.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Server-validated entitlements: tier limits enforced on the API, not just hidden in the UI.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Webhook signature verification for payment events; idempotent fulfillment.</w:t>
      </w:r>
    </w:p>
    <w:p>
      <w:pPr>
        <w:spacing w:before="80"/>
      </w:pPr>
      <w:r>
        <w:rPr>
          <w:i/>
          <w:iCs/>
          <w:color w:val="475569"/>
          <w:sz w:val="17"/>
          <w:szCs w:val="17"/>
        </w:rPr>
        <w:t xml:space="preserve">Note: this is a security review, not a penetration test. Confirm each ‘inferred’ row against the live config before sign-off; request the relevant headers, auth handler, and CSP for a definitive assessment.</w:t>
      </w:r>
    </w:p>
    <w:p>
      <w:r>
        <w:br w:type="page"/>
      </w:r>
    </w:p>
    <w:p>
      <w:pPr>
        <w:pStyle w:val="Heading1"/>
      </w:pPr>
      <w:r>
        <w:t xml:space="preserve">8. Enterprise App Strategy (Phase 7)</w:t>
      </w:r>
    </w:p>
    <w:p>
      <w:pPr>
        <w:spacing w:after="120" w:line="276"/>
      </w:pPr>
      <w:r>
        <w:t xml:space="preserve">Recommendation: harden the existing PWA now; defer native (React Native) until mobile MRR and a concrete push/biometric requirement justify it. The platform already has a manifest.json and sw.js — the foundation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700"/>
        <w:gridCol w:w="2520"/>
        <w:gridCol w:w="2400"/>
      </w:tblGrid>
      <w:tr>
        <w:trPr>
          <w:tblHeader/>
        </w:trP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A) PWA (recommended)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B) React Native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C) Flutter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Low — reuse current web app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 — new codebase + 2 stores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 — new codebase + Dart skills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Time to value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Weeks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3–6+ months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3–6+ months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Web CSP/headers; no app-store attack surface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Native keystore/biometrics; larger surface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Native keystore/biometrics; larger surface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Instant global via Cloudflare Pages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Store release cycles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Store release cycles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Revenue potential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Full web checkout; no store fees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Push/retention upside; store fees (15–30%)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Same as RN; store fees</w:t>
            </w:r>
          </w:p>
        </w:tc>
      </w:tr>
      <w:tr>
        <w:tc>
          <w:tcPr>
            <w:tcW w:type="dxa" w:w="17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 adoption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Installable, MDM-friendly URL</w:t>
            </w:r>
          </w:p>
        </w:tc>
        <w:tc>
          <w:tcPr>
            <w:tcW w:type="dxa" w:w="252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App-store listing signals maturity</w:t>
            </w:r>
          </w:p>
        </w:tc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Same as RN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8.1 PWA hardening checklist (next 30–60 days)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Audit manifest.json (present): confirm icons 192/512 exist, maskable icon, screenshots, shortcuts for Scan / Reports / Dashboard.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Review sw.js caching strategy: stale-while-revalidate for assets, network-first for /api/*, versioned cache busting tied to build 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install prompt UX (beforeinstallprompt) on engaged mobile sessions; add iOS add-to-home guidance.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Web Push for CVE/threat alerts — the core retention loop — once permission UX is designed.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 fallback page; ensure no service-worker cache poisoning (signed, versioned assets).</w:t>
      </w:r>
    </w:p>
    <w:p>
      <w:pPr>
        <w:spacing w:before="80"/>
      </w:pPr>
      <w:r>
        <w:rPr>
          <w:b/>
          <w:bCs/>
        </w:rPr>
        <w:t xml:space="preserve">Trigger to revisit native: </w:t>
      </w:r>
      <w:r>
        <w:t xml:space="preserve">sustained mobile MRR, a hard requirement for background push on iOS beyond web-push limits, or biometric-gated SOC actions. At that point, React Native (shared JS/TS skills, mature enterprise ecosystem) over Flutter.</w:t>
      </w:r>
    </w:p>
    <w:p>
      <w:r>
        <w:br w:type="page"/>
      </w:r>
    </w:p>
    <w:p>
      <w:pPr>
        <w:pStyle w:val="Heading1"/>
      </w:pPr>
      <w:r>
        <w:t xml:space="preserve">9. 30-Day Action Plan</w:t>
      </w:r>
    </w:p>
    <w:p>
      <w:pPr>
        <w:spacing w:after="120" w:line="276"/>
      </w:pPr>
      <w:r>
        <w:t xml:space="preserve">Goal: ship the stability + mobile-foundation wins and instrument the funnel. Severity-ordered.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400"/>
        <w:gridCol w:w="18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 = 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Push the staged mobile fixes to production (frontend/ → Pages); verify defer error gone live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Eng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Live mobile site loads with no error banner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Instrument device-segmented funnel events (Section 4.4)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Eng + Data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Events flowing in analytics, mobile dimension present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Reconcile/remove stale workers/frontend/index.html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Eng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Single source of truth for index.html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Dedup brand header + ecosystem rows; trim above-the-fold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One header/one row; lighter hero on mobile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Add Lighthouse-CI budget gate to GitHub Actions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DevSecOps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Build fails on perf/a11y regression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PWA audit: icons, manifest, sw.js strategy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PWA installable + audited checklist green</w:t>
            </w:r>
          </w:p>
        </w:tc>
      </w:tr>
      <w:tr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</w:t>
            </w:r>
          </w:p>
        </w:tc>
        <w:tc>
          <w:tcPr>
            <w:tcW w:type="dxa" w:w="4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Ship scan-result paywall card with thumb-zone unlock CTA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Product + Eng</w:t>
            </w:r>
          </w:p>
        </w:tc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A/B test live on mobile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10. 90-Day Growth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metric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Revenue engine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Launch 5-tier pricing + self-serve Starter/Pro on mobile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Mobile-originated MRR &gt; 0 and growing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Conversion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Per-page CRO (Section 5) with A/B tests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Scan→paid rate up vs baseline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Hit Lighthouse 95/100/100/100 on mobile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Verified Lighthouse report in CI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Dashboards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card-based CTI/AI/SOC dashboards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Mobile dashboard DAU + task completion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Security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Complete header/CSP/MFA hardening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Clean security review sign-off</w:t>
            </w:r>
          </w:p>
        </w:tc>
      </w:tr>
      <w:tr>
        <w:tc>
          <w:tcPr>
            <w:tcW w:type="dxa" w:w="2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PWA</w:t>
            </w:r>
          </w:p>
        </w:tc>
        <w:tc>
          <w:tcPr>
            <w:tcW w:type="dxa" w:w="4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Web push for threat alerts + install prompt</w:t>
            </w:r>
          </w:p>
        </w:tc>
        <w:tc>
          <w:tcPr>
            <w:tcW w:type="dxa" w:w="2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Install rate + push opt-in + return visits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11. 12-Month Mobile Revenue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Q1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Stabilize &amp; instrument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Ship fixes, telemetry, pricing v1, Lighthouse gate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Q2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Convert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CRO across funnel, paywall optimization, assessment add-ons, CTI subscription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Q3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Retain &amp; expand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Web push retention loops, dashboards, Business-tier seats/SSO, MSSP-lite</w:t>
            </w:r>
          </w:p>
        </w:tc>
      </w:tr>
      <w:tr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Q4</w:t>
            </w:r>
          </w:p>
        </w:tc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Scale &amp; enterprise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Enterprise motion, multi-tenant polish, evaluate React Native if MRR warrants</w:t>
            </w:r>
          </w:p>
        </w:tc>
      </w:tr>
    </w:tbl>
    <w:p>
      <w:pPr>
        <w:spacing w:before="80"/>
      </w:pPr>
      <w:r>
        <w:rPr>
          <w:i/>
          <w:iCs/>
          <w:color w:val="475569"/>
          <w:sz w:val="17"/>
          <w:szCs w:val="17"/>
        </w:rPr>
        <w:t xml:space="preserve">Revenue trajectory ($100K → $1M → $10M ARR) is the platform's stated ambition. This plan sequences the mobile-surface enablers for it; the actual curve depends on traffic, pricing tests, and sales motion that only live analytics can calibrate.</w:t>
      </w:r>
    </w:p>
    <w:p>
      <w:r>
        <w:br w:type="page"/>
      </w:r>
    </w:p>
    <w:p>
      <w:pPr>
        <w:pStyle w:val="Heading1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60"/>
      </w:tblGrid>
      <w:tr>
        <w:trPr>
          <w:tblHeader/>
        </w:trP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Editing the 1.37 MB index.html with size-limited tools re-truncates it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P1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Use byte-exact bash/git-blob rebuilds for large-file writes; never partial-write the giant file (lesson learned this session)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Pushing mobile CSS regresses desktop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P2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All rules max-width-scoped + verified; desktop ≥769px receives 0 declarations (mathematically unchanged)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Modeled revenue numbers treated as forecasts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P2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Every figure labeled illustrative; gate commitments on real funnel telemetry (Section 4.4)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Security ‘inferred’ rows wrong without live config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P2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Validate headers/auth/CSP against production before sign-off; this is a review, not a pentest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Stale workers/frontend duplicate deployed by mistake</w:t>
            </w:r>
          </w:p>
        </w:tc>
        <w:tc>
          <w:tcPr>
            <w:tcW w:type="dxa" w:w="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P3</w:t>
            </w:r>
          </w:p>
        </w:tc>
        <w:tc>
          <w:tcPr>
            <w:tcW w:type="dxa" w:w="4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Reconcile to single source; deploy only publishes frontend/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13. CEO Decision Brief</w:t>
      </w:r>
    </w:p>
    <w:p>
      <w:pPr>
        <w:spacing w:after="120" w:line="276"/>
      </w:pPr>
      <w:r>
        <w:t xml:space="preserve">The mobile experience that a real customer hit was broken by a fatal JavaScript error and an empty, throwing button — on a security company's own site. That is fixed and verified, pending one push to production. The strategic opportunity is larger than the bug: mobile is the top of your funnel, and today it leaks.</w:t>
      </w:r>
    </w:p>
    <w:p>
      <w:pPr>
        <w:pStyle w:val="Heading2"/>
      </w:pPr>
      <w:r>
        <w:t xml:space="preserve">Decisions requested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Approve the production push </w:t>
      </w:r>
      <w:r>
        <w:t xml:space="preserve">of the staged stability + mobile fixes (recovers live trust immediately).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Fund the 30-day foundation </w:t>
      </w:r>
      <w:r>
        <w:t xml:space="preserve">(funnel instrumentation + Lighthouse gate + paywall card) — small effort, unlocks every downstream revenue decision.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Endorse PWA-first </w:t>
      </w:r>
      <w:r>
        <w:t xml:space="preserve">over native for the next two quarters (≈10% of the cost for ≈90% of the value).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Adopt the 5-tier pricing as a test, </w:t>
      </w:r>
      <w:r>
        <w:t xml:space="preserve">not a fixed launch — calibrate with real data before locking numbers.</w:t>
      </w:r>
    </w:p>
    <w:p>
      <w:pPr>
        <w:spacing w:after="60"/>
      </w:pPr>
      <w:r>
        <w:t xml:space="preserve"/>
      </w:r>
    </w:p>
    <w:p>
      <w:r>
        <w:rPr>
          <w:b/>
          <w:bCs/>
        </w:rPr>
        <w:t xml:space="preserve">Bottom line: </w:t>
      </w:r>
      <w:r>
        <w:t xml:space="preserve">stability is restored; the path from free mobile scan to recurring revenue is now an engineering and CRO execution problem, not a research one. Ship the push, instrument the funnel, and let data drive pricing.</w:t>
      </w:r>
    </w:p>
    <w:p>
      <w:pPr>
        <w:spacing w:before="160"/>
      </w:pPr>
      <w:r>
        <w:rPr>
          <w:i/>
          <w:iCs/>
          <w:color w:val="475569"/>
          <w:sz w:val="16"/>
          <w:szCs w:val="16"/>
        </w:rPr>
        <w:t xml:space="preserve">— Prepared by the Mobile Transformation working group · CYBERDUDEBIVASH AI Security Hub™ ·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5"/>
        <w:szCs w:val="15"/>
      </w:rPr>
      <w:t xml:space="preserve">Confidential · For internal executive use · Page </w:t>
    </w:r>
    <w:r>
      <w:rPr>
        <w:color w:val="4755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3" w:sz="4" w:space="2"/>
      </w:pBdr>
      <w:jc w:val="right"/>
    </w:pPr>
    <w:r>
      <w:rPr>
        <w:color w:val="475569"/>
        <w:sz w:val="15"/>
        <w:szCs w:val="15"/>
      </w:rPr>
      <w:t xml:space="preserve">CYBERDUDEBIVASH AI Security Hub™ — Mobile Transformation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FF" w:sz="6" w:space="4"/>
      </w:pBdr>
      <w:spacing w:after="160" w:before="280"/>
      <w:outlineLvl w:val="0"/>
    </w:pPr>
    <w:rPr>
      <w:rFonts w:ascii="Arial" w:cs="Arial" w:eastAsia="Arial" w:hAnsi="Arial"/>
      <w:b/>
      <w:bCs/>
      <w:color w:val="0F15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BF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Transformation Program</dc:title>
  <dc:creator>CYBERDUDEBIVASH</dc:creator>
  <cp:lastModifiedBy>Un-named</cp:lastModifiedBy>
  <cp:revision>1</cp:revision>
  <dcterms:created xsi:type="dcterms:W3CDTF">2026-06-12T20:22:46.106Z</dcterms:created>
  <dcterms:modified xsi:type="dcterms:W3CDTF">2026-06-12T20:22:46.106Z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