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60" w:before="0" w:lineRule="auto"/>
        <w:rPr>
          <w:rFonts w:ascii="Roboto" w:cs="Roboto" w:eastAsia="Roboto" w:hAnsi="Roboto"/>
          <w:b w:val="1"/>
          <w:sz w:val="33"/>
          <w:szCs w:val="33"/>
        </w:rPr>
      </w:pPr>
      <w:bookmarkStart w:colFirst="0" w:colLast="0" w:name="_7kulxd68y8u6" w:id="0"/>
      <w:bookmarkEnd w:id="0"/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Inside the Goldman Sachs tech stack, by business/product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280.4377564979482"/>
        <w:gridCol w:w="3764.487004103967"/>
        <w:gridCol w:w="3188.2900136798908"/>
        <w:gridCol w:w="1126.7852257181944"/>
        <w:tblGridChange w:id="0">
          <w:tblGrid>
            <w:gridCol w:w="1280.4377564979482"/>
            <w:gridCol w:w="3764.487004103967"/>
            <w:gridCol w:w="3188.2900136798908"/>
            <w:gridCol w:w="1126.785225718194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bottom w:color="333333" w:space="0" w:sz="12" w:val="single"/>
            </w:tcBorders>
            <w:tcMar>
              <w:top w:w="120.0" w:type="dxa"/>
              <w:left w:w="0.0" w:type="dxa"/>
              <w:bottom w:w="120.0" w:type="dxa"/>
              <w:right w:w="2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after="300" w:before="160" w:lineRule="auto"/>
              <w:jc w:val="center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81818"/>
                <w:sz w:val="23"/>
                <w:szCs w:val="23"/>
                <w:rtl w:val="0"/>
              </w:rPr>
              <w:t xml:space="preserve">DLA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33333" w:space="0" w:sz="12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after="300" w:before="160" w:lineRule="auto"/>
              <w:jc w:val="center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81818"/>
                <w:sz w:val="23"/>
                <w:szCs w:val="23"/>
                <w:rtl w:val="0"/>
              </w:rPr>
              <w:t xml:space="preserve">Private Wealth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33333" w:space="0" w:sz="12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300" w:before="160" w:lineRule="auto"/>
              <w:jc w:val="center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81818"/>
                <w:sz w:val="23"/>
                <w:szCs w:val="23"/>
                <w:rtl w:val="0"/>
              </w:rPr>
              <w:t xml:space="preserve">Consumer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33333" w:space="0" w:sz="12" w:val="single"/>
            </w:tcBorders>
            <w:tcMar>
              <w:top w:w="120.0" w:type="dxa"/>
              <w:left w:w="240.0" w:type="dxa"/>
              <w:bottom w:w="12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300" w:before="160" w:lineRule="auto"/>
              <w:jc w:val="center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81818"/>
                <w:sz w:val="23"/>
                <w:szCs w:val="23"/>
                <w:rtl w:val="0"/>
              </w:rPr>
              <w:t xml:space="preserve">Delphi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Mar>
              <w:top w:w="80.0" w:type="dxa"/>
              <w:left w:w="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AWS</w:t>
            </w:r>
          </w:p>
        </w:tc>
        <w:tc>
          <w:tcPr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Angular</w:t>
            </w:r>
          </w:p>
        </w:tc>
        <w:tc>
          <w:tcPr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Amazon ECS</w:t>
            </w:r>
          </w:p>
        </w:tc>
        <w:tc>
          <w:tcPr>
            <w:tcMar>
              <w:top w:w="80.0" w:type="dxa"/>
              <w:left w:w="24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Apache Spark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AWS Lambda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Checkstyle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Java 11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GraphQL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GitLab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Elastic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Kafka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Kafka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Open API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GitLab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MongoDB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Kubernetes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PingFederate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Grafana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Spring Boot.Vert.X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MemSQL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Hadoop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React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React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Terraform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Kafka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Typescript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Kubernetes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Logstash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MemSQL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MongoDB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Open API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PagerDuty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Pingfederate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PMD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Prometheus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React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Spring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Terraform</w:t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80.0" w:type="dxa"/>
              <w:left w:w="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80.0" w:type="dxa"/>
              <w:left w:w="240.0" w:type="dxa"/>
              <w:bottom w:w="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81818"/>
                <w:sz w:val="21"/>
                <w:szCs w:val="21"/>
                <w:rtl w:val="0"/>
              </w:rPr>
              <w:t xml:space="preserve">Vert.x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300" w:before="160" w:lineRule="auto"/>
              <w:rPr>
                <w:rFonts w:ascii="Roboto" w:cs="Roboto" w:eastAsia="Roboto" w:hAnsi="Roboto"/>
                <w:color w:val="18181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