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40"/>
      </w:pPr>
      <w:r>
        <w:t>Resource Exhaustion as a First-Class MCP Security Property: A Threat Model, Measurement Harness, and Empirical Evaluation</w:t>
      </w:r>
    </w:p>
    <w:p>
      <w:pPr>
        <w:spacing w:after="40"/>
        <w:jc w:val="center"/>
      </w:pPr>
      <w:r>
        <w:rPr>
          <w:b/>
          <w:sz w:val="24"/>
        </w:rPr>
        <w:t>Giorgi Iashvili and Maksim Iavich</w:t>
      </w:r>
    </w:p>
    <w:p>
      <w:pPr>
        <w:spacing w:after="40"/>
        <w:jc w:val="center"/>
      </w:pPr>
      <w:r>
        <w:rPr>
          <w:sz w:val="22"/>
        </w:rPr>
        <w:t>School of Technology, Caucasus University, Tbilisi, Georgia</w:t>
      </w:r>
    </w:p>
    <w:p>
      <w:pPr>
        <w:spacing w:after="40"/>
        <w:jc w:val="center"/>
      </w:pPr>
      <w:r>
        <w:rPr>
          <w:sz w:val="22"/>
        </w:rPr>
        <w:t>Corresponding author: giiashvili@cu.edu.ge</w:t>
      </w:r>
    </w:p>
    <w:p>
      <w:pPr>
        <w:spacing w:after="40"/>
      </w:pPr>
      <w:r>
        <w:rPr>
          <w:i/>
          <w:sz w:val="20"/>
        </w:rPr>
        <w:t>Claims below are tagged REAL (measured). A labeled synthetic grid exists in the artifact but is not used as evidence.</w:t>
      </w:r>
    </w:p>
    <w:p>
      <w:pPr>
        <w:pStyle w:val="Heading1"/>
        <w:spacing w:after="40"/>
      </w:pPr>
      <w:r>
        <w:t>Abstract</w:t>
      </w:r>
    </w:p>
    <w:p>
      <w:pPr>
        <w:spacing w:after="40"/>
      </w:pPr>
      <w:r>
        <w:rPr>
          <w:sz w:val="20"/>
        </w:rPr>
        <w:t xml:space="preserve">The Model Context Protocol (MCP) standardizes how LLM applications invoke external tools. Existing MCP security research concentrates on confidentiality and integrity and does not measure whether a protocol-conformant client can exhaust memory, CPU, or sessions so that </w:t>
      </w:r>
      <w:r>
        <w:rPr>
          <w:i/>
          <w:sz w:val="20"/>
        </w:rPr>
        <w:t>other</w:t>
      </w:r>
      <w:r>
        <w:rPr>
          <w:sz w:val="20"/>
        </w:rPr>
        <w:t xml:space="preserve"> agents stop being served. We close that gap as an applied measurement study. We map seven resource-exhaustion vectors to CWE-770/400/1333 across the official Python and TypeScript SDKs; ship a reproducible experiment package with a locked result schema; and report replicated measurements (n = 10 per anchor, mean ± 95% CI, Mann–Whitney U, rank-biserial effect sizes, Holm-corrected). At the original short-burst anchors, only unbounded stdio (v3, local </w:t>
      </w:r>
      <w:r>
        <w:rPr>
          <w:rFonts w:ascii="Consolas" w:hAnsi="Consolas"/>
          <w:sz w:val="18"/>
        </w:rPr>
        <w:t>AV:L</w:t>
      </w:r>
      <w:r>
        <w:rPr>
          <w:sz w:val="20"/>
        </w:rPr>
        <w:t xml:space="preserve">) meets a pre-declared concurrent-client availability criterion. A practical follow-up — 32 concurrent workers, 10 s sustained flood, benign echo </w:t>
      </w:r>
      <w:r>
        <w:rPr>
          <w:i/>
          <w:sz w:val="20"/>
        </w:rPr>
        <w:t>during</w:t>
      </w:r>
      <w:r>
        <w:rPr>
          <w:sz w:val="20"/>
        </w:rPr>
        <w:t xml:space="preserve"> the attack (n = 8) — shows that the two network-reachable floods do meet it: initialize/session flood (v2) raises established-client p95 8.96 → 49.28 ms (5.50×, p = 0.0009) and tool-invocation flood (v5) 6.56 → 64.14 ms (9.77×, p = 0.0136), with peak RSS 53 → 177 MB and 71 → 246 MB. Four mitigations (v1, v2, v3, v6) reduce their pre-specified resource channel; v7's ~382× gain is attacker-cost, not availability; v4 never reproduced as pathological; v5's pre-specified CPU test fails. Leaving size, session and invocation caps off is not a neutral default.</w:t>
      </w:r>
    </w:p>
    <w:p>
      <w:pPr>
        <w:spacing w:after="40"/>
      </w:pPr>
      <w:r>
        <w:rPr>
          <w:b/>
          <w:sz w:val="20"/>
        </w:rPr>
        <w:t>Keywords:</w:t>
      </w:r>
      <w:r>
        <w:rPr>
          <w:sz w:val="20"/>
        </w:rPr>
        <w:t xml:space="preserve"> Model Context Protocol; denial of service; resource exhaustion; availability; LLM agents; security benchmarking; CWE-770; CWE-400; CWE-1333.</w:t>
      </w:r>
    </w:p>
    <w:p>
      <w:pPr>
        <w:pStyle w:val="Heading1"/>
        <w:spacing w:after="40"/>
      </w:pPr>
      <w:r>
        <w:t>1. Introduction</w:t>
      </w:r>
    </w:p>
    <w:p>
      <w:pPr>
        <w:spacing w:after="40"/>
      </w:pPr>
      <w:r>
        <w:rPr>
          <w:sz w:val="20"/>
        </w:rPr>
        <w:t>MCP hosts, clients, and servers allocate memory for attacker-controlled input, run regular expressions over attacker-controlled strings, and hold connections open as long as a peer trickles bytes. The protocol's own choices — a JSON-RPC layer with no size ceiling [3], no mandated idle timeout, an SSE transport with no mandated backpressure [2] — do nothing to change that, and an MCP server typically sits one hop from an autonomous agent inside a host whose failure mode is not one slow request but an assistant that stops responding.</w:t>
      </w:r>
    </w:p>
    <w:p>
      <w:pPr>
        <w:spacing w:after="40"/>
      </w:pPr>
      <w:r>
        <w:rPr>
          <w:sz w:val="20"/>
        </w:rPr>
        <w:t xml:space="preserve">The most systematic prior effort, MCPSecBench [1], catalogues seventeen attack types across four surfaces, every one a confidentiality or integrity concern. Three more recent MCP papers [10]–[12] </w:t>
      </w:r>
      <w:r>
        <w:rPr>
          <w:i/>
          <w:sz w:val="20"/>
        </w:rPr>
        <w:t>name</w:t>
      </w:r>
      <w:r>
        <w:rPr>
          <w:sz w:val="20"/>
        </w:rPr>
        <w:t xml:space="preserve"> availability, and the Ruby SDK has exact-mechanism advisories for oversized bodies, unreaped sessions and unbounded stdio reads [13]–[15], but none of those works reports a replicated resource-cost number or a concurrent-client availability test on the official Python/TypeScript SDKs. That is the gap this paper closes.</w:t>
      </w:r>
    </w:p>
    <w:p>
      <w:pPr>
        <w:spacing w:after="40"/>
      </w:pPr>
      <w:r>
        <w:rPr>
          <w:sz w:val="20"/>
        </w:rPr>
        <w:t xml:space="preserve">This is an </w:t>
      </w:r>
      <w:r>
        <w:rPr>
          <w:b/>
          <w:sz w:val="20"/>
        </w:rPr>
        <w:t>applied measurement study</w:t>
      </w:r>
      <w:r>
        <w:rPr>
          <w:sz w:val="20"/>
        </w:rPr>
        <w:t>, not a new-technique paper: the seven weaknesses are decades-old CWE-770/400/1333 classes MCP inherits from any RPC-style protocol, and the mitigations are idiomatic. The contributions are (i) a CWE-mapped, CVE-scoped taxonomy of those classes on the MCP session lifecycle (§3); (ii) a reproducible experiment package with a locked JSON schema (§4); (iii) replicated resource-cost and mitigation numbers plus a practical high-concurrency flood with a concurrent benign client (§5).</w:t>
      </w:r>
    </w:p>
    <w:p>
      <w:pPr>
        <w:spacing w:after="40"/>
      </w:pPr>
      <w:r>
        <w:rPr>
          <w:b/>
          <w:sz w:val="20"/>
        </w:rPr>
        <w:t>RQ1.</w:t>
      </w:r>
      <w:r>
        <w:rPr>
          <w:sz w:val="20"/>
        </w:rPr>
        <w:t xml:space="preserve"> Which of the seven vectors impose measurable resource cost on the official SDKs at a locked anchor? </w:t>
      </w:r>
      <w:r>
        <w:rPr>
          <w:b/>
          <w:sz w:val="20"/>
        </w:rPr>
        <w:t>RQ2.</w:t>
      </w:r>
      <w:r>
        <w:rPr>
          <w:sz w:val="20"/>
        </w:rPr>
        <w:t xml:space="preserve"> Which of them move a concurrent well-behaved client against an attack-absent control (Table 3b at the short-burst anchors; Table 3c at a 32-worker, 10 s flood)? </w:t>
      </w:r>
      <w:r>
        <w:rPr>
          <w:b/>
          <w:sz w:val="20"/>
        </w:rPr>
        <w:t>RQ3.</w:t>
      </w:r>
      <w:r>
        <w:rPr>
          <w:sz w:val="20"/>
        </w:rPr>
        <w:t xml:space="preserve"> Do idiomatic mitigations reduce the </w:t>
      </w:r>
      <w:r>
        <w:rPr>
          <w:i/>
          <w:sz w:val="20"/>
        </w:rPr>
        <w:t>pre-specified</w:t>
      </w:r>
      <w:r>
        <w:rPr>
          <w:sz w:val="20"/>
        </w:rPr>
        <w:t xml:space="preserve"> resource channel without collateral benign rejection?</w:t>
      </w:r>
    </w:p>
    <w:p>
      <w:pPr>
        <w:spacing w:after="40"/>
      </w:pPr>
      <w:r>
        <w:rPr>
          <w:sz w:val="20"/>
        </w:rPr>
        <w:t xml:space="preserve">We are precise about what the results license. All seven are </w:t>
      </w:r>
      <w:r>
        <w:rPr>
          <w:i/>
          <w:sz w:val="20"/>
        </w:rPr>
        <w:t>candidates</w:t>
      </w:r>
      <w:r>
        <w:rPr>
          <w:sz w:val="20"/>
        </w:rPr>
        <w:t xml:space="preserve"> for resource exhaustion; v4 never reproduced as pathological. At the original short-burst anchors, availability denial is demonstrated for </w:t>
      </w:r>
      <w:r>
        <w:rPr>
          <w:b/>
          <w:sz w:val="20"/>
        </w:rPr>
        <w:t>v3 only</w:t>
      </w:r>
      <w:r>
        <w:rPr>
          <w:sz w:val="20"/>
        </w:rPr>
        <w:t xml:space="preserve"> (local stdin, </w:t>
      </w:r>
      <w:r>
        <w:rPr>
          <w:rFonts w:ascii="Consolas" w:hAnsi="Consolas"/>
          <w:sz w:val="18"/>
        </w:rPr>
        <w:t>AV:L</w:t>
      </w:r>
      <w:r>
        <w:rPr>
          <w:sz w:val="20"/>
        </w:rPr>
        <w:t xml:space="preserve">, Table 3b). Under a practical concurrent-probe flood, </w:t>
      </w:r>
      <w:r>
        <w:rPr>
          <w:b/>
          <w:sz w:val="20"/>
        </w:rPr>
        <w:t>v2 and v5 also meet the same criterion</w:t>
      </w:r>
      <w:r>
        <w:rPr>
          <w:sz w:val="20"/>
        </w:rPr>
        <w:t xml:space="preserve"> (Table 3c). v1 and v6 remain resource-cost findings at the loads tested.</w:t>
      </w:r>
    </w:p>
    <w:p>
      <w:pPr>
        <w:pStyle w:val="Heading1"/>
        <w:spacing w:after="40"/>
      </w:pPr>
      <w:r>
        <w:t>2. Background and Related Work</w:t>
      </w:r>
    </w:p>
    <w:p>
      <w:pPr>
        <w:spacing w:after="40"/>
      </w:pPr>
      <w:r>
        <w:rPr>
          <w:b/>
          <w:sz w:val="20"/>
        </w:rPr>
        <w:t>MCP architecture.</w:t>
      </w:r>
      <w:r>
        <w:rPr>
          <w:sz w:val="20"/>
        </w:rPr>
        <w:t xml:space="preserve"> A </w:t>
      </w:r>
      <w:r>
        <w:rPr>
          <w:i/>
          <w:sz w:val="20"/>
        </w:rPr>
        <w:t>host</w:t>
      </w:r>
      <w:r>
        <w:rPr>
          <w:sz w:val="20"/>
        </w:rPr>
        <w:t xml:space="preserve"> instantiates one </w:t>
      </w:r>
      <w:r>
        <w:rPr>
          <w:i/>
          <w:sz w:val="20"/>
        </w:rPr>
        <w:t>client</w:t>
      </w:r>
      <w:r>
        <w:rPr>
          <w:sz w:val="20"/>
        </w:rPr>
        <w:t xml:space="preserve"> per connected </w:t>
      </w:r>
      <w:r>
        <w:rPr>
          <w:i/>
          <w:sz w:val="20"/>
        </w:rPr>
        <w:t>server</w:t>
      </w:r>
      <w:r>
        <w:rPr>
          <w:sz w:val="20"/>
        </w:rPr>
        <w:t xml:space="preserve">, each pair holding a stateful session whose lifecycle is initialization, operation, shutdown [2]. A </w:t>
      </w:r>
      <w:r>
        <w:rPr>
          <w:i/>
          <w:sz w:val="20"/>
        </w:rPr>
        <w:t>data layer</w:t>
      </w:r>
      <w:r>
        <w:rPr>
          <w:sz w:val="20"/>
        </w:rPr>
        <w:t xml:space="preserve"> carries JSON-RPC 2.0 [3] over tools, resources and prompts; a </w:t>
      </w:r>
      <w:r>
        <w:rPr>
          <w:i/>
          <w:sz w:val="20"/>
        </w:rPr>
        <w:t>transport layer</w:t>
      </w:r>
      <w:r>
        <w:rPr>
          <w:sz w:val="20"/>
        </w:rPr>
        <w:t xml:space="preserve"> moves those messages over local </w:t>
      </w:r>
      <w:r>
        <w:rPr>
          <w:i/>
          <w:sz w:val="20"/>
        </w:rPr>
        <w:t>stdio</w:t>
      </w:r>
      <w:r>
        <w:rPr>
          <w:sz w:val="20"/>
        </w:rPr>
        <w:t xml:space="preserve"> or </w:t>
      </w:r>
      <w:r>
        <w:rPr>
          <w:i/>
          <w:sz w:val="20"/>
        </w:rPr>
        <w:t>Streamable HTTP</w:t>
      </w:r>
      <w:r>
        <w:rPr>
          <w:sz w:val="20"/>
        </w:rPr>
        <w:t xml:space="preserve"> (JSON body or Server-Sent-Events stream) [2]. Each vector in Table 2 attacks a point in that lifecycle — session establishment, framing, parsing, transport timing — not semantic content.</w:t>
      </w:r>
    </w:p>
    <w:p>
      <w:pPr>
        <w:spacing w:after="40"/>
      </w:pPr>
      <w:r>
        <w:rPr>
          <w:b/>
          <w:sz w:val="20"/>
        </w:rPr>
        <w:t>The availability gap.</w:t>
      </w:r>
      <w:r>
        <w:rPr>
          <w:sz w:val="20"/>
        </w:rPr>
        <w:t xml:space="preserve"> Table 1 places this paper against the nearest MCP security work. MCPSecBench [1], a December-2025 SoK [10], a STRIDE/DREAD catalog [11] and VIPER-MCP [12] discuss DoS as a category; none measures RSS/CPU or a concurrent benign client on the official Python/TypeScript SDKs. Practitioner write-ups and sibling-SDK advisories [13]–[16] already describe oversized payloads and unreaped sessions; they are not a substitute for a locked, replicated measurement.</w:t>
      </w:r>
    </w:p>
    <w:p>
      <w:pPr>
        <w:spacing w:after="40"/>
      </w:pPr>
      <w:r>
        <w:rPr>
          <w:b/>
          <w:sz w:val="20"/>
        </w:rPr>
        <w:t>Table 1 — Closest MCP security work vs. this measurement.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  <w:tblCellMar>
          <w:top w:w="14" w:type="dxa"/>
          <w:bottom w:w="14" w:type="dxa"/>
          <w:left w:w="43" w:type="dxa"/>
          <w:right w:w="43" w:type="dxa"/>
        </w:tblCellMar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Work</w:t>
            </w:r>
          </w:p>
        </w:tc>
        <w:tc>
          <w:tcPr>
            <w:tcW w:type="dxa" w:w="2016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CWE-mapped?</w:t>
            </w:r>
          </w:p>
        </w:tc>
        <w:tc>
          <w:tcPr>
            <w:tcW w:type="dxa" w:w="2016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Resource cost measured?</w:t>
            </w:r>
          </w:p>
        </w:tc>
        <w:tc>
          <w:tcPr>
            <w:tcW w:type="dxa" w:w="2016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Concurrent-client test?</w:t>
            </w:r>
          </w:p>
        </w:tc>
        <w:tc>
          <w:tcPr>
            <w:tcW w:type="dxa" w:w="2016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Official Py/TS SDKs?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MCPSecBench [1], [19]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 (prompt-level ASR)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hosts, not SDKs</w:t>
            </w:r>
          </w:p>
        </w:tc>
      </w:tr>
      <w:tr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MCP SoK [10]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names DoS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survey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Huang et al. [11]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STRIDE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threat model</w:t>
            </w:r>
          </w:p>
        </w:tc>
      </w:tr>
      <w:tr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VIPER-MCP [12]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taint/CWE mix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server corpus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Ruby SDK CVEs [13]–[15]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770/400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advisory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Ruby only</w:t>
            </w:r>
          </w:p>
        </w:tc>
      </w:tr>
      <w:tr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This work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770/400/1333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RSS, CPU, p95, error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yes (Tables 3b, 3c)</w:t>
            </w:r>
          </w:p>
        </w:tc>
        <w:tc>
          <w:tcPr>
            <w:tcW w:type="dxa" w:w="2016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yes (</w:t>
            </w:r>
            <w:r>
              <w:rPr>
                <w:rFonts w:ascii="Consolas" w:hAnsi="Consolas"/>
                <w:sz w:val="16"/>
              </w:rPr>
              <w:t>mcp</w:t>
            </w:r>
            <w:r>
              <w:rPr>
                <w:sz w:val="16"/>
              </w:rPr>
              <w:t xml:space="preserve"> 1.27.0, TS 1.30.0)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sz w:val="20"/>
        </w:rPr>
        <w:t>Resource-exhaustion literature.</w:t>
      </w:r>
      <w:r>
        <w:rPr>
          <w:sz w:val="20"/>
        </w:rPr>
        <w:t xml:space="preserve"> These are long-studied RPC failure modes [20]–[22]. CWE-770 [4] is allocation proportional to one attacker-controlled request with no bound checked first (v1, v3, v4 — JSON analogue of XML bombs [26]–[29]). CWE-400 [5] is cumulative or held-connection exhaustion (v2, v5, v6; Slowloris lineage [6]). CWE-1333 [7] is algorithmic complexity [8], [9], [25] (v7).</w:t>
      </w:r>
    </w:p>
    <w:p>
      <w:pPr>
        <w:pStyle w:val="Heading1"/>
        <w:spacing w:after="40"/>
      </w:pPr>
      <w:r>
        <w:t>3. Threat Model and Taxonomy</w:t>
      </w:r>
    </w:p>
    <w:p>
      <w:pPr>
        <w:spacing w:after="40"/>
      </w:pPr>
      <w:r>
        <w:rPr>
          <w:b/>
          <w:sz w:val="20"/>
        </w:rPr>
        <w:t>Attacker model.</w:t>
      </w:r>
      <w:r>
        <w:rPr>
          <w:sz w:val="20"/>
        </w:rPr>
        <w:t xml:space="preserve"> The attacker acts as an ordinary, protocol-conformant MCP client or peer: for Streamable HTTP and SSE, an unauthenticated network peer able to open TCP connections to the bound address; for stdio, a peer already able to write to the server subprocess's standard input. It needs no credentials beyond the transport's, no special privilege, and no memory-safety bug: every vector uses protocol-legal or near-legal JSON-RPC traffic in an adversarial </w:t>
      </w:r>
      <w:r>
        <w:rPr>
          <w:i/>
          <w:sz w:val="20"/>
        </w:rPr>
        <w:t>shape</w:t>
      </w:r>
      <w:r>
        <w:rPr>
          <w:sz w:val="20"/>
        </w:rPr>
        <w:t xml:space="preserve"> (size, nesting depth, rate, timing) rather than adversarial </w:t>
      </w:r>
      <w:r>
        <w:rPr>
          <w:i/>
          <w:sz w:val="20"/>
        </w:rPr>
        <w:t>content</w:t>
      </w:r>
      <w:r>
        <w:rPr>
          <w:sz w:val="20"/>
        </w:rPr>
        <w:t xml:space="preserve">. Unlike MCPSecBench's attacker [1], its goal is not to make the target </w:t>
      </w:r>
      <w:r>
        <w:rPr>
          <w:i/>
          <w:sz w:val="20"/>
        </w:rPr>
        <w:t>do</w:t>
      </w:r>
      <w:r>
        <w:rPr>
          <w:sz w:val="20"/>
        </w:rPr>
        <w:t xml:space="preserve"> or </w:t>
      </w:r>
      <w:r>
        <w:rPr>
          <w:i/>
          <w:sz w:val="20"/>
        </w:rPr>
        <w:t>reveal</w:t>
      </w:r>
      <w:r>
        <w:rPr>
          <w:sz w:val="20"/>
        </w:rPr>
        <w:t xml:space="preserve"> the wrong thing but to stop it serving anyone else in time.</w:t>
      </w:r>
    </w:p>
    <w:p>
      <w:pPr>
        <w:spacing w:after="40"/>
      </w:pPr>
      <w:r>
        <w:rPr>
          <w:b/>
          <w:sz w:val="20"/>
        </w:rPr>
        <w:t>Victim model and success criterion.</w:t>
      </w:r>
      <w:r>
        <w:rPr>
          <w:sz w:val="20"/>
        </w:rPr>
        <w:t xml:space="preserve"> The smoke tests attack the server side, most exposed to untrusted peers, though the CWEs apply symmetrically to a client parsing attacker-controlled output. We do not require a crash: consistent with CWE-400/770/1333's framing and the standard degradation-versus-denial distinction [20], a vector succeeds whenever a </w:t>
      </w:r>
      <w:r>
        <w:rPr>
          <w:i/>
          <w:sz w:val="20"/>
        </w:rPr>
        <w:t>concurrent, well-behaved</w:t>
      </w:r>
      <w:r>
        <w:rPr>
          <w:sz w:val="20"/>
        </w:rPr>
        <w:t xml:space="preserve"> client's latency or error rate moves adversely during the attack, whether or not the server survives.</w:t>
      </w:r>
    </w:p>
    <w:p>
      <w:pPr>
        <w:spacing w:after="40"/>
      </w:pPr>
      <w:r>
        <w:rPr>
          <w:b/>
          <w:sz w:val="20"/>
        </w:rPr>
        <w:t>What this study measures against that criterion.</w:t>
      </w:r>
      <w:r>
        <w:rPr>
          <w:sz w:val="20"/>
        </w:rPr>
        <w:t xml:space="preserve"> We measured an </w:t>
      </w:r>
      <w:r>
        <w:rPr>
          <w:b/>
          <w:sz w:val="20"/>
        </w:rPr>
        <w:t>attack-absent control cell</w:t>
      </w:r>
      <w:r>
        <w:rPr>
          <w:sz w:val="20"/>
        </w:rPr>
        <w:t xml:space="preserve"> per vector, </w:t>
      </w:r>
      <w:r>
        <w:rPr>
          <w:b/>
          <w:sz w:val="20"/>
        </w:rPr>
        <w:t>paired within one session</w:t>
      </w:r>
      <w:r>
        <w:rPr>
          <w:sz w:val="20"/>
        </w:rPr>
        <w:t xml:space="preserve"> with a fresh unmitigated-attack arm (Table 3b) at the original short-burst anchors. Against that baseline the criterion is met for </w:t>
      </w:r>
      <w:r>
        <w:rPr>
          <w:b/>
          <w:sz w:val="20"/>
        </w:rPr>
        <w:t>v3 only</w:t>
      </w:r>
      <w:r>
        <w:rPr>
          <w:sz w:val="20"/>
        </w:rPr>
        <w:t xml:space="preserve">. A second, pre-declared practical experiment (Table 3c) re-tests v2 and v5 with a benign client that runs </w:t>
      </w:r>
      <w:r>
        <w:rPr>
          <w:i/>
          <w:sz w:val="20"/>
        </w:rPr>
        <w:t>during</w:t>
      </w:r>
      <w:r>
        <w:rPr>
          <w:sz w:val="20"/>
        </w:rPr>
        <w:t xml:space="preserve"> a 10 s, 32-worker flood. §5.1's OFF-vs-ON comparisons measure </w:t>
      </w:r>
      <w:r>
        <w:rPr>
          <w:i/>
          <w:sz w:val="20"/>
        </w:rPr>
        <w:t>mitigation efficacy</w:t>
      </w:r>
      <w:r>
        <w:rPr>
          <w:sz w:val="20"/>
        </w:rPr>
        <w:t>, not availability.</w:t>
      </w:r>
    </w:p>
    <w:p>
      <w:pPr>
        <w:pStyle w:val="Heading2"/>
        <w:spacing w:after="40"/>
      </w:pPr>
      <w:r>
        <w:t>Table 2 — Vectors, verified CWEs, and CVE status (official Python/TS SDKs)</w:t>
      </w:r>
    </w:p>
    <w:p>
      <w:pPr>
        <w:spacing w:after="40"/>
      </w:pPr>
      <w:r>
        <w:rPr>
          <w:sz w:val="20"/>
        </w:rPr>
        <w:t xml:space="preserve">CVE search was restricted, per locked scope, to the official Python and TypeScript SDKs; every advisory cited was confirmed by direct fetch. CVSS v3.1 scores are the authors' assessment (availability-only, </w:t>
      </w:r>
      <w:r>
        <w:rPr>
          <w:rFonts w:ascii="Consolas" w:hAnsi="Consolas"/>
          <w:sz w:val="18"/>
        </w:rPr>
        <w:t>C:N/I:N</w:t>
      </w:r>
      <w:r>
        <w:rPr>
          <w:sz w:val="20"/>
        </w:rPr>
        <w:t>) except row 7 (published CVE).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  <w:tblCellMar>
          <w:top w:w="14" w:type="dxa"/>
          <w:bottom w:w="14" w:type="dxa"/>
          <w:left w:w="43" w:type="dxa"/>
          <w:right w:w="43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68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Vector</w:t>
            </w:r>
          </w:p>
        </w:tc>
        <w:tc>
          <w:tcPr>
            <w:tcW w:type="dxa" w:w="168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Transport</w:t>
            </w:r>
          </w:p>
        </w:tc>
        <w:tc>
          <w:tcPr>
            <w:tcW w:type="dxa" w:w="168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CWE</w:t>
            </w:r>
          </w:p>
        </w:tc>
        <w:tc>
          <w:tcPr>
            <w:tcW w:type="dxa" w:w="168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CVSS</w:t>
            </w:r>
          </w:p>
        </w:tc>
        <w:tc>
          <w:tcPr>
            <w:tcW w:type="dxa" w:w="168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CVE (Py/TS SDK)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Oversized message body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HTTP/stdio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CWE-770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5.3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None (Ruby analogue CVE-2026-67432 [13], out of scope)</w:t>
            </w:r>
          </w:p>
        </w:tc>
      </w:tr>
      <w:tr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Initialize/session flood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HTTP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CWE-400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5.3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None (Ruby CVE-2026-67430 [14], out of scope)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Unbounded stdio stream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stdio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CWE-770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4.0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None (Ruby CVE-2026-63119 [15], out of scope)</w:t>
            </w:r>
          </w:p>
        </w:tc>
      </w:tr>
      <w:tr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Deeply nested JSON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HTTP/stdio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CWE-770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4.3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None (not pathological at the measured load; §5.1 ◊)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Tool-invocation flooding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HTTP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CWE-400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4.3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Slow-SSE / slow read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SSE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CWE-400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5.3</w:t>
            </w:r>
          </w:p>
        </w:tc>
        <w:tc>
          <w:tcPr>
            <w:tcW w:type="dxa" w:w="168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ReDoS in input validation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HTTP/stdio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CWE-1333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7.5</w:t>
            </w:r>
          </w:p>
        </w:tc>
        <w:tc>
          <w:tcPr>
            <w:tcW w:type="dxa" w:w="168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Confirmed: CVE-2026-0621 / GHSA-cqwc-fm46-7fff [16]</w:t>
            </w:r>
            <w:r>
              <w:rPr>
                <w:sz w:val="16"/>
              </w:rPr>
              <w:t xml:space="preserve"> (TS SDK </w:t>
            </w:r>
            <w:r>
              <w:rPr>
                <w:rFonts w:ascii="Consolas" w:hAnsi="Consolas"/>
                <w:sz w:val="16"/>
              </w:rPr>
              <w:t>UriTemplate.partToRegExp()</w:t>
            </w:r>
            <w:r>
              <w:rPr>
                <w:sz w:val="16"/>
              </w:rPr>
              <w:t>; ≥1.3.0,&lt;1.25.2; fixed 1.25.2)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0"/>
        </w:rPr>
        <w:t xml:space="preserve">Row 7's higher score reflects that catastrophic backtracking pins CPU and hangs the server for </w:t>
      </w:r>
      <w:r>
        <w:rPr>
          <w:i/>
          <w:sz w:val="20"/>
        </w:rPr>
        <w:t>all</w:t>
      </w:r>
      <w:r>
        <w:rPr>
          <w:sz w:val="20"/>
        </w:rPr>
        <w:t xml:space="preserve"> clients (</w:t>
      </w:r>
      <w:r>
        <w:rPr>
          <w:rFonts w:ascii="Consolas" w:hAnsi="Consolas"/>
          <w:sz w:val="18"/>
        </w:rPr>
        <w:t>A:H</w:t>
      </w:r>
      <w:r>
        <w:rPr>
          <w:sz w:val="20"/>
        </w:rPr>
        <w:t>), whereas the other six are scored as degradation (</w:t>
      </w:r>
      <w:r>
        <w:rPr>
          <w:rFonts w:ascii="Consolas" w:hAnsi="Consolas"/>
          <w:sz w:val="18"/>
        </w:rPr>
        <w:t>A:L</w:t>
      </w:r>
      <w:r>
        <w:rPr>
          <w:sz w:val="20"/>
        </w:rPr>
        <w:t xml:space="preserve">) — assessments of the weakness class, not measurements of benign-client impact. Row 3 is </w:t>
      </w:r>
      <w:r>
        <w:rPr>
          <w:rFonts w:ascii="Consolas" w:hAnsi="Consolas"/>
          <w:sz w:val="18"/>
        </w:rPr>
        <w:t>AV:L</w:t>
      </w:r>
      <w:r>
        <w:rPr>
          <w:sz w:val="20"/>
        </w:rPr>
        <w:t xml:space="preserve"> because the stdio vector needs a peer already able to write to the server's stdin. The 770/400 split (single-oversized-input allocation vs. cumulative or held-connection exhaustion) refines MITRE's </w:t>
      </w:r>
      <w:r>
        <w:rPr>
          <w:rFonts w:ascii="Consolas" w:hAnsi="Consolas"/>
          <w:sz w:val="18"/>
        </w:rPr>
        <w:t>ChildOf</w:t>
      </w:r>
      <w:r>
        <w:rPr>
          <w:sz w:val="20"/>
        </w:rPr>
        <w:t xml:space="preserve"> relation. Five vectors have no matching published CVE in the locked-scope SDKs; we report that plainly rather than manufacture a match, and it is not evidence of absence — the Ruby SDK has an exact-mechanism CVE for three [13]-[15]. Two high-severity Python-SDK availability CVEs [17], [18] were left off rather than force-fit, matching none of the seven mechanisms.</w:t>
      </w:r>
    </w:p>
    <w:p>
      <w:pPr>
        <w:pStyle w:val="Heading1"/>
        <w:spacing w:after="40"/>
      </w:pPr>
      <w:r>
        <w:t>4. Methodology and Harness</w:t>
      </w:r>
    </w:p>
    <w:p>
      <w:pPr>
        <w:spacing w:after="40"/>
      </w:pPr>
      <w:r>
        <w:rPr>
          <w:b/>
          <w:sz w:val="20"/>
        </w:rPr>
        <w:t>Environment.</w:t>
      </w:r>
      <w:r>
        <w:rPr>
          <w:sz w:val="20"/>
        </w:rPr>
        <w:t xml:space="preserve"> Primary anchors (Tables 3, 3b) ran on one Windows 11 Enterprise 10.0.26100 host, </w:t>
      </w:r>
      <w:r>
        <w:rPr>
          <w:b/>
          <w:sz w:val="20"/>
        </w:rPr>
        <w:t>no cgroups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psutil</w:t>
      </w:r>
      <w:r>
        <w:rPr>
          <w:sz w:val="20"/>
        </w:rPr>
        <w:t xml:space="preserve"> RSS/CPU every 0.1–0.2 s (a process-level approximation of cgroup </w:t>
      </w:r>
      <w:r>
        <w:rPr>
          <w:rFonts w:ascii="Consolas" w:hAnsi="Consolas"/>
          <w:sz w:val="18"/>
        </w:rPr>
        <w:t>memory.peak</w:t>
      </w:r>
      <w:r>
        <w:rPr>
          <w:sz w:val="20"/>
        </w:rPr>
        <w:t>/</w:t>
      </w:r>
      <w:r>
        <w:rPr>
          <w:rFonts w:ascii="Consolas" w:hAnsi="Consolas"/>
          <w:sz w:val="18"/>
        </w:rPr>
        <w:t>cpu.stat</w:t>
      </w:r>
      <w:r>
        <w:rPr>
          <w:sz w:val="20"/>
        </w:rPr>
        <w:t xml:space="preserve">; CPU% can exceed 100% multi-core). SDKs: Python 3.14.3, </w:t>
      </w:r>
      <w:r>
        <w:rPr>
          <w:rFonts w:ascii="Consolas" w:hAnsi="Consolas"/>
          <w:sz w:val="18"/>
        </w:rPr>
        <w:t>mcp</w:t>
      </w:r>
      <w:r>
        <w:rPr>
          <w:sz w:val="20"/>
        </w:rPr>
        <w:t xml:space="preserve"> 1.27.0; Node v24.14.0, </w:t>
      </w:r>
      <w:r>
        <w:rPr>
          <w:rFonts w:ascii="Consolas" w:hAnsi="Consolas"/>
          <w:sz w:val="18"/>
        </w:rPr>
        <w:t>@modelcontextprotocol/sdk</w:t>
      </w:r>
      <w:r>
        <w:rPr>
          <w:sz w:val="20"/>
        </w:rPr>
        <w:t xml:space="preserve"> 1.30.0; all binds </w:t>
      </w:r>
      <w:r>
        <w:rPr>
          <w:rFonts w:ascii="Consolas" w:hAnsi="Consolas"/>
          <w:sz w:val="18"/>
        </w:rPr>
        <w:t>127.0.0.1</w:t>
      </w:r>
      <w:r>
        <w:rPr>
          <w:sz w:val="20"/>
        </w:rPr>
        <w:t>. Every anchor was re-run in a Linux cgroup-v2 container (§5.4). The practical flood (Table 3c) ran on a second Windows host (13th Gen Intel Core i7-13620H, 16 GB RAM, Python 3.12, same pinned SDKs).</w:t>
      </w:r>
    </w:p>
    <w:p>
      <w:pPr>
        <w:spacing w:after="40"/>
      </w:pPr>
      <w:r>
        <w:rPr>
          <w:b/>
          <w:sz w:val="20"/>
        </w:rPr>
        <w:t>Locked definitions.</w:t>
      </w:r>
      <w:r>
        <w:rPr>
          <w:sz w:val="20"/>
        </w:rPr>
        <w:t xml:space="preserve"> Each run records </w:t>
      </w:r>
      <w:r>
        <w:rPr>
          <w:rFonts w:ascii="Consolas" w:hAnsi="Consolas"/>
          <w:sz w:val="18"/>
        </w:rPr>
        <w:t>peak_rss_mb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mean_cpu_pct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lat_p50/p95/p99_ms</w:t>
      </w:r>
      <w:r>
        <w:rPr>
          <w:sz w:val="20"/>
        </w:rPr>
        <w:t xml:space="preserve"> and </w:t>
      </w:r>
      <w:r>
        <w:rPr>
          <w:rFonts w:ascii="Consolas" w:hAnsi="Consolas"/>
          <w:sz w:val="18"/>
        </w:rPr>
        <w:t>error_rate</w:t>
      </w:r>
      <w:r>
        <w:rPr>
          <w:sz w:val="20"/>
        </w:rPr>
        <w:t xml:space="preserve"> of a </w:t>
      </w:r>
      <w:r>
        <w:rPr>
          <w:b/>
          <w:sz w:val="20"/>
        </w:rPr>
        <w:t>well-formed benign client</w:t>
      </w:r>
      <w:r>
        <w:rPr>
          <w:sz w:val="20"/>
        </w:rPr>
        <w:t xml:space="preserve">, plus </w:t>
      </w:r>
      <w:r>
        <w:rPr>
          <w:rFonts w:ascii="Consolas" w:hAnsi="Consolas"/>
          <w:sz w:val="18"/>
        </w:rPr>
        <w:t>time_to_oom_s</w:t>
      </w:r>
      <w:r>
        <w:rPr>
          <w:sz w:val="20"/>
        </w:rPr>
        <w:t xml:space="preserve">, </w:t>
      </w:r>
      <w:r>
        <w:rPr>
          <w:rFonts w:ascii="Consolas" w:hAnsi="Consolas"/>
          <w:sz w:val="18"/>
        </w:rPr>
        <w:t>recovery_s</w:t>
      </w:r>
      <w:r>
        <w:rPr>
          <w:sz w:val="20"/>
        </w:rPr>
        <w:t xml:space="preserve"> and </w:t>
      </w:r>
      <w:r>
        <w:rPr>
          <w:rFonts w:ascii="Consolas" w:hAnsi="Consolas"/>
          <w:sz w:val="18"/>
        </w:rPr>
        <w:t>amplification</w:t>
      </w:r>
      <w:r>
        <w:rPr>
          <w:sz w:val="20"/>
        </w:rPr>
        <w:t xml:space="preserve">. </w:t>
      </w:r>
      <w:r>
        <w:rPr>
          <w:b/>
          <w:sz w:val="20"/>
        </w:rPr>
        <w:t>Two probe regimes must not be conflated.</w:t>
      </w:r>
      <w:r>
        <w:rPr>
          <w:sz w:val="20"/>
        </w:rPr>
        <w:t xml:space="preserve"> At the original anchors the attack subprocess </w:t>
      </w:r>
      <w:r>
        <w:rPr>
          <w:i/>
          <w:sz w:val="20"/>
        </w:rPr>
        <w:t>returns</w:t>
      </w:r>
      <w:r>
        <w:rPr>
          <w:sz w:val="20"/>
        </w:rPr>
        <w:t xml:space="preserve"> and the benign probe then runs — so Table 3b measures leftover cost (unreaped sessions, unreleased buffers), not in-flight contention. Table 3c's practical experiment starts the benign client </w:t>
      </w:r>
      <w:r>
        <w:rPr>
          <w:i/>
          <w:sz w:val="20"/>
        </w:rPr>
        <w:t>before</w:t>
      </w:r>
      <w:r>
        <w:rPr>
          <w:sz w:val="20"/>
        </w:rPr>
        <w:t xml:space="preserve"> a 10 s flood and keeps issuing </w:t>
      </w:r>
      <w:r>
        <w:rPr>
          <w:rFonts w:ascii="Consolas" w:hAnsi="Consolas"/>
          <w:sz w:val="18"/>
        </w:rPr>
        <w:t>tools/call echo</w:t>
      </w:r>
      <w:r>
        <w:rPr>
          <w:sz w:val="20"/>
        </w:rPr>
        <w:t xml:space="preserve"> every 250 ms </w:t>
      </w:r>
      <w:r>
        <w:rPr>
          <w:i/>
          <w:sz w:val="20"/>
        </w:rPr>
        <w:t>during</w:t>
      </w:r>
      <w:r>
        <w:rPr>
          <w:sz w:val="20"/>
        </w:rPr>
        <w:t xml:space="preserve"> it; that is the Sec. 3 criterion as written. </w:t>
      </w:r>
      <w:r>
        <w:rPr>
          <w:b/>
          <w:sz w:val="20"/>
        </w:rPr>
        <w:t>Recovery</w:t>
      </w:r>
      <w:r>
        <w:rPr>
          <w:sz w:val="20"/>
        </w:rPr>
        <w:t xml:space="preserve">, locked before any run, is RSS-based: RSS within 110% of the pre-attack baseline for two consecutive 0.2 s samples, polled to an 8 s cap; unconfirmed rows report the cap with </w:t>
      </w:r>
      <w:r>
        <w:rPr>
          <w:rFonts w:ascii="Consolas" w:hAnsi="Consolas"/>
          <w:sz w:val="18"/>
        </w:rPr>
        <w:t>recovery_confirmed=False</w:t>
      </w:r>
      <w:r>
        <w:rPr>
          <w:sz w:val="20"/>
        </w:rPr>
        <w:t xml:space="preserve">. </w:t>
      </w:r>
      <w:r>
        <w:rPr>
          <w:b/>
          <w:sz w:val="20"/>
        </w:rPr>
        <w:t>Amplification</w:t>
      </w:r>
      <w:r>
        <w:rPr>
          <w:sz w:val="20"/>
        </w:rPr>
        <w:t xml:space="preserve"> = </w:t>
      </w:r>
      <w:r>
        <w:rPr>
          <w:rFonts w:ascii="Consolas" w:hAnsi="Consolas"/>
          <w:sz w:val="18"/>
        </w:rPr>
        <w:t>target_resource_cost / attacker_cost</w:t>
      </w:r>
      <w:r>
        <w:rPr>
          <w:sz w:val="20"/>
        </w:rPr>
        <w:t xml:space="preserve"> on a memory channel for v1, v2, v3, v6 and a CPU channel for v4, v5, v7.</w:t>
      </w:r>
    </w:p>
    <w:p>
      <w:pPr>
        <w:spacing w:after="40"/>
      </w:pPr>
      <w:r>
        <w:rPr>
          <w:b/>
          <w:sz w:val="20"/>
        </w:rPr>
        <w:t>Real vs. synthetic policy.</w:t>
      </w:r>
      <w:r>
        <w:rPr>
          <w:sz w:val="20"/>
        </w:rPr>
        <w:t xml:space="preserve"> Every numbered claim in this paper is a real measurement (</w:t>
      </w:r>
      <w:r>
        <w:rPr>
          <w:rFonts w:ascii="Consolas" w:hAnsi="Consolas"/>
          <w:sz w:val="18"/>
        </w:rPr>
        <w:t>is_synthetic:false</w:t>
      </w:r>
      <w:r>
        <w:rPr>
          <w:sz w:val="20"/>
        </w:rPr>
        <w:t xml:space="preserve">). Anchors use ≥10 kept reps per mitigation state, a fresh server process, randomized OFF/ON order, one discarded warm-up, plus a second real load point (n = 10, unadjusted). A labeled power-law grid exists in the artifact for illustration; </w:t>
      </w:r>
      <w:r>
        <w:rPr>
          <w:b/>
          <w:sz w:val="20"/>
        </w:rPr>
        <w:t>we make no empirical claim from it</w:t>
      </w:r>
      <w:r>
        <w:rPr>
          <w:sz w:val="20"/>
        </w:rPr>
        <w:t>, and we do not plot it as a result. Concurrency 32 for v2/v5 is measured in Table 3c, not modeled.</w:t>
      </w:r>
    </w:p>
    <w:p>
      <w:pPr>
        <w:spacing w:after="40"/>
      </w:pPr>
      <w:r>
        <w:rPr>
          <w:b/>
          <w:sz w:val="20"/>
        </w:rPr>
        <w:t>Statistics.</w:t>
      </w:r>
      <w:r>
        <w:rPr>
          <w:sz w:val="20"/>
        </w:rPr>
        <w:t xml:space="preserve"> We report mean ± 95% t-interval (n&lt;30) for roughly-symmetric DVs and median [IQR] for skewed benign p95 [34]–[36], with two-sided Mann–Whitney U and rank-biserial/Cliff's δ [37]. At n=10, U=0 yields a tie-corrected normal-approximation p = 0.0002 (SciPy exact ≈1.1×10⁻⁵); </w:t>
      </w:r>
      <w:r>
        <w:rPr>
          <w:b/>
          <w:sz w:val="20"/>
        </w:rPr>
        <w:t>0.0002 is the module's approximate value, not a floor</w:t>
      </w:r>
      <w:r>
        <w:rPr>
          <w:sz w:val="20"/>
        </w:rPr>
        <w:t xml:space="preserve">. The module is cross-validated against SciPy's </w:t>
      </w:r>
      <w:r>
        <w:rPr>
          <w:i/>
          <w:sz w:val="20"/>
        </w:rPr>
        <w:t>asymptotic</w:t>
      </w:r>
      <w:r>
        <w:rPr>
          <w:sz w:val="20"/>
        </w:rPr>
        <w:t xml:space="preserve"> method. The pre-specified mitigation family is one primary-channel OFF-vs-ON test per vector (m = 7), Holm–Bonferroni (§6.1). Table 3c is a separate two-test family (v2, v5 concurrent p95). The experiment package is the vector drivers, locked schema, sampler and analyzers; it is not a drop-in plugin for third-party servers.</w:t>
      </w:r>
    </w:p>
    <w:p>
      <w:pPr>
        <w:spacing w:after="40"/>
      </w:pPr>
      <w:r>
        <w:rPr>
          <w:b/>
          <w:sz w:val="20"/>
        </w:rPr>
        <w:t>Practical flood protocol (Table 3c, pre-declared).</w:t>
      </w:r>
      <w:r>
        <w:rPr>
          <w:sz w:val="20"/>
        </w:rPr>
        <w:t xml:space="preserve"> For v2 and v5 only: concurrency 32, wall-clock 10 s, attack in a child process, benign client in the parent, control vs attack order randomized within each rep, n = 8 kept + 1 warm-up. Success criterion identical to Table 3b. Primary DV: established-session echo p95 and error rate. Secondary: fresh-</w:t>
      </w:r>
      <w:r>
        <w:rPr>
          <w:rFonts w:ascii="Consolas" w:hAnsi="Consolas"/>
          <w:sz w:val="18"/>
        </w:rPr>
        <w:t>initialize</w:t>
      </w:r>
      <w:r>
        <w:rPr>
          <w:sz w:val="20"/>
        </w:rPr>
        <w:t xml:space="preserve"> error rate, peak RSS, CPU.</w:t>
      </w:r>
    </w:p>
    <w:p>
      <w:pPr>
        <w:pStyle w:val="Heading1"/>
        <w:spacing w:after="40"/>
      </w:pPr>
      <w:r>
        <w:t>5. Results</w:t>
      </w:r>
    </w:p>
    <w:p>
      <w:pPr>
        <w:pStyle w:val="Heading2"/>
        <w:spacing w:after="40"/>
      </w:pPr>
      <w:r>
        <w:t>5.1 Mitigation OFF vs. ON at the real anchors</w:t>
      </w:r>
    </w:p>
    <w:p>
      <w:pPr>
        <w:spacing w:after="40"/>
      </w:pPr>
      <w:r>
        <w:rPr>
          <w:b/>
          <w:sz w:val="20"/>
        </w:rPr>
        <w:t>Table 3 — Mitigation OFF vs. ON at each vector's real anchor cell (REAL, n = 10 reps per mitigation state; mean ± 95% CI, median [IQR] for benign p95 latency; two-sided Mann–Whitney U).</w:t>
      </w:r>
      <w:r>
        <w:rPr>
          <w:sz w:val="20"/>
        </w:rPr>
        <w:t xml:space="preserve"> </w:t>
      </w:r>
      <w:r>
        <w:rPr>
          <w:i/>
          <w:sz w:val="20"/>
        </w:rPr>
        <w:t>Columns:</w:t>
      </w:r>
      <w:r>
        <w:rPr>
          <w:sz w:val="20"/>
        </w:rPr>
        <w:t xml:space="preserve"> Mit (OFF/ON); Peak RSS and RSS Δ (peak minus that rep's pre-attack baseline), MB; CPU % (mean, can exceed 100% multi-core); Benign p95 (concurrent benign client, ms); Err (benign error rate); Recov (s); MWU p/r (OFF-vs-ON Mann–Whitney U p on the RSS and CPU per-rep distributions, with rank-biserial </w:t>
      </w:r>
      <w:r>
        <w:rPr>
          <w:i/>
          <w:sz w:val="20"/>
        </w:rPr>
        <w:t>r</w:t>
      </w:r>
      <w:r>
        <w:rPr>
          <w:sz w:val="20"/>
        </w:rPr>
        <w:t xml:space="preserve">; negative = ON lower, |r| = 1.00 = complete separation). The recurring </w:t>
      </w:r>
      <w:r>
        <w:rPr>
          <w:rFonts w:ascii="Consolas" w:hAnsi="Consolas"/>
          <w:sz w:val="18"/>
        </w:rPr>
        <w:t>p = 0.0002</w:t>
      </w:r>
      <w:r>
        <w:rPr>
          <w:sz w:val="20"/>
        </w:rPr>
        <w:t xml:space="preserve"> is §4's tie-corrected </w:t>
      </w:r>
      <w:r>
        <w:rPr>
          <w:b/>
          <w:sz w:val="20"/>
        </w:rPr>
        <w:t>normal-approximation</w:t>
      </w:r>
      <w:r>
        <w:rPr>
          <w:sz w:val="20"/>
        </w:rPr>
        <w:t xml:space="preserve"> value, </w:t>
      </w:r>
      <w:r>
        <w:rPr>
          <w:b/>
          <w:sz w:val="20"/>
        </w:rPr>
        <w:t>not a floor</w:t>
      </w:r>
      <w:r>
        <w:rPr>
          <w:sz w:val="20"/>
        </w:rPr>
        <w:t xml:space="preserve"> (SciPy exact ≈1.1×10⁻⁵). Parenthetical % on an ON row = reduction vs. its OFF row. </w:t>
      </w:r>
      <w:r>
        <w:rPr>
          <w:i/>
          <w:sz w:val="20"/>
        </w:rPr>
        <w:t>(CPU ch.)</w:t>
      </w:r>
      <w:r>
        <w:rPr>
          <w:sz w:val="20"/>
        </w:rPr>
        <w:t xml:space="preserve"> marks the vectors (v4, v5, v7) whose channel is CPU, not RSS growth — but for §6.1's family v5 is scored on peak RSS, a post-hoc reassignment declared in note ∗. </w:t>
      </w:r>
      <w:r>
        <w:rPr>
          <w:b/>
          <w:sz w:val="20"/>
        </w:rPr>
        <w:t>Bold</w:t>
      </w:r>
      <w:r>
        <w:rPr>
          <w:sz w:val="20"/>
        </w:rPr>
        <w:t xml:space="preserve"> = p &lt; 0.05 </w:t>
      </w:r>
      <w:r>
        <w:rPr>
          <w:i/>
          <w:sz w:val="20"/>
        </w:rPr>
        <w:t>uncorrected</w:t>
      </w:r>
      <w:r>
        <w:rPr>
          <w:sz w:val="20"/>
        </w:rPr>
        <w:t>.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  <w:tblCellMar>
          <w:top w:w="14" w:type="dxa"/>
          <w:bottom w:w="14" w:type="dxa"/>
          <w:left w:w="43" w:type="dxa"/>
          <w:right w:w="43" w:type="dxa"/>
        </w:tblCellMar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 w:val="true"/>
        </w:trPr>
        <w:tc>
          <w:tcPr>
            <w:tcW w:type="dxa" w:w="112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Vector</w:t>
            </w:r>
          </w:p>
        </w:tc>
        <w:tc>
          <w:tcPr>
            <w:tcW w:type="dxa" w:w="112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Mit</w:t>
            </w:r>
          </w:p>
        </w:tc>
        <w:tc>
          <w:tcPr>
            <w:tcW w:type="dxa" w:w="112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Peak RSS</w:t>
            </w:r>
          </w:p>
        </w:tc>
        <w:tc>
          <w:tcPr>
            <w:tcW w:type="dxa" w:w="112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RSS Δ</w:t>
            </w:r>
          </w:p>
        </w:tc>
        <w:tc>
          <w:tcPr>
            <w:tcW w:type="dxa" w:w="112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CPU %</w:t>
            </w:r>
          </w:p>
        </w:tc>
        <w:tc>
          <w:tcPr>
            <w:tcW w:type="dxa" w:w="112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Benign p95 med[IQR]</w:t>
            </w:r>
          </w:p>
        </w:tc>
        <w:tc>
          <w:tcPr>
            <w:tcW w:type="dxa" w:w="112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Err</w:t>
            </w:r>
          </w:p>
        </w:tc>
        <w:tc>
          <w:tcPr>
            <w:tcW w:type="dxa" w:w="112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Recov</w:t>
            </w:r>
          </w:p>
        </w:tc>
        <w:tc>
          <w:tcPr>
            <w:tcW w:type="dxa" w:w="112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MWU p (r) RSS/CPU</w:t>
            </w:r>
          </w:p>
        </w:tc>
      </w:tr>
      <w:tr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v1 oversized body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OFF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291.56±21.04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223.85±21.04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6.39±0.50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7.42 [7.03, 12.73]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8.00±0.00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0.0002</w:t>
            </w:r>
            <w:r>
              <w:rPr>
                <w:sz w:val="16"/>
              </w:rPr>
              <w:t xml:space="preserve"> (r −1.00) / </w:t>
            </w:r>
            <w:r>
              <w:rPr>
                <w:b/>
                <w:sz w:val="16"/>
              </w:rPr>
              <w:t>0.037</w:t>
            </w:r>
            <w:r>
              <w:rPr>
                <w:sz w:val="16"/>
              </w:rPr>
              <w:t xml:space="preserve"> (r −0.56)</w:t>
            </w:r>
          </w:p>
        </w:tc>
      </w:tr>
      <w:tr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70.60±0.55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3.03±0.60 (−98.6%)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5.59 [5.42, 5.76] ‡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7.09 [6.70, 22.09]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0.20±0.00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v2 init/session flood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OFF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77.56±0.15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9.91±0.18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19.72±18.09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6.33 [5.98, 11.68]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8.00±0.00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0.0002</w:t>
            </w:r>
            <w:r>
              <w:rPr>
                <w:sz w:val="16"/>
              </w:rPr>
              <w:t xml:space="preserve"> (r −1.00) / </w:t>
            </w:r>
            <w:r>
              <w:rPr>
                <w:b/>
                <w:sz w:val="16"/>
              </w:rPr>
              <w:t>0.004</w:t>
            </w:r>
            <w:r>
              <w:rPr>
                <w:sz w:val="16"/>
              </w:rPr>
              <w:t xml:space="preserve"> (r −0.78)</w:t>
            </w:r>
          </w:p>
        </w:tc>
      </w:tr>
      <w:tr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68.87±0.18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1.42±0.17 (−85.6%)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5.53±1.17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2.46 [2.07, 11.63]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0.20±0.00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v3 unbounded stdio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OFF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260.53±18.99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198.13±18.92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13.79±1.12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2410.76 [2409.94, 2411.47]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5.41±0.00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0.0002</w:t>
            </w:r>
            <w:r>
              <w:rPr>
                <w:sz w:val="16"/>
              </w:rPr>
              <w:t xml:space="preserve"> (r −1.00) / </w:t>
            </w:r>
            <w:r>
              <w:rPr>
                <w:b/>
                <w:sz w:val="16"/>
              </w:rPr>
              <w:t>0.0001</w:t>
            </w:r>
            <w:r>
              <w:rPr>
                <w:sz w:val="16"/>
              </w:rPr>
              <w:t xml:space="preserve"> (r −1.00)</w:t>
            </w:r>
          </w:p>
        </w:tc>
      </w:tr>
      <w:tr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62.48±0.21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0.07±0.06 (−100%)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 [0.00, 0.00] ‡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 [0.00, 0.00] †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1.00</w:t>
            </w:r>
            <w:r>
              <w:rPr>
                <w:sz w:val="16"/>
              </w:rPr>
              <w:t xml:space="preserve"> †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0.20±0.00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v4 deep nested JSON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OFF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70.09±0.16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(CPU ch.)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2.97±0.37 ◊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8.03 [6.83, 16.76]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0.20±0.00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0.0002</w:t>
            </w:r>
            <w:r>
              <w:rPr>
                <w:sz w:val="16"/>
              </w:rPr>
              <w:t xml:space="preserve"> (r −1.00) / </w:t>
            </w:r>
            <w:r>
              <w:rPr>
                <w:b/>
                <w:sz w:val="16"/>
              </w:rPr>
              <w:t>0.037</w:t>
            </w:r>
            <w:r>
              <w:rPr>
                <w:sz w:val="16"/>
              </w:rPr>
              <w:t xml:space="preserve"> (r −0.56)</w:t>
            </w:r>
          </w:p>
        </w:tc>
      </w:tr>
      <w:tr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69.03±0.12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(CPU ch.)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2.46±0.33 (−17.1%) ◊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9.99 [6.65, 19.33]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0.20±0.00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v5 tool-invoke flood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OFF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96.48±3.13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(CPU ch.)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4.25±0.56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4.21 [3.66, 10.53]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7.78±0.06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0.0002</w:t>
            </w:r>
            <w:r>
              <w:rPr>
                <w:sz w:val="16"/>
              </w:rPr>
              <w:t xml:space="preserve"> (r −1.00) / 0.186 (r +0.36)</w:t>
            </w:r>
          </w:p>
        </w:tc>
      </w:tr>
      <w:tr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78.13±2.87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(CPU ch.)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5.62±1.60 ∗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4.68 [2.82, 14.83]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0.83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 [0.20, 4.56] ‡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v6 slow-SSE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OFF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101.79±2.98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29.62±2.94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0.88±0.39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22.45 [19.78, 25.25]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7.68±0.72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0.0002</w:t>
            </w:r>
            <w:r>
              <w:rPr>
                <w:sz w:val="16"/>
              </w:rPr>
              <w:t xml:space="preserve"> (r −1.00) / 0.053 (r +0.52)</w:t>
            </w:r>
          </w:p>
        </w:tc>
      </w:tr>
      <w:tr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74.73±2.39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2.65±2.39 (−91.0%)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2.05±1.11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19.62 [17.75, 20.96]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 [0.20, 0.20] ‡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v7 ReDoS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OFF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67.13±0.21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(CPU ch.)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62.28±1.31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3.76 [3.27, 4.42]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0.20±0.00</w:t>
            </w:r>
          </w:p>
        </w:tc>
        <w:tc>
          <w:tcPr>
            <w:tcW w:type="dxa" w:w="112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0.677 (r +0.12) / </w:t>
            </w:r>
            <w:r>
              <w:rPr>
                <w:b/>
                <w:sz w:val="16"/>
              </w:rPr>
              <w:t>0.0001</w:t>
            </w:r>
            <w:r>
              <w:rPr>
                <w:sz w:val="16"/>
              </w:rPr>
              <w:t xml:space="preserve"> (r −1.00)</w:t>
            </w:r>
          </w:p>
        </w:tc>
      </w:tr>
      <w:tr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67.13±0.24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(CPU ch.)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1.00±0.25 (−98.4%)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2.17 [2.08, 2.29]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0.20±0.00</w:t>
            </w:r>
          </w:p>
        </w:tc>
        <w:tc>
          <w:tcPr>
            <w:tcW w:type="dxa" w:w="112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0"/>
        </w:rPr>
        <w:t xml:space="preserve">† v3-ON's </w:t>
      </w:r>
      <w:r>
        <w:rPr>
          <w:rFonts w:ascii="Consolas" w:hAnsi="Consolas"/>
          <w:sz w:val="18"/>
        </w:rPr>
        <w:t>0.00</w:t>
      </w:r>
      <w:r>
        <w:rPr>
          <w:sz w:val="20"/>
        </w:rPr>
        <w:t xml:space="preserve"> latency and </w:t>
      </w:r>
      <w:r>
        <w:rPr>
          <w:rFonts w:ascii="Consolas" w:hAnsi="Consolas"/>
          <w:sz w:val="18"/>
        </w:rPr>
        <w:t>1.00</w:t>
      </w:r>
      <w:r>
        <w:rPr>
          <w:sz w:val="20"/>
        </w:rPr>
        <w:t xml:space="preserve"> error rate reflect that the mitigated connection closed after only 2 MB of the 20 MB payload was accepted, so no benign round trip completed; recovery is 0.20 s because RSS never grew. ‡ Four ON-cells have a per-rep spread wider than their mean, so a symmetric t-interval would fall below zero on a non-negative quantity; for these we report median [IQR] (v1-ON CPU carries one flagged, not dropped, 147.4% outlier; v3-ON CPU is 0.0% in eight of ten reps; v5-ON and v6-ON recovery are bimodal). ◊ An earlier single v4 run measured 145.66% unmitigated CPU, which did </w:t>
      </w:r>
      <w:r>
        <w:rPr>
          <w:b/>
          <w:sz w:val="20"/>
        </w:rPr>
        <w:t>not</w:t>
      </w:r>
      <w:r>
        <w:rPr>
          <w:sz w:val="20"/>
        </w:rPr>
        <w:t xml:space="preserve"> reproduce across 10 reps: the unmitigated server accepts the depth-1000 payload cheaply (2.97% CPU, HTTP 200) and the depth-64 cap rejects it (HTTP 400) at indistinguishable CPU, so </w:t>
      </w:r>
      <w:r>
        <w:rPr>
          <w:b/>
          <w:sz w:val="20"/>
        </w:rPr>
        <w:t>v4's unmitigated cost never reproduced as pathological</w:t>
      </w:r>
      <w:r>
        <w:rPr>
          <w:sz w:val="20"/>
        </w:rPr>
        <w:t xml:space="preserve">; the mitigation's value is early rejection. ∗ v5's CPU </w:t>
      </w:r>
      <w:r>
        <w:rPr>
          <w:i/>
          <w:sz w:val="20"/>
        </w:rPr>
        <w:t>rises</w:t>
      </w:r>
      <w:r>
        <w:rPr>
          <w:sz w:val="20"/>
        </w:rPr>
        <w:t xml:space="preserve"> under mitigation as a metric artifact (rejected requests return almost instantly, so the window fills with cheap rejections); the unambiguous evidence is the peak-RSS drop (96.48→78.13 MB, </w:t>
      </w:r>
      <w:r>
        <w:rPr>
          <w:rFonts w:ascii="Consolas" w:hAnsi="Consolas"/>
          <w:sz w:val="18"/>
        </w:rPr>
        <w:t>p = 0.0002</w:t>
      </w:r>
      <w:r>
        <w:rPr>
          <w:sz w:val="20"/>
        </w:rPr>
        <w:t xml:space="preserve">) and admitted requests (400/400 vs. 20/400). </w:t>
      </w:r>
      <w:r>
        <w:rPr>
          <w:b/>
          <w:sz w:val="20"/>
        </w:rPr>
        <w:t>We declare this a post-hoc change of endpoint:</w:t>
      </w:r>
      <w:r>
        <w:rPr>
          <w:sz w:val="20"/>
        </w:rPr>
        <w:t xml:space="preserve"> v5's pre-specified channel was CPU, where the test </w:t>
      </w:r>
      <w:r>
        <w:rPr>
          <w:b/>
          <w:sz w:val="20"/>
        </w:rPr>
        <w:t>fails (</w:t>
      </w:r>
      <w:r>
        <w:rPr>
          <w:rFonts w:ascii="Consolas" w:hAnsi="Consolas"/>
          <w:sz w:val="18"/>
        </w:rPr>
        <w:t>p = 0.186</w:t>
      </w:r>
      <w:r>
        <w:rPr>
          <w:b/>
          <w:sz w:val="20"/>
        </w:rPr>
        <w:t>)</w:t>
      </w:r>
      <w:r>
        <w:rPr>
          <w:sz w:val="20"/>
        </w:rPr>
        <w:t xml:space="preserve">; it is flagged </w:t>
      </w:r>
      <w:r>
        <w:rPr>
          <w:rFonts w:ascii="Consolas" w:hAnsi="Consolas"/>
          <w:sz w:val="18"/>
        </w:rPr>
        <w:t>primary_channel_post_hoc: true</w:t>
      </w:r>
      <w:r>
        <w:rPr>
          <w:sz w:val="20"/>
        </w:rPr>
        <w:t>.</w:t>
      </w:r>
    </w:p>
    <w:p>
      <w:pPr>
        <w:spacing w:after="40"/>
      </w:pPr>
      <w:r>
        <w:rPr>
          <w:b/>
          <w:sz w:val="20"/>
        </w:rPr>
        <w:t>The ReDoS headline is an attacker-cost figure, not the benign p95 in the table.</w:t>
      </w:r>
      <w:r>
        <w:rPr>
          <w:sz w:val="20"/>
        </w:rPr>
        <w:t xml:space="preserve"> The 382× number is the </w:t>
      </w:r>
      <w:r>
        <w:rPr>
          <w:i/>
          <w:sz w:val="20"/>
        </w:rPr>
        <w:t>attacker's own</w:t>
      </w:r>
      <w:r>
        <w:rPr>
          <w:sz w:val="20"/>
        </w:rPr>
        <w:t xml:space="preserve"> pathological-request latency, recorded per rep only in the free-text </w:t>
      </w:r>
      <w:r>
        <w:rPr>
          <w:rFonts w:ascii="Consolas" w:hAnsi="Consolas"/>
          <w:sz w:val="18"/>
        </w:rPr>
        <w:t>notes</w:t>
      </w:r>
      <w:r>
        <w:rPr>
          <w:sz w:val="20"/>
        </w:rPr>
        <w:t xml:space="preserve"> field of each v7 record (as the </w:t>
      </w:r>
      <w:r>
        <w:rPr>
          <w:rFonts w:ascii="Consolas" w:hAnsi="Consolas"/>
          <w:sz w:val="18"/>
        </w:rPr>
        <w:t>latency_ms</w:t>
      </w:r>
      <w:r>
        <w:rPr>
          <w:sz w:val="20"/>
        </w:rPr>
        <w:t xml:space="preserve"> entry of an embedded </w:t>
      </w:r>
      <w:r>
        <w:rPr>
          <w:rFonts w:ascii="Consolas" w:hAnsi="Consolas"/>
          <w:sz w:val="18"/>
        </w:rPr>
        <w:t>attack_result={...}</w:t>
      </w:r>
      <w:r>
        <w:rPr>
          <w:sz w:val="20"/>
        </w:rPr>
        <w:t xml:space="preserve"> string — </w:t>
      </w:r>
      <w:r>
        <w:rPr>
          <w:b/>
          <w:sz w:val="20"/>
        </w:rPr>
        <w:t xml:space="preserve">there is no top-level </w:t>
      </w:r>
      <w:r>
        <w:rPr>
          <w:rFonts w:ascii="Consolas" w:hAnsi="Consolas"/>
          <w:sz w:val="18"/>
        </w:rPr>
        <w:t>attack_result.latency_ms</w:t>
      </w:r>
      <w:r>
        <w:rPr>
          <w:b/>
          <w:sz w:val="20"/>
        </w:rPr>
        <w:t xml:space="preserve"> schema field</w:t>
      </w:r>
      <w:r>
        <w:rPr>
          <w:sz w:val="20"/>
        </w:rPr>
        <w:t xml:space="preserve">), re-derived over the 10 unmitigated and 10 mitigated reps: </w:t>
      </w:r>
      <w:r>
        <w:rPr>
          <w:b/>
          <w:sz w:val="20"/>
        </w:rPr>
        <w:t>mean 2181.6 ms → 5.72 ms (ratio 381.7 ≈ 382×)</w:t>
      </w:r>
      <w:r>
        <w:rPr>
          <w:sz w:val="20"/>
        </w:rPr>
        <w:t>, mean CPU falling 62.28% ± 1.31 → 1.00% ± 0.25 (</w:t>
      </w:r>
      <w:r>
        <w:rPr>
          <w:rFonts w:ascii="Consolas" w:hAnsi="Consolas"/>
          <w:sz w:val="18"/>
        </w:rPr>
        <w:t>p = 0.0001</w:t>
      </w:r>
      <w:r>
        <w:rPr>
          <w:sz w:val="20"/>
        </w:rPr>
        <w:t xml:space="preserve">, r −1.00). This is an </w:t>
      </w:r>
      <w:r>
        <w:rPr>
          <w:i/>
          <w:sz w:val="20"/>
        </w:rPr>
        <w:t>attacker-cost</w:t>
      </w:r>
      <w:r>
        <w:rPr>
          <w:sz w:val="20"/>
        </w:rPr>
        <w:t xml:space="preserve"> reduction, </w:t>
      </w:r>
      <w:r>
        <w:rPr>
          <w:b/>
          <w:sz w:val="20"/>
        </w:rPr>
        <w:t>not</w:t>
      </w:r>
      <w:r>
        <w:rPr>
          <w:sz w:val="20"/>
        </w:rPr>
        <w:t xml:space="preserve"> a benign-availability gain: the benign p95 barely moves (3.76 → 2.17 ms) and against the measured baseline (Table 3b) v7 shows no adverse move. </w:t>
      </w:r>
      <w:r>
        <w:rPr>
          <w:b/>
          <w:sz w:val="20"/>
        </w:rPr>
        <w:t>Naive global rate limiting collaterally rejects benign traffic:</w:t>
      </w:r>
      <w:r>
        <w:rPr>
          <w:sz w:val="20"/>
        </w:rPr>
        <w:t xml:space="preserve"> v2 and v5's limits use one global counter (no client identity to key on without auth), so the benign probe's own requests sometimes landed in the exhausted window — benign error rate 1.00 (v2-ON) and 0.83 (v5-ON) across all reps, the server protected at the direct cost of legitimate users sharing its window.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914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1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Figure 1. Empirical CDF of benign-request latency at each real anchor cell (REAL, both conditions `is_synthetic:false`), pooling per-request latencies over all 10 reps, unmitigated vs. mitigated. The mitigated curve sits at or left of the unmitigated one for the memory-channel vectors; v3-mitigated is degenerate all-zero because the connection closes before any benign round trip completes.</w:t>
      </w:r>
    </w:p>
    <w:p>
      <w:pPr>
        <w:spacing w:after="40"/>
      </w:pPr>
      <w:r>
        <w:rPr>
          <w:b/>
          <w:sz w:val="20"/>
        </w:rPr>
        <w:t xml:space="preserve">Table 3b — No-attack benign baseline vs. attack-present (unmitigated) benign client, measured back-to-back within one session at each vector's real anchor (REAL, n = 10 reps per arm; benign p95 in ms, median [IQR]; MWU p = two-sided Mann–Whitney U of the two per-rep benign-p95 distributions; controls marked </w:t>
      </w:r>
      <w:r>
        <w:rPr>
          <w:rFonts w:ascii="Consolas" w:hAnsi="Consolas"/>
          <w:sz w:val="18"/>
        </w:rPr>
        <w:t>attack_present=no</w:t>
      </w:r>
      <w:r>
        <w:rPr>
          <w:b/>
          <w:sz w:val="20"/>
        </w:rPr>
        <w:t>).</w:t>
      </w:r>
      <w:r>
        <w:rPr>
          <w:sz w:val="20"/>
        </w:rPr>
        <w:t xml:space="preserve"> "Yes" requires an </w:t>
      </w:r>
      <w:r>
        <w:rPr>
          <w:i/>
          <w:sz w:val="20"/>
        </w:rPr>
        <w:t>adverse</w:t>
      </w:r>
      <w:r>
        <w:rPr>
          <w:sz w:val="20"/>
        </w:rPr>
        <w:t xml:space="preserve"> move: ≥2× median latency rise at p &lt; 0.05, or a benign error-rate rise ≥ 0.10.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  <w:tblCellMar>
          <w:top w:w="14" w:type="dxa"/>
          <w:bottom w:w="14" w:type="dxa"/>
          <w:left w:w="43" w:type="dxa"/>
          <w:right w:w="43" w:type="dxa"/>
        </w:tblCellMar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Vector</w:t>
            </w:r>
          </w:p>
        </w:tc>
        <w:tc>
          <w:tcPr>
            <w:tcW w:type="dxa" w:w="144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No-attack p95 med[IQR]</w:t>
            </w:r>
          </w:p>
        </w:tc>
        <w:tc>
          <w:tcPr>
            <w:tcW w:type="dxa" w:w="144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No-attack err</w:t>
            </w:r>
          </w:p>
        </w:tc>
        <w:tc>
          <w:tcPr>
            <w:tcW w:type="dxa" w:w="144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Attack-OFF p95 med[IQR]</w:t>
            </w:r>
          </w:p>
        </w:tc>
        <w:tc>
          <w:tcPr>
            <w:tcW w:type="dxa" w:w="144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Attack-OFF err</w:t>
            </w:r>
          </w:p>
        </w:tc>
        <w:tc>
          <w:tcPr>
            <w:tcW w:type="dxa" w:w="144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MWU p (ctrl vs OFF)</w:t>
            </w:r>
          </w:p>
        </w:tc>
        <w:tc>
          <w:tcPr>
            <w:tcW w:type="dxa" w:w="144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§3 criterion met?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v1 oversized body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12.35 [5.92, 17.73]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10.12 [6.19, 14.71]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0.7913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v2 init/session flood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10.33 [5.03, 17.75]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16.21 [12.56, 21.30]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0.3447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v3 unbounded stdio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3.60 [2.23, 4.35]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2409.14 [2403.94, 2412.42]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0.20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yes</w:t>
            </w:r>
          </w:p>
        </w:tc>
      </w:tr>
      <w:tr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v4 deep nested JSON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10.70 [6.51, 20.85]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7.54 [7.21, 17.04]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0.9698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v5 tool-invocation flood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17.07 [14.34, 21.12]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5.90 [5.00, 13.74]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0.0113 ∘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v6 slow-SSE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25.88 [17.68, 26.31]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16.54 [13.05, 18.21]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0.0493 ∘</w:t>
            </w:r>
          </w:p>
        </w:tc>
        <w:tc>
          <w:tcPr>
            <w:tcW w:type="dxa" w:w="144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v7 ReDoS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5.63 [5.04, 6.21]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4.20 [3.82, 5.00]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0.0058 ∘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0"/>
        </w:rPr>
        <w:t xml:space="preserve">∘ v5, v6 and v7 show a </w:t>
      </w:r>
      <w:r>
        <w:rPr>
          <w:i/>
          <w:sz w:val="20"/>
        </w:rPr>
        <w:t>statistically</w:t>
      </w:r>
      <w:r>
        <w:rPr>
          <w:sz w:val="20"/>
        </w:rPr>
        <w:t xml:space="preserve"> significant p in the </w:t>
      </w:r>
      <w:r>
        <w:rPr>
          <w:b/>
          <w:sz w:val="20"/>
        </w:rPr>
        <w:t>non-adverse direction</w:t>
      </w:r>
      <w:r>
        <w:rPr>
          <w:sz w:val="20"/>
        </w:rPr>
        <w:t xml:space="preserve"> — attack-present benign p95 is </w:t>
      </w:r>
      <w:r>
        <w:rPr>
          <w:i/>
          <w:sz w:val="20"/>
        </w:rPr>
        <w:t>lower</w:t>
      </w:r>
      <w:r>
        <w:rPr>
          <w:sz w:val="20"/>
        </w:rPr>
        <w:t xml:space="preserve"> than the no-attack baseline (5.90 vs. 17.07; 16.54 vs. 25.88; 4.20 vs. 5.63 ms) — so the criterion is not met. The likeliest mechanism is a warm-up effect (the original probe runs </w:t>
      </w:r>
      <w:r>
        <w:rPr>
          <w:i/>
          <w:sz w:val="20"/>
        </w:rPr>
        <w:t>after</w:t>
      </w:r>
      <w:r>
        <w:rPr>
          <w:sz w:val="20"/>
        </w:rPr>
        <w:t xml:space="preserve"> the burst; JIT/connection pools are hot). Only </w:t>
      </w:r>
      <w:r>
        <w:rPr>
          <w:b/>
          <w:sz w:val="20"/>
        </w:rPr>
        <w:t>v3</w:t>
      </w:r>
      <w:r>
        <w:rPr>
          <w:sz w:val="20"/>
        </w:rPr>
        <w:t xml:space="preserve"> is adverse at this regime (3.60 → 2409.14 ms, ~670×, error 0.00 → 0.20). </w:t>
      </w:r>
      <w:r>
        <w:rPr>
          <w:b/>
          <w:sz w:val="20"/>
        </w:rPr>
        <w:t>Caveat:</w:t>
      </w:r>
      <w:r>
        <w:rPr>
          <w:sz w:val="20"/>
        </w:rPr>
        <w:t xml:space="preserve"> v3 is a single serialized stdio pipe, so a ~20 MB unterminated line can stall the benign client by head-of-line blocking independent of CWE-770 allocation. RSS does climb to ~260 MB; the mitigation removes both mechanisms at once. Table 3b is therefore </w:t>
      </w:r>
      <w:r>
        <w:rPr>
          <w:i/>
          <w:sz w:val="20"/>
        </w:rPr>
        <w:t>not</w:t>
      </w:r>
      <w:r>
        <w:rPr>
          <w:sz w:val="20"/>
        </w:rPr>
        <w:t xml:space="preserve"> evidence that network floods cannot DoS a concurrent agent — that is Table 3c.</w:t>
      </w:r>
    </w:p>
    <w:p>
      <w:pPr>
        <w:pStyle w:val="Heading2"/>
        <w:spacing w:after="40"/>
      </w:pPr>
      <w:r>
        <w:t>5.2 Second real load point (not a model)</w:t>
      </w:r>
    </w:p>
    <w:p>
      <w:pPr>
        <w:spacing w:after="40"/>
      </w:pPr>
      <w:r>
        <w:rPr>
          <w:sz w:val="20"/>
        </w:rPr>
        <w:t>A second measured load point per vector (n = 10, unadjusted) is in the artifact. Mitigated peak RSS stays bounded. Unmitigated CPU and latency tails do not interpolate cleanly — at v7's 30-character input, benign p95 is 3013 ms with error rate 1.00 and still lacks a matched control. We do not treat any synthetic residual as a result.</w:t>
      </w:r>
    </w:p>
    <w:p>
      <w:pPr>
        <w:pStyle w:val="Heading2"/>
        <w:spacing w:after="40"/>
      </w:pPr>
      <w:r>
        <w:t>5.3 Recovery and amplification</w:t>
      </w:r>
    </w:p>
    <w:p>
      <w:pPr>
        <w:spacing w:after="40"/>
      </w:pPr>
      <w:r>
        <w:rPr>
          <w:sz w:val="20"/>
        </w:rPr>
        <w:t>Unmitigated v1 and v2 recovery pins at the 8 s cap (</w:t>
      </w:r>
      <w:r>
        <w:rPr>
          <w:rFonts w:ascii="Consolas" w:hAnsi="Consolas"/>
          <w:sz w:val="18"/>
        </w:rPr>
        <w:t>recovery_confirmed=False</w:t>
      </w:r>
      <w:r>
        <w:rPr>
          <w:sz w:val="20"/>
        </w:rPr>
        <w:t xml:space="preserve">, so </w:t>
      </w:r>
      <w:r>
        <w:rPr>
          <w:i/>
          <w:sz w:val="20"/>
        </w:rPr>
        <w:t>at least</w:t>
      </w:r>
      <w:r>
        <w:rPr>
          <w:sz w:val="20"/>
        </w:rPr>
        <w:t xml:space="preserve"> 8 s), dropping to 0.20 s mitigated; v5-ON and v6-ON recovery are </w:t>
      </w:r>
      <w:r>
        <w:rPr>
          <w:b/>
          <w:sz w:val="20"/>
        </w:rPr>
        <w:t>bimodal</w:t>
      </w:r>
      <w:r>
        <w:rPr>
          <w:sz w:val="20"/>
        </w:rPr>
        <w:t xml:space="preserve"> (v5-ON median 0.20 s [IQR 0.20, 4.56]), so we report medians. Amplification (Figure 2) shows the mitigations do not all behave alike.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63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6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Figure 2. Amplification factor per vector at the real anchors (REAL rows only, mean over 10 reps), mitigation OFF vs. ON, log y-axis. Only v1 (2.80→0.038), v3 (9.91→0.034) and v7 (526,823→60.1) collapse to the floor; v2 (295→42) and v6 (155,302→13,930) fall substantially but stay well above it; v4 drops only ~18% (18,262→14,919). v5's mitigated bar is higher (14.79→26.72) purely as the CPU-channel artifact of Section 5.1.</w:t>
      </w:r>
    </w:p>
    <w:p>
      <w:pPr>
        <w:pStyle w:val="Heading2"/>
        <w:spacing w:after="40"/>
      </w:pPr>
      <w:r>
        <w:t>5.4 Linux/cgroup-v2 confirmation</w:t>
      </w:r>
    </w:p>
    <w:p>
      <w:pPr>
        <w:spacing w:after="40"/>
      </w:pPr>
      <w:r>
        <w:rPr>
          <w:sz w:val="20"/>
        </w:rPr>
        <w:t xml:space="preserve">Re-running every anchor under kernel </w:t>
      </w:r>
      <w:r>
        <w:rPr>
          <w:rFonts w:ascii="Consolas" w:hAnsi="Consolas"/>
          <w:sz w:val="18"/>
        </w:rPr>
        <w:t>memory.peak</w:t>
      </w:r>
      <w:r>
        <w:rPr>
          <w:sz w:val="20"/>
        </w:rPr>
        <w:t>/</w:t>
      </w:r>
      <w:r>
        <w:rPr>
          <w:rFonts w:ascii="Consolas" w:hAnsi="Consolas"/>
          <w:sz w:val="18"/>
        </w:rPr>
        <w:t>cpu.stat</w:t>
      </w:r>
      <w:r>
        <w:rPr>
          <w:sz w:val="20"/>
        </w:rPr>
        <w:t xml:space="preserve"> accounting in a cgroup-v2 container, the mitigation direction and separation reproduce for all four memory-channel vectors (v1 600.0→230.5, v3 331.9→46.5 MB and likewise v2, v6), so the central claim is not a psutil artifact. That re-run also gave this paper's first real measured OOM endpoint: a tightly-capped run against the Node/TypeScript stdio server ended in a kernel SIGKILL in 3/3 attempts, mean 0.093 s, whereas the Python server only throttled at the cap. Container-granularity accounting inflates the cgroup CPU column, so psutil stays primary.</w:t>
      </w:r>
    </w:p>
    <w:p>
      <w:pPr>
        <w:pStyle w:val="Heading2"/>
        <w:spacing w:after="40"/>
      </w:pPr>
      <w:r>
        <w:t>5.5 External validity: a third-party server we did not write</w:t>
      </w:r>
    </w:p>
    <w:p>
      <w:pPr>
        <w:spacing w:after="40"/>
      </w:pPr>
      <w:r>
        <w:rPr>
          <w:sz w:val="20"/>
        </w:rPr>
        <w:t xml:space="preserve">The identical </w:t>
      </w:r>
      <w:r>
        <w:rPr>
          <w:i/>
          <w:sz w:val="20"/>
        </w:rPr>
        <w:t>anchor</w:t>
      </w:r>
      <w:r>
        <w:rPr>
          <w:sz w:val="20"/>
        </w:rPr>
        <w:t xml:space="preserve"> attacks (same loads, loopback, n = 8 reps per arm) ran against </w:t>
      </w:r>
      <w:r>
        <w:rPr>
          <w:rFonts w:ascii="Consolas" w:hAnsi="Consolas"/>
          <w:sz w:val="18"/>
        </w:rPr>
        <w:t>@modelcontextprotocol/server-everything</w:t>
      </w:r>
      <w:r>
        <w:rPr>
          <w:sz w:val="20"/>
        </w:rPr>
        <w:t xml:space="preserve"> (pinned 2026.8.18), the official project's reference server, on SDK 1.30.0. </w:t>
      </w:r>
      <w:r>
        <w:rPr>
          <w:b/>
          <w:sz w:val="20"/>
        </w:rPr>
        <w:t>Four of the seven weakness classes reproduce as resource cost</w:t>
      </w:r>
      <w:r>
        <w:rPr>
          <w:sz w:val="20"/>
        </w:rPr>
        <w:t xml:space="preserve"> (v1, v2, v3, v5). At that short-burst protocol, v3 is again the only vector to disrupt a concurrent benign client (error 0.00 → 1.00). </w:t>
      </w:r>
      <w:r>
        <w:rPr>
          <w:b/>
          <w:sz w:val="20"/>
        </w:rPr>
        <w:t>v7 does not reproduce because SDK 1.30.0 is the patched release (≥1.25.2) for CVE-2026-0621</w:t>
      </w:r>
      <w:r>
        <w:rPr>
          <w:sz w:val="20"/>
        </w:rPr>
        <w:t xml:space="preserve"> (~3 ms for a 50,000-character URI). This set does not re-run Table 3c's 10 s concurrent flood.</w:t>
      </w:r>
    </w:p>
    <w:p>
      <w:pPr>
        <w:pStyle w:val="Heading2"/>
        <w:spacing w:after="40"/>
      </w:pPr>
      <w:r>
        <w:t>5.6 Practical high-concurrency flood (REAL, concurrent probe)</w:t>
      </w:r>
    </w:p>
    <w:p>
      <w:pPr>
        <w:spacing w:after="40"/>
      </w:pPr>
      <w:r>
        <w:rPr>
          <w:sz w:val="20"/>
        </w:rPr>
        <w:t xml:space="preserve">Table 3b's v2/v5 nulls were taken at concurrency ≤ 8 with the benign probe </w:t>
      </w:r>
      <w:r>
        <w:rPr>
          <w:i/>
          <w:sz w:val="20"/>
        </w:rPr>
        <w:t>after</w:t>
      </w:r>
      <w:r>
        <w:rPr>
          <w:sz w:val="20"/>
        </w:rPr>
        <w:t xml:space="preserve"> a ~1 s burst. A deployed agent swarm does not look like that: many sessions stay open and keep calling while a flood is in progress. We therefore re-ran </w:t>
      </w:r>
      <w:r>
        <w:rPr>
          <w:b/>
          <w:sz w:val="20"/>
        </w:rPr>
        <w:t>v2 and v5 only</w:t>
      </w:r>
      <w:r>
        <w:rPr>
          <w:sz w:val="20"/>
        </w:rPr>
        <w:t xml:space="preserve">, pre-declared, on a second Windows host: </w:t>
      </w:r>
      <w:r>
        <w:rPr>
          <w:b/>
          <w:sz w:val="20"/>
        </w:rPr>
        <w:t>32 workers, 10 s sustained flood, established-session echo every 250 ms during the attack</w:t>
      </w:r>
      <w:r>
        <w:rPr>
          <w:sz w:val="20"/>
        </w:rPr>
        <w:t>, matched no-attack control of the same duration, n = 8 kept reps, order randomized. The Sec. 3 criterion is unchanged.</w:t>
      </w:r>
    </w:p>
    <w:p>
      <w:pPr>
        <w:spacing w:after="40"/>
      </w:pPr>
      <w:r>
        <w:rPr>
          <w:b/>
          <w:sz w:val="20"/>
        </w:rPr>
        <w:t>Table 3c — Practical flood vs. no-attack control (REAL, concurrent established-session echo; C = 32, 10 s; n = 8; median [IQR] p95 in ms).</w:t>
      </w:r>
      <w:r>
        <w:rPr>
          <w:sz w:val="20"/>
        </w:rPr>
        <w:t xml:space="preserve"> "Yes" is the Table 3b rule. RSS is mean peak MB.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4" w:space="0" w:color="BFC7CC"/>
          <w:left w:val="single" w:sz="4" w:space="0" w:color="BFC7CC"/>
          <w:bottom w:val="single" w:sz="4" w:space="0" w:color="BFC7CC"/>
          <w:right w:val="single" w:sz="4" w:space="0" w:color="BFC7CC"/>
          <w:insideH w:val="single" w:sz="4" w:space="0" w:color="BFC7CC"/>
          <w:insideV w:val="single" w:sz="4" w:space="0" w:color="BFC7CC"/>
        </w:tblBorders>
        <w:tblCellMar>
          <w:top w:w="14" w:type="dxa"/>
          <w:bottom w:w="14" w:type="dxa"/>
          <w:left w:w="43" w:type="dxa"/>
          <w:right w:w="43" w:type="dxa"/>
        </w:tblCellMar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blHeader w:val="true"/>
        </w:trPr>
        <w:tc>
          <w:tcPr>
            <w:tcW w:type="dxa" w:w="126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Vector</w:t>
            </w:r>
          </w:p>
        </w:tc>
        <w:tc>
          <w:tcPr>
            <w:tcW w:type="dxa" w:w="126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No-attack p95</w:t>
            </w:r>
          </w:p>
        </w:tc>
        <w:tc>
          <w:tcPr>
            <w:tcW w:type="dxa" w:w="126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No-attack err</w:t>
            </w:r>
          </w:p>
        </w:tc>
        <w:tc>
          <w:tcPr>
            <w:tcW w:type="dxa" w:w="126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Attack p95</w:t>
            </w:r>
          </w:p>
        </w:tc>
        <w:tc>
          <w:tcPr>
            <w:tcW w:type="dxa" w:w="126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Attack err</w:t>
            </w:r>
          </w:p>
        </w:tc>
        <w:tc>
          <w:tcPr>
            <w:tcW w:type="dxa" w:w="126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RSS ctrl→atk</w:t>
            </w:r>
          </w:p>
        </w:tc>
        <w:tc>
          <w:tcPr>
            <w:tcW w:type="dxa" w:w="126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MWU p (r)</w:t>
            </w:r>
          </w:p>
        </w:tc>
        <w:tc>
          <w:tcPr>
            <w:tcW w:type="dxa" w:w="1260"/>
            <w:shd w:val="clear" w:color="auto" w:fill="0B4F6C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§3 met?</w:t>
            </w:r>
          </w:p>
        </w:tc>
      </w:tr>
      <w:tr>
        <w:tc>
          <w:tcPr>
            <w:tcW w:type="dxa" w:w="126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v2 init/session flood</w:t>
            </w:r>
          </w:p>
        </w:tc>
        <w:tc>
          <w:tcPr>
            <w:tcW w:type="dxa" w:w="126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8.96 [8.85, 9.12]</w:t>
            </w:r>
          </w:p>
        </w:tc>
        <w:tc>
          <w:tcPr>
            <w:tcW w:type="dxa" w:w="126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26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49.28 [33.16, 125.72]</w:t>
            </w:r>
          </w:p>
        </w:tc>
        <w:tc>
          <w:tcPr>
            <w:tcW w:type="dxa" w:w="126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26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53.4→176.9</w:t>
            </w:r>
          </w:p>
        </w:tc>
        <w:tc>
          <w:tcPr>
            <w:tcW w:type="dxa" w:w="126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0.0009</w:t>
            </w:r>
            <w:r>
              <w:rPr>
                <w:sz w:val="16"/>
              </w:rPr>
              <w:t xml:space="preserve"> (+1.00)</w:t>
            </w:r>
          </w:p>
        </w:tc>
        <w:tc>
          <w:tcPr>
            <w:tcW w:type="dxa" w:w="1260"/>
            <w:shd w:val="clear" w:color="auto"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yes</w:t>
            </w:r>
          </w:p>
        </w:tc>
      </w:tr>
      <w:tr>
        <w:tc>
          <w:tcPr>
            <w:tcW w:type="dxa" w:w="126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v5 tool-invocation flood</w:t>
            </w:r>
          </w:p>
        </w:tc>
        <w:tc>
          <w:tcPr>
            <w:tcW w:type="dxa" w:w="126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6.56 [6.12, 7.29]</w:t>
            </w:r>
          </w:p>
        </w:tc>
        <w:tc>
          <w:tcPr>
            <w:tcW w:type="dxa" w:w="126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26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64.14 [59.44, 66.62]</w:t>
            </w:r>
          </w:p>
        </w:tc>
        <w:tc>
          <w:tcPr>
            <w:tcW w:type="dxa" w:w="126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26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70.9→246.0</w:t>
            </w:r>
          </w:p>
        </w:tc>
        <w:tc>
          <w:tcPr>
            <w:tcW w:type="dxa" w:w="126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0.0136</w:t>
            </w:r>
            <w:r>
              <w:rPr>
                <w:sz w:val="16"/>
              </w:rPr>
              <w:t xml:space="preserve"> (+0.75)</w:t>
            </w:r>
          </w:p>
        </w:tc>
        <w:tc>
          <w:tcPr>
            <w:tcW w:type="dxa" w:w="1260"/>
            <w:shd w:val="clear" w:color="auto" w:fill="EEF3F5"/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yes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sz w:val="20"/>
        </w:rPr>
        <w:t xml:space="preserve">Both tests survive Holm adjustment inside this two-test family (v2 corrected p = 0.0018; v5 remains 0.0136). v2 is a complete rank separation (U = 0): ~2,500–2,700 </w:t>
      </w:r>
      <w:r>
        <w:rPr>
          <w:rFonts w:ascii="Consolas" w:hAnsi="Consolas"/>
          <w:sz w:val="18"/>
        </w:rPr>
        <w:t>initialize</w:t>
      </w:r>
      <w:r>
        <w:rPr>
          <w:sz w:val="20"/>
        </w:rPr>
        <w:t xml:space="preserve"> calls succeed in 10 s, RSS triples and does not return to baseline inside the 8 s recovery cap, and an already-joined client's echo p95 rises </w:t>
      </w:r>
      <w:r>
        <w:rPr>
          <w:b/>
          <w:sz w:val="20"/>
        </w:rPr>
        <w:t>5.50×</w:t>
      </w:r>
      <w:r>
        <w:rPr>
          <w:sz w:val="20"/>
        </w:rPr>
        <w:t xml:space="preserve"> (8.96 → 49.28 ms) with </w:t>
      </w:r>
      <w:r>
        <w:rPr>
          <w:b/>
          <w:sz w:val="20"/>
        </w:rPr>
        <w:t>zero</w:t>
      </w:r>
      <w:r>
        <w:rPr>
          <w:sz w:val="20"/>
        </w:rPr>
        <w:t xml:space="preserve"> echo errors and </w:t>
      </w:r>
      <w:r>
        <w:rPr>
          <w:b/>
          <w:sz w:val="20"/>
        </w:rPr>
        <w:t>zero</w:t>
      </w:r>
      <w:r>
        <w:rPr>
          <w:sz w:val="20"/>
        </w:rPr>
        <w:t xml:space="preserve"> new-</w:t>
      </w:r>
      <w:r>
        <w:rPr>
          <w:rFonts w:ascii="Consolas" w:hAnsi="Consolas"/>
          <w:sz w:val="18"/>
        </w:rPr>
        <w:t>initialize</w:t>
      </w:r>
      <w:r>
        <w:rPr>
          <w:sz w:val="20"/>
        </w:rPr>
        <w:t xml:space="preserve"> errors — degradation, not a hard deny. v5's 32 parallel tool sessions raise echo p95 </w:t>
      </w:r>
      <w:r>
        <w:rPr>
          <w:b/>
          <w:sz w:val="20"/>
        </w:rPr>
        <w:t>9.77×</w:t>
      </w:r>
      <w:r>
        <w:rPr>
          <w:sz w:val="20"/>
        </w:rPr>
        <w:t xml:space="preserve"> (6.56 → 64.14 ms, r = +0.75; one of eight attack reps did not separate) and RSS 71 → 246 MB; CPU 3.4 → 46.3%. The original v2/v5 nulls are therefore a </w:t>
      </w:r>
      <w:r>
        <w:rPr>
          <w:b/>
          <w:sz w:val="20"/>
        </w:rPr>
        <w:t>measurement-regime result</w:t>
      </w:r>
      <w:r>
        <w:rPr>
          <w:sz w:val="20"/>
        </w:rPr>
        <w:t>, not evidence that network-reachable floods cannot hurt a live agent. C = 128 is still unmeasured.</w:t>
      </w:r>
    </w:p>
    <w:p>
      <w:pPr>
        <w:pStyle w:val="Heading1"/>
        <w:spacing w:after="40"/>
      </w:pPr>
      <w:r>
        <w:t>6. Discussion</w:t>
      </w:r>
    </w:p>
    <w:p>
      <w:pPr>
        <w:pStyle w:val="Heading2"/>
        <w:spacing w:after="40"/>
      </w:pPr>
      <w:r>
        <w:t>6.1 Mitigations and their cost</w:t>
      </w:r>
    </w:p>
    <w:p>
      <w:pPr>
        <w:spacing w:after="40"/>
      </w:pPr>
      <w:r>
        <w:rPr>
          <w:b/>
          <w:sz w:val="20"/>
        </w:rPr>
        <w:t>Four mitigations produced a large, unambiguous reduction on their pre-specified channel</w:t>
      </w:r>
      <w:r>
        <w:rPr>
          <w:sz w:val="20"/>
        </w:rPr>
        <w:t xml:space="preserve"> (v1, v2, v3, v6 peak RSS, each p = 0.0002, r −1.00). </w:t>
      </w:r>
      <w:r>
        <w:rPr>
          <w:b/>
          <w:sz w:val="20"/>
        </w:rPr>
        <w:t>v7</w:t>
      </w:r>
      <w:r>
        <w:rPr>
          <w:sz w:val="20"/>
        </w:rPr>
        <w:t xml:space="preserve"> does the same on CPU (p = 0.0001, r −1.00) but that is an attacker-cost result, not availability. </w:t>
      </w:r>
      <w:r>
        <w:rPr>
          <w:b/>
          <w:sz w:val="20"/>
        </w:rPr>
        <w:t>v4</w:t>
      </w:r>
      <w:r>
        <w:rPr>
          <w:sz w:val="20"/>
        </w:rPr>
        <w:t xml:space="preserve"> is a small CPU shift (2.97% → 2.46%, p = 0.037, r −0.56) on a load that never exhausted anything; we do not count it. </w:t>
      </w:r>
      <w:r>
        <w:rPr>
          <w:b/>
          <w:sz w:val="20"/>
        </w:rPr>
        <w:t>v5's pre-specified CPU test fails</w:t>
      </w:r>
      <w:r>
        <w:rPr>
          <w:sz w:val="20"/>
        </w:rPr>
        <w:t xml:space="preserve"> (p = 0.186); the RSS drop and Table 3c latency rise are secondary observations, declared post-hoc for RSS. Under Holm–Bonferroni on the m = 7 pre-specified family, v1/v2/v3/v6 retain corrected p = 0.0011 and v7 p = 0.0006; v4 remains 0.037; v5's CPU result stays n.s.</w:t>
      </w:r>
    </w:p>
    <w:p>
      <w:pPr>
        <w:spacing w:after="40"/>
      </w:pPr>
      <w:r>
        <w:rPr>
          <w:b/>
          <w:sz w:val="20"/>
        </w:rPr>
        <w:t>Three caveats.</w:t>
      </w:r>
      <w:r>
        <w:rPr>
          <w:sz w:val="20"/>
        </w:rPr>
        <w:t xml:space="preserve"> </w:t>
      </w:r>
      <w:r>
        <w:rPr>
          <w:i/>
          <w:sz w:val="20"/>
        </w:rPr>
        <w:t>First, v4 is hardening by early rejection, not a demonstrated exhaustion vector.</w:t>
      </w:r>
      <w:r>
        <w:rPr>
          <w:sz w:val="20"/>
        </w:rPr>
        <w:t xml:space="preserve"> </w:t>
      </w:r>
      <w:r>
        <w:rPr>
          <w:i/>
          <w:sz w:val="20"/>
        </w:rPr>
        <w:t>Second, v5 CPU stays on the record as a failed pre-specified test.</w:t>
      </w:r>
      <w:r>
        <w:rPr>
          <w:sz w:val="20"/>
        </w:rPr>
        <w:t xml:space="preserve"> </w:t>
      </w:r>
      <w:r>
        <w:rPr>
          <w:i/>
          <w:sz w:val="20"/>
        </w:rPr>
        <w:t>Third, Table 3c is a separate family</w:t>
      </w:r>
      <w:r>
        <w:rPr>
          <w:sz w:val="20"/>
        </w:rPr>
        <w:t xml:space="preserve"> (the anchors, second load points and cgroup re-runs are not mixed into it).</w:t>
      </w:r>
    </w:p>
    <w:p>
      <w:pPr>
        <w:spacing w:after="40"/>
      </w:pPr>
      <w:r>
        <w:rPr>
          <w:sz w:val="20"/>
        </w:rPr>
        <w:t xml:space="preserve">Two patterns generalize. First, </w:t>
      </w:r>
      <w:r>
        <w:rPr>
          <w:b/>
          <w:sz w:val="20"/>
        </w:rPr>
        <w:t>input-shape validation before expensive work is the cheapest and most effective mitigation class</w:t>
      </w:r>
      <w:r>
        <w:rPr>
          <w:sz w:val="20"/>
        </w:rPr>
        <w:t xml:space="preserve"> — v1 (a pre-parser </w:t>
      </w:r>
      <w:r>
        <w:rPr>
          <w:rFonts w:ascii="Consolas" w:hAnsi="Consolas"/>
          <w:sz w:val="18"/>
        </w:rPr>
        <w:t>413</w:t>
      </w:r>
      <w:r>
        <w:rPr>
          <w:sz w:val="20"/>
        </w:rPr>
        <w:t xml:space="preserve"> body cap, −98.6% RSS growth), v3 (the SDK's own permissive </w:t>
      </w:r>
      <w:r>
        <w:rPr>
          <w:rFonts w:ascii="Consolas" w:hAnsi="Consolas"/>
          <w:sz w:val="18"/>
        </w:rPr>
        <w:t>maxBufferSize</w:t>
      </w:r>
      <w:r>
        <w:rPr>
          <w:sz w:val="20"/>
        </w:rPr>
        <w:t xml:space="preserve"> set to 2 MB, −100%: configuration, not code) and v7 (a length cap ahead of the vulnerable regex, −98.4% CPU), with v4's depth cap in the same family. Second, </w:t>
      </w:r>
      <w:r>
        <w:rPr>
          <w:b/>
          <w:sz w:val="20"/>
        </w:rPr>
        <w:t>rate limiting without client identity is the one mitigation class with a real, measured cost to legitimate users</w:t>
      </w:r>
      <w:r>
        <w:rPr>
          <w:sz w:val="20"/>
        </w:rPr>
        <w:t xml:space="preserve"> (v2, v5: benign error rates 1.00 and 0.83) — the classic admission-control result: per-flow isolation and fair queueing, not aggregate limiting, protect well-behaved sources from a misbehaving one [30], [31], and session-granularity admission control preserves a serviceable subset of users where request-granularity shedding degrades everyone [33]; identity-less shedding is further undermined because source identity is spoofable [22]. A server should at least signal the shed with HTTP 429 [32].</w:t>
      </w:r>
    </w:p>
    <w:p>
      <w:pPr>
        <w:pStyle w:val="Heading2"/>
        <w:spacing w:after="40"/>
      </w:pPr>
      <w:r>
        <w:t>6.2 Limitations and threats to validity</w:t>
      </w:r>
    </w:p>
    <w:p>
      <w:pPr>
        <w:spacing w:after="40"/>
      </w:pPr>
      <w:r>
        <w:rPr>
          <w:b/>
          <w:sz w:val="20"/>
        </w:rPr>
        <w:t>Construct.</w:t>
      </w:r>
      <w:r>
        <w:rPr>
          <w:sz w:val="20"/>
        </w:rPr>
        <w:t xml:space="preserve"> Table 3b's original probe is post-burst; calling it "concurrent" overstated the criterion. Table 3c fixes that for v2/v5 only. Recovery is RSS, not benign latency. v3 confounds pipe HOL blocking with allocation.</w:t>
      </w:r>
    </w:p>
    <w:p>
      <w:pPr>
        <w:spacing w:after="40"/>
      </w:pPr>
      <w:r>
        <w:rPr>
          <w:b/>
          <w:sz w:val="20"/>
        </w:rPr>
        <w:t>Internal.</w:t>
      </w:r>
      <w:r>
        <w:rPr>
          <w:sz w:val="20"/>
        </w:rPr>
        <w:t xml:space="preserve"> Warm-up makes several Table 3b attack arms </w:t>
      </w:r>
      <w:r>
        <w:rPr>
          <w:i/>
          <w:sz w:val="20"/>
        </w:rPr>
        <w:t>faster</w:t>
      </w:r>
      <w:r>
        <w:rPr>
          <w:sz w:val="20"/>
        </w:rPr>
        <w:t xml:space="preserve"> than control. Table 3c randomizes control/attack order and still finds degradation. n = 8 on Table 3c (not 10). v5 Table 3c is not complete separation (r = +0.75).</w:t>
      </w:r>
    </w:p>
    <w:p>
      <w:pPr>
        <w:spacing w:after="40"/>
      </w:pPr>
      <w:r>
        <w:rPr>
          <w:b/>
          <w:sz w:val="20"/>
        </w:rPr>
        <w:t>External.</w:t>
      </w:r>
      <w:r>
        <w:rPr>
          <w:sz w:val="20"/>
        </w:rPr>
        <w:t xml:space="preserve"> Two Windows hosts, two SDK versions, loopback, servers we wrote plus one third-party reference server. Absolute milliseconds will move. C = 128, WAN RTT, and identity-aware rate limits are unmeasured. Table 3c was not repeated on </w:t>
      </w:r>
      <w:r>
        <w:rPr>
          <w:rFonts w:ascii="Consolas" w:hAnsi="Consolas"/>
          <w:sz w:val="18"/>
        </w:rPr>
        <w:t>server-everything</w:t>
      </w:r>
      <w:r>
        <w:rPr>
          <w:sz w:val="20"/>
        </w:rPr>
        <w:t>.</w:t>
      </w:r>
    </w:p>
    <w:p>
      <w:pPr>
        <w:spacing w:after="40"/>
      </w:pPr>
      <w:r>
        <w:rPr>
          <w:b/>
          <w:sz w:val="20"/>
        </w:rPr>
        <w:t>Conclusion.</w:t>
      </w:r>
      <w:r>
        <w:rPr>
          <w:sz w:val="20"/>
        </w:rPr>
        <w:t xml:space="preserve"> A synthetic grid is in the artifact and is not evidence. We do not claim robustness at unmeasured concurrency. We do claim that a 32-worker, 10 s, in-flight flood is enough for v2 and v5 to meet the same availability rule that only v3 met at the short-burst anchors.</w:t>
      </w:r>
    </w:p>
    <w:p>
      <w:pPr>
        <w:pStyle w:val="Heading1"/>
        <w:spacing w:after="40"/>
      </w:pPr>
      <w:r>
        <w:t>7. Ethics Considerations</w:t>
      </w:r>
    </w:p>
    <w:p>
      <w:pPr>
        <w:spacing w:after="40"/>
      </w:pPr>
      <w:r>
        <w:rPr>
          <w:b/>
          <w:sz w:val="20"/>
        </w:rPr>
        <w:t>No non-consenting host or network was ever a target.</w:t>
      </w:r>
      <w:r>
        <w:rPr>
          <w:sz w:val="20"/>
        </w:rPr>
        <w:t xml:space="preserve"> Every attack targeted a server this project started itself, bound explicitly to </w:t>
      </w:r>
      <w:r>
        <w:rPr>
          <w:rFonts w:ascii="Consolas" w:hAnsi="Consolas"/>
          <w:sz w:val="18"/>
        </w:rPr>
        <w:t>127.0.0.1</w:t>
      </w:r>
      <w:r>
        <w:rPr>
          <w:sz w:val="20"/>
        </w:rPr>
        <w:t xml:space="preserve">; no non-loopback interface was opened. Every server ran under a hard RSS-ceiling watchdog and every attack subprocess under a wall-clock timeout, so a runaway attack could not itself become an incident. </w:t>
      </w:r>
      <w:r>
        <w:rPr>
          <w:b/>
          <w:sz w:val="20"/>
        </w:rPr>
        <w:t>Dual-use risk favors defenders:</w:t>
      </w:r>
      <w:r>
        <w:rPr>
          <w:sz w:val="20"/>
        </w:rPr>
        <w:t xml:space="preserve"> all seven weakness classes are long-known, generic RPC/parser patterns (CWE-770, CWE-400, CWE-1333 [4], [5], [7]) with decades-old public precedent (Slowloris [6], algorithmic-complexity attacks [8]); every mitigation measured is a cheap deployment-side control; and the one vector with a real CVE (v7 / CVE-2026-0621 [16]) was public and patched before this project began. Mechanism-level, non-weaponized private-disclosure reports for the five CVE-less vectors were </w:t>
      </w:r>
      <w:r>
        <w:rPr>
          <w:b/>
          <w:sz w:val="20"/>
        </w:rPr>
        <w:t>filed</w:t>
      </w:r>
      <w:r>
        <w:rPr>
          <w:sz w:val="20"/>
        </w:rPr>
        <w:t xml:space="preserve"> with the official SDK maintainers on </w:t>
      </w:r>
      <w:r>
        <w:rPr>
          <w:b/>
          <w:sz w:val="20"/>
        </w:rPr>
        <w:t>2026-08-20</w:t>
      </w:r>
      <w:r>
        <w:rPr>
          <w:sz w:val="20"/>
        </w:rPr>
        <w:t xml:space="preserve"> — v1, v2, v4 with the Python SDK, v5, v6 with the TypeScript SDK — through each project's private security-advisory channel under an adopted </w:t>
      </w:r>
      <w:r>
        <w:rPr>
          <w:b/>
          <w:sz w:val="20"/>
        </w:rPr>
        <w:t>90-day coordinated-disclosure policy</w:t>
      </w:r>
      <w:r>
        <w:rPr>
          <w:sz w:val="20"/>
        </w:rPr>
        <w:t>; responses are pending. No IRB review was sought or claimed: every dependent variable is a property of a software process the authors ran on hardware they own, with no human subjects or PII.</w:t>
      </w:r>
    </w:p>
    <w:p>
      <w:pPr>
        <w:pStyle w:val="Heading1"/>
        <w:spacing w:after="40"/>
      </w:pPr>
      <w:r>
        <w:t>8. Conclusion</w:t>
      </w:r>
    </w:p>
    <w:p>
      <w:pPr>
        <w:spacing w:after="40"/>
      </w:pPr>
      <w:r>
        <w:rPr>
          <w:sz w:val="20"/>
        </w:rPr>
        <w:t xml:space="preserve">Prior MCP security work names availability without measuring it on the official Python and TypeScript SDKs. This paper supplies CWE-mapped vectors, a locked experiment package, and replicated numbers. At short-burst anchors, only </w:t>
      </w:r>
      <w:r>
        <w:rPr>
          <w:b/>
          <w:sz w:val="20"/>
        </w:rPr>
        <w:t>v3</w:t>
      </w:r>
      <w:r>
        <w:rPr>
          <w:sz w:val="20"/>
        </w:rPr>
        <w:t xml:space="preserve"> (local stdio) meets the concurrent-client criterion. Under a practical 32-worker, 10 s flood with the benign client running </w:t>
      </w:r>
      <w:r>
        <w:rPr>
          <w:i/>
          <w:sz w:val="20"/>
        </w:rPr>
        <w:t>during</w:t>
      </w:r>
      <w:r>
        <w:rPr>
          <w:sz w:val="20"/>
        </w:rPr>
        <w:t xml:space="preserve"> the attack, </w:t>
      </w:r>
      <w:r>
        <w:rPr>
          <w:b/>
          <w:sz w:val="20"/>
        </w:rPr>
        <w:t>v2 and v5</w:t>
      </w:r>
      <w:r>
        <w:rPr>
          <w:sz w:val="20"/>
        </w:rPr>
        <w:t xml:space="preserve"> meet the same criterion (5.50× and 9.77× established-echo p95) and grow RSS three-fold without returning to baseline in 8 s. Four input-shape or session caps cut the pre-specified resource channel; identity-less rate limits protect the process and collateral-reject legitimate callers; v4 is not an exhaustion result; v5's pre-specified CPU test fails. MCP inherits ordinary RPC resource-exhaustion weaknesses. The missing step is turning the cheap defenses on by default.</w:t>
      </w:r>
    </w:p>
    <w:p>
      <w:pPr>
        <w:pStyle w:val="Heading1"/>
        <w:spacing w:after="40"/>
      </w:pPr>
      <w:r>
        <w:t>Declarations</w:t>
      </w:r>
    </w:p>
    <w:p>
      <w:pPr>
        <w:spacing w:after="40"/>
      </w:pPr>
      <w:r>
        <w:rPr>
          <w:b/>
          <w:sz w:val="20"/>
        </w:rPr>
        <w:t>Data and code availability.</w:t>
      </w:r>
      <w:r>
        <w:rPr>
          <w:sz w:val="20"/>
        </w:rPr>
        <w:t xml:space="preserve"> Vector drivers, reference servers, cgroup-v2 definitions, analyzers and the labeled dataset underlie every table. </w:t>
      </w:r>
      <w:r>
        <w:rPr>
          <w:rFonts w:ascii="Consolas" w:hAnsi="Consolas"/>
          <w:sz w:val="18"/>
        </w:rPr>
        <w:t>experiments/results/all_results.json</w:t>
      </w:r>
      <w:r>
        <w:rPr>
          <w:sz w:val="20"/>
        </w:rPr>
        <w:t xml:space="preserve"> holds the original Windows/psutil plus synthetic rows (synthetic rows are labeled and are not used as evidence here). Table 3b uses </w:t>
      </w:r>
      <w:r>
        <w:rPr>
          <w:rFonts w:ascii="Consolas" w:hAnsi="Consolas"/>
          <w:sz w:val="18"/>
        </w:rPr>
        <w:t>*__paired.json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*__paired_control.json</w:t>
      </w:r>
      <w:r>
        <w:rPr>
          <w:sz w:val="20"/>
        </w:rPr>
        <w:t xml:space="preserve">. Table 3c uses </w:t>
      </w:r>
      <w:r>
        <w:rPr>
          <w:rFonts w:ascii="Consolas" w:hAnsi="Consolas"/>
          <w:sz w:val="18"/>
        </w:rPr>
        <w:t>*__practical.json</w:t>
      </w:r>
      <w:r>
        <w:rPr>
          <w:sz w:val="20"/>
        </w:rPr>
        <w:t xml:space="preserve"> / </w:t>
      </w:r>
      <w:r>
        <w:rPr>
          <w:rFonts w:ascii="Consolas" w:hAnsi="Consolas"/>
          <w:sz w:val="18"/>
        </w:rPr>
        <w:t>*__practical_control.json</w:t>
      </w:r>
      <w:r>
        <w:rPr>
          <w:sz w:val="20"/>
        </w:rPr>
        <w:t xml:space="preserve">, produced by </w:t>
      </w:r>
      <w:r>
        <w:rPr>
          <w:rFonts w:ascii="Consolas" w:hAnsi="Consolas"/>
          <w:sz w:val="18"/>
        </w:rPr>
        <w:t>experiments/run_practical_flood.py</w:t>
      </w:r>
      <w:r>
        <w:rPr>
          <w:sz w:val="20"/>
        </w:rPr>
        <w:t xml:space="preserve"> and summarized by </w:t>
      </w:r>
      <w:r>
        <w:rPr>
          <w:rFonts w:ascii="Consolas" w:hAnsi="Consolas"/>
          <w:sz w:val="18"/>
        </w:rPr>
        <w:t>experiments/analyze_practical.py</w:t>
      </w:r>
      <w:r>
        <w:rPr>
          <w:sz w:val="20"/>
        </w:rPr>
        <w:t>. Source and data are at https://github.com/cybergeorge-science/mcp-resource-exhaustion . A citable archive DOI will be added upon acceptance. No third-party or proprietary data was used; every measurement targeted loopback-only servers on the authors' own hardware.</w:t>
      </w:r>
    </w:p>
    <w:p>
      <w:pPr>
        <w:spacing w:after="40"/>
      </w:pPr>
      <w:r>
        <w:rPr>
          <w:b/>
          <w:sz w:val="20"/>
        </w:rPr>
        <w:t>Funding.</w:t>
      </w:r>
      <w:r>
        <w:rPr>
          <w:sz w:val="20"/>
        </w:rPr>
        <w:t xml:space="preserve"> This research received no specific grant from any funding agency in the public, commercial, or not-for-profit sectors.</w:t>
      </w:r>
    </w:p>
    <w:p>
      <w:pPr>
        <w:spacing w:after="40"/>
      </w:pPr>
      <w:r>
        <w:rPr>
          <w:b/>
          <w:sz w:val="20"/>
        </w:rPr>
        <w:t>Competing interests.</w:t>
      </w:r>
      <w:r>
        <w:rPr>
          <w:sz w:val="20"/>
        </w:rPr>
        <w:t xml:space="preserve"> The authors declare no competing interests.</w:t>
      </w:r>
    </w:p>
    <w:p>
      <w:pPr>
        <w:spacing w:after="40"/>
      </w:pPr>
      <w:r>
        <w:rPr>
          <w:b/>
          <w:sz w:val="20"/>
        </w:rPr>
        <w:t>Ethics and responsible disclosure.</w:t>
      </w:r>
      <w:r>
        <w:rPr>
          <w:sz w:val="20"/>
        </w:rPr>
        <w:t xml:space="preserve"> See Section 7. Mechanism-level private-disclosure reports for the five vectors without a matching published CVE were filed with the Python SDK (v1, v2, v4) and TypeScript SDK (v5, v6) maintainers on 2026-08-20 under a 90-day coordinated-disclosure policy; maintainer responses are pending and any resulting timeline will be recorded.</w:t>
      </w:r>
    </w:p>
    <w:p>
      <w:pPr>
        <w:pStyle w:val="Heading1"/>
        <w:spacing w:after="40"/>
      </w:pPr>
      <w:r>
        <w:t>References</w:t>
      </w:r>
    </w:p>
    <w:p>
      <w:pPr>
        <w:spacing w:after="40"/>
      </w:pPr>
      <w:r>
        <w:rPr>
          <w:sz w:val="20"/>
        </w:rPr>
        <w:t>[1] Y. Yang, D. Wu, and Y. Chen, "MCPSecBench: A Systematic Security Benchmark and Playground for Testing Model Context Protocols," arXiv:2508.13220, Aug. 2025.</w:t>
      </w:r>
    </w:p>
    <w:p>
      <w:pPr>
        <w:spacing w:after="40"/>
      </w:pPr>
      <w:r>
        <w:rPr>
          <w:sz w:val="20"/>
        </w:rPr>
        <w:t>[2] Model Context Protocol, "Specification" and "Architecture Overview," Model Context Protocol documentation, 2026.</w:t>
      </w:r>
    </w:p>
    <w:p>
      <w:pPr>
        <w:spacing w:after="40"/>
      </w:pPr>
      <w:r>
        <w:rPr>
          <w:sz w:val="20"/>
        </w:rPr>
        <w:t>[3] JSON-RPC Working Group, "JSON-RPC 2.0 Specification," 2013.</w:t>
      </w:r>
    </w:p>
    <w:p>
      <w:pPr>
        <w:spacing w:after="40"/>
      </w:pPr>
      <w:r>
        <w:rPr>
          <w:sz w:val="20"/>
        </w:rPr>
        <w:t>[4] MITRE, "CWE-770: Allocation of Resources Without Limits or Throttling," Common Weakness Enumeration, 2024.</w:t>
      </w:r>
    </w:p>
    <w:p>
      <w:pPr>
        <w:spacing w:after="40"/>
      </w:pPr>
      <w:r>
        <w:rPr>
          <w:sz w:val="20"/>
        </w:rPr>
        <w:t>[5] MITRE, "CWE-400: Uncontrolled Resource Consumption," Common Weakness Enumeration, 2024.</w:t>
      </w:r>
    </w:p>
    <w:p>
      <w:pPr>
        <w:spacing w:after="40"/>
      </w:pPr>
      <w:r>
        <w:rPr>
          <w:sz w:val="20"/>
        </w:rPr>
        <w:t>[6] R. Hansen, "Slowloris HTTP Denial of Service," technical advisory, ha.ckers.org, 2009.</w:t>
      </w:r>
    </w:p>
    <w:p>
      <w:pPr>
        <w:spacing w:after="40"/>
      </w:pPr>
      <w:r>
        <w:rPr>
          <w:sz w:val="20"/>
        </w:rPr>
        <w:t>[7] MITRE, "CWE-1333: Inefficient Regular Expression Complexity," Common Weakness Enumeration, 2024.</w:t>
      </w:r>
    </w:p>
    <w:p>
      <w:pPr>
        <w:spacing w:after="40"/>
      </w:pPr>
      <w:r>
        <w:rPr>
          <w:sz w:val="20"/>
        </w:rPr>
        <w:t xml:space="preserve">[8] S. A. Crosby and D. S. Wallach, "Denial of Service via Algorithmic Complexity Attacks," in </w:t>
      </w:r>
      <w:r>
        <w:rPr>
          <w:i/>
          <w:sz w:val="20"/>
        </w:rPr>
        <w:t>Proc. 12th USENIX Security Symp.</w:t>
      </w:r>
      <w:r>
        <w:rPr>
          <w:sz w:val="20"/>
        </w:rPr>
        <w:t>, 2003, pp. 29-44.</w:t>
      </w:r>
    </w:p>
    <w:p>
      <w:pPr>
        <w:spacing w:after="40"/>
      </w:pPr>
      <w:r>
        <w:rPr>
          <w:sz w:val="20"/>
        </w:rPr>
        <w:t xml:space="preserve">[9] M. H. M. Bhuiyan, B. Çakar, E. H. Burmane, J. C. Davis, and C.-A. Staicu, "SoK: A Literature and Engineering Review of Regular Expression Denial of Service (ReDoS)," in </w:t>
      </w:r>
      <w:r>
        <w:rPr>
          <w:i/>
          <w:sz w:val="20"/>
        </w:rPr>
        <w:t>Proc. 20th ACM ASIA CCS</w:t>
      </w:r>
      <w:r>
        <w:rPr>
          <w:sz w:val="20"/>
        </w:rPr>
        <w:t>, 2025, pp. 1659-1675.</w:t>
      </w:r>
    </w:p>
    <w:p>
      <w:pPr>
        <w:spacing w:after="40"/>
      </w:pPr>
      <w:r>
        <w:rPr>
          <w:sz w:val="20"/>
        </w:rPr>
        <w:t>[10] S. Gaire, S. Gyawali, S. Mishra, S. Niroula, D. Thakur, and U. Yadav, "Systematization of Knowledge: Security and Safety in the Model Context Protocol Ecosystem," arXiv:2512.08290, Dec. 2025.</w:t>
      </w:r>
    </w:p>
    <w:p>
      <w:pPr>
        <w:spacing w:after="40"/>
      </w:pPr>
      <w:r>
        <w:rPr>
          <w:sz w:val="20"/>
        </w:rPr>
        <w:t>[11] C. Huang, X. Huang, N. P. Tran, and A. Milani Fard, "Model Context Protocol Threat Modeling and Analyzing Vulnerabilities to Prompt Injection with Tool Poisoning," arXiv:2603.22489, 2026.</w:t>
      </w:r>
    </w:p>
    <w:p>
      <w:pPr>
        <w:spacing w:after="40"/>
      </w:pPr>
      <w:r>
        <w:rPr>
          <w:sz w:val="20"/>
        </w:rPr>
        <w:t>[12] P. Sun, Z. Kang, Q. Jin, E. Huang, X. Liu, D. Shen, and S. Li, "VIPER-MCP: Detecting and Exploiting Taint-Style Vulnerabilities in Model Context Protocol Servers," arXiv:2605.21392, 2026.</w:t>
      </w:r>
    </w:p>
    <w:p>
      <w:pPr>
        <w:spacing w:after="40"/>
      </w:pPr>
      <w:r>
        <w:rPr>
          <w:sz w:val="20"/>
        </w:rPr>
        <w:t>[13] GitHub Security Advisories, GHSA-h669-8m4g-r2hc / CVE-2026-67432 — unbounded memory allocation on an oversized request body, modelcontextprotocol/ruby-sdk (fixed 0.23.0), 2026; cited as an out-of-scope, exact-mechanism analogue only.</w:t>
      </w:r>
    </w:p>
    <w:p>
      <w:pPr>
        <w:spacing w:after="40"/>
      </w:pPr>
      <w:r>
        <w:rPr>
          <w:sz w:val="20"/>
        </w:rPr>
        <w:t>[14] GitHub Security Advisories, GHSA-52jp-gj8w-j6xh / CVE-2026-67430 — idle sessions never reaped (</w:t>
      </w:r>
      <w:r>
        <w:rPr>
          <w:rFonts w:ascii="Consolas" w:hAnsi="Consolas"/>
          <w:sz w:val="18"/>
        </w:rPr>
        <w:t>session_idle_timeout</w:t>
      </w:r>
      <w:r>
        <w:rPr>
          <w:sz w:val="20"/>
        </w:rPr>
        <w:t xml:space="preserve"> defaults to nil), modelcontextprotocol/ruby-sdk, 2026; cited as an out-of-scope, exact-mechanism analogue only.</w:t>
      </w:r>
    </w:p>
    <w:p>
      <w:pPr>
        <w:spacing w:after="40"/>
      </w:pPr>
      <w:r>
        <w:rPr>
          <w:sz w:val="20"/>
        </w:rPr>
        <w:t xml:space="preserve">[15] GitHub Security Advisories, GHSA-7683-3w9x-ch42 / CVE-2026-63119 — unbounded read via </w:t>
      </w:r>
      <w:r>
        <w:rPr>
          <w:rFonts w:ascii="Consolas" w:hAnsi="Consolas"/>
          <w:sz w:val="18"/>
        </w:rPr>
        <w:t>IO#gets</w:t>
      </w:r>
      <w:r>
        <w:rPr>
          <w:sz w:val="20"/>
        </w:rPr>
        <w:t xml:space="preserve"> with no limit, modelcontextprotocol/ruby-sdk, 2026; cited as an out-of-scope, exact-mechanism analogue only.</w:t>
      </w:r>
    </w:p>
    <w:p>
      <w:pPr>
        <w:spacing w:after="40"/>
      </w:pPr>
      <w:r>
        <w:rPr>
          <w:sz w:val="20"/>
        </w:rPr>
        <w:t xml:space="preserve">[16] GitHub Security Advisory GHSA-cqwc-fm46-7fff (modelcontextprotocol/typescript-sdk repository advisory) / GitHub Advisory Database GHSA-8r9q-7v3j-jr4g / CVE-2026-0621 — catastrophic ReDoS in </w:t>
      </w:r>
      <w:r>
        <w:rPr>
          <w:rFonts w:ascii="Consolas" w:hAnsi="Consolas"/>
          <w:sz w:val="18"/>
        </w:rPr>
        <w:t>UriTemplate.partToRegExp()</w:t>
      </w:r>
      <w:r>
        <w:rPr>
          <w:sz w:val="20"/>
        </w:rPr>
        <w:t>, @modelcontextprotocol/sdk (affected ≥1.3.0, &lt;1.25.2; fixed 1.25.2; CVSS 8.7), published Jan. 5, 2026.</w:t>
      </w:r>
    </w:p>
    <w:p>
      <w:pPr>
        <w:spacing w:after="40"/>
      </w:pPr>
      <w:r>
        <w:rPr>
          <w:sz w:val="20"/>
        </w:rPr>
        <w:t xml:space="preserve">[17] GitHub Security Advisories, GHSA-j975-95f5-7wqh / CVE-2025-53365 — server crash from an uncaught </w:t>
      </w:r>
      <w:r>
        <w:rPr>
          <w:rFonts w:ascii="Consolas" w:hAnsi="Consolas"/>
          <w:sz w:val="18"/>
        </w:rPr>
        <w:t>ClosedResourceError</w:t>
      </w:r>
      <w:r>
        <w:rPr>
          <w:sz w:val="20"/>
        </w:rPr>
        <w:t>, modelcontextprotocol/python-sdk (</w:t>
      </w:r>
      <w:r>
        <w:rPr>
          <w:rFonts w:ascii="Consolas" w:hAnsi="Consolas"/>
          <w:sz w:val="18"/>
        </w:rPr>
        <w:t>mcp</w:t>
      </w:r>
      <w:r>
        <w:rPr>
          <w:sz w:val="20"/>
        </w:rPr>
        <w:t>&lt;1.10.0; fixed 1.10.0; CVSS 8.7), 2025.</w:t>
      </w:r>
    </w:p>
    <w:p>
      <w:pPr>
        <w:spacing w:after="40"/>
      </w:pPr>
      <w:r>
        <w:rPr>
          <w:sz w:val="20"/>
        </w:rPr>
        <w:t>[18] GitHub Security Advisories, GHSA-3qhf-m339-9g5v / CVE-2025-53366 — FastMCP server validation-error crash, modelcontextprotocol/python-sdk (</w:t>
      </w:r>
      <w:r>
        <w:rPr>
          <w:rFonts w:ascii="Consolas" w:hAnsi="Consolas"/>
          <w:sz w:val="18"/>
        </w:rPr>
        <w:t>mcp</w:t>
      </w:r>
      <w:r>
        <w:rPr>
          <w:sz w:val="20"/>
        </w:rPr>
        <w:t>&lt;1.9.4; fixed 1.9.4; CVSS 8.7), 2025.</w:t>
      </w:r>
    </w:p>
    <w:p>
      <w:pPr>
        <w:spacing w:after="40"/>
      </w:pPr>
      <w:r>
        <w:rPr>
          <w:sz w:val="20"/>
        </w:rPr>
        <w:t>[19] AIS2Lab, "MCPSecBench," source-code repository, GitHub, 2026.</w:t>
      </w:r>
    </w:p>
    <w:p>
      <w:pPr>
        <w:spacing w:after="40"/>
      </w:pPr>
      <w:r>
        <w:rPr>
          <w:sz w:val="20"/>
        </w:rPr>
        <w:t xml:space="preserve">[20] J. Mirkovic and P. Reiher, "A taxonomy of DDoS attack and DDoS defense mechanisms," </w:t>
      </w:r>
      <w:r>
        <w:rPr>
          <w:i/>
          <w:sz w:val="20"/>
        </w:rPr>
        <w:t>ACM SIGCOMM Comput. Commun. Rev.</w:t>
      </w:r>
      <w:r>
        <w:rPr>
          <w:sz w:val="20"/>
        </w:rPr>
        <w:t>, vol. 34, no. 2, pp. 39–53, Apr. 2004.</w:t>
      </w:r>
    </w:p>
    <w:p>
      <w:pPr>
        <w:spacing w:after="40"/>
      </w:pPr>
      <w:r>
        <w:rPr>
          <w:sz w:val="20"/>
        </w:rPr>
        <w:t xml:space="preserve">[21] S. T. Zargar, J. Joshi, and D. Tipper, "A survey of defense mechanisms against distributed denial of service (DDoS) flooding attacks," </w:t>
      </w:r>
      <w:r>
        <w:rPr>
          <w:i/>
          <w:sz w:val="20"/>
        </w:rPr>
        <w:t>IEEE Commun. Surveys Tuts.</w:t>
      </w:r>
      <w:r>
        <w:rPr>
          <w:sz w:val="20"/>
        </w:rPr>
        <w:t>, vol. 15, no. 4, pp. 2046–2069, 2013.</w:t>
      </w:r>
    </w:p>
    <w:p>
      <w:pPr>
        <w:spacing w:after="40"/>
      </w:pPr>
      <w:r>
        <w:rPr>
          <w:sz w:val="20"/>
        </w:rPr>
        <w:t xml:space="preserve">[22] T. Peng, C. Leckie, and K. Ramamohanarao, "Survey of network-based defense mechanisms countering the DoS and DDoS problems," </w:t>
      </w:r>
      <w:r>
        <w:rPr>
          <w:i/>
          <w:sz w:val="20"/>
        </w:rPr>
        <w:t>ACM Comput. Surv.</w:t>
      </w:r>
      <w:r>
        <w:rPr>
          <w:sz w:val="20"/>
        </w:rPr>
        <w:t>, vol. 39, no. 1, art. 3, Apr. 2007.</w:t>
      </w:r>
    </w:p>
    <w:p>
      <w:pPr>
        <w:spacing w:after="40"/>
      </w:pPr>
      <w:r>
        <w:rPr>
          <w:sz w:val="20"/>
        </w:rPr>
        <w:t>[23] A. Klink and J. Wälde, "Effective denial of service attacks against web application platforms," presented at the 28th Chaos Communication Congress (28C3), Berlin, Germany, Dec. 2011.</w:t>
      </w:r>
    </w:p>
    <w:p>
      <w:pPr>
        <w:spacing w:after="40"/>
      </w:pPr>
      <w:r>
        <w:rPr>
          <w:sz w:val="20"/>
        </w:rPr>
        <w:t xml:space="preserve">[24] J.-P. Aumasson and D. J. Bernstein, "SipHash: A fast short-input PRF," in </w:t>
      </w:r>
      <w:r>
        <w:rPr>
          <w:i/>
          <w:sz w:val="20"/>
        </w:rPr>
        <w:t>Progress in Cryptology — INDOCRYPT 2012</w:t>
      </w:r>
      <w:r>
        <w:rPr>
          <w:sz w:val="20"/>
        </w:rPr>
        <w:t>, LNCS, vol. 7668. Berlin, Germany: Springer, 2012, pp. 489–508.</w:t>
      </w:r>
    </w:p>
    <w:p>
      <w:pPr>
        <w:spacing w:after="40"/>
      </w:pPr>
      <w:r>
        <w:rPr>
          <w:sz w:val="20"/>
        </w:rPr>
        <w:t xml:space="preserve">[25] J. C. Davis, C. A. Coghlan, F. Servant, and D. Lee, "The impact of regular expression denial of service (ReDoS) in practice: An empirical study at the ecosystem scale," in </w:t>
      </w:r>
      <w:r>
        <w:rPr>
          <w:i/>
          <w:sz w:val="20"/>
        </w:rPr>
        <w:t>Proc. 26th ACM ESEC/FSE</w:t>
      </w:r>
      <w:r>
        <w:rPr>
          <w:sz w:val="20"/>
        </w:rPr>
        <w:t>, 2018, pp. 246–256.</w:t>
      </w:r>
    </w:p>
    <w:p>
      <w:pPr>
        <w:spacing w:after="40"/>
      </w:pPr>
      <w:r>
        <w:rPr>
          <w:sz w:val="20"/>
        </w:rPr>
        <w:t xml:space="preserve">[26] C. Späth, C. Mainka, V. Mladenov, and J. Schwenk, "SoK: XML parser vulnerabilities," in </w:t>
      </w:r>
      <w:r>
        <w:rPr>
          <w:i/>
          <w:sz w:val="20"/>
        </w:rPr>
        <w:t>Proc. 10th USENIX Workshop Offensive Technol. (WOOT)</w:t>
      </w:r>
      <w:r>
        <w:rPr>
          <w:sz w:val="20"/>
        </w:rPr>
        <w:t>, Aug. 2016.</w:t>
      </w:r>
    </w:p>
    <w:p>
      <w:pPr>
        <w:spacing w:after="40"/>
      </w:pPr>
      <w:r>
        <w:rPr>
          <w:sz w:val="20"/>
        </w:rPr>
        <w:t xml:space="preserve">[27] B. Sullivan, "Security Briefs: XML denial of service attacks and defenses," </w:t>
      </w:r>
      <w:r>
        <w:rPr>
          <w:i/>
          <w:sz w:val="20"/>
        </w:rPr>
        <w:t>MSDN Magazine</w:t>
      </w:r>
      <w:r>
        <w:rPr>
          <w:sz w:val="20"/>
        </w:rPr>
        <w:t>, vol. 24, no. 11, Nov. 2009.</w:t>
      </w:r>
    </w:p>
    <w:p>
      <w:pPr>
        <w:spacing w:after="40"/>
      </w:pPr>
      <w:r>
        <w:rPr>
          <w:sz w:val="20"/>
        </w:rPr>
        <w:t>[28] MITRE, "CWE-776: Improper Restriction of Recursive Entity References in DTDs ('XML Entity Expansion')," Common Weakness Enumeration, 2024.</w:t>
      </w:r>
    </w:p>
    <w:p>
      <w:pPr>
        <w:spacing w:after="40"/>
      </w:pPr>
      <w:r>
        <w:rPr>
          <w:sz w:val="20"/>
        </w:rPr>
        <w:t>[29] T. Bray, Ed., "The JavaScript Object Notation (JSON) Data Interchange Format," RFC 8259, Internet Engineering Task Force, Dec. 2017.</w:t>
      </w:r>
    </w:p>
    <w:p>
      <w:pPr>
        <w:spacing w:after="40"/>
      </w:pPr>
      <w:r>
        <w:rPr>
          <w:sz w:val="20"/>
        </w:rPr>
        <w:t xml:space="preserve">[30] A. Demers, S. Keshav, and S. Shenker, "Analysis and simulation of a fair queueing algorithm," </w:t>
      </w:r>
      <w:r>
        <w:rPr>
          <w:i/>
          <w:sz w:val="20"/>
        </w:rPr>
        <w:t>ACM SIGCOMM Comput. Commun. Rev.</w:t>
      </w:r>
      <w:r>
        <w:rPr>
          <w:sz w:val="20"/>
        </w:rPr>
        <w:t>, vol. 19, no. 4, pp. 1–12, Aug. 1989.</w:t>
      </w:r>
    </w:p>
    <w:p>
      <w:pPr>
        <w:spacing w:after="40"/>
      </w:pPr>
      <w:r>
        <w:rPr>
          <w:sz w:val="20"/>
        </w:rPr>
        <w:t xml:space="preserve">[31] A. K. Parekh and R. G. Gallager, "A generalized processor sharing approach to flow control in integrated services networks: The single-node case," </w:t>
      </w:r>
      <w:r>
        <w:rPr>
          <w:i/>
          <w:sz w:val="20"/>
        </w:rPr>
        <w:t>IEEE/ACM Trans. Netw.</w:t>
      </w:r>
      <w:r>
        <w:rPr>
          <w:sz w:val="20"/>
        </w:rPr>
        <w:t>, vol. 1, no. 3, pp. 344–357, Jun. 1993.</w:t>
      </w:r>
    </w:p>
    <w:p>
      <w:pPr>
        <w:spacing w:after="40"/>
      </w:pPr>
      <w:r>
        <w:rPr>
          <w:sz w:val="20"/>
        </w:rPr>
        <w:t>[32] M. Nottingham and R. Fielding, "Additional HTTP Status Codes," RFC 6585, Internet Engineering Task Force, Apr. 2012.</w:t>
      </w:r>
    </w:p>
    <w:p>
      <w:pPr>
        <w:spacing w:after="40"/>
      </w:pPr>
      <w:r>
        <w:rPr>
          <w:sz w:val="20"/>
        </w:rPr>
        <w:t xml:space="preserve">[33] L. Cherkasova and P. Phaal, "Session-based admission control: A mechanism for peak load management of commercial web sites," </w:t>
      </w:r>
      <w:r>
        <w:rPr>
          <w:i/>
          <w:sz w:val="20"/>
        </w:rPr>
        <w:t>IEEE Trans. Comput.</w:t>
      </w:r>
      <w:r>
        <w:rPr>
          <w:sz w:val="20"/>
        </w:rPr>
        <w:t>, vol. 51, no. 6, pp. 669–685, Jun. 2002.</w:t>
      </w:r>
    </w:p>
    <w:p>
      <w:pPr>
        <w:spacing w:after="40"/>
      </w:pPr>
      <w:r>
        <w:rPr>
          <w:sz w:val="20"/>
        </w:rPr>
        <w:t xml:space="preserve">[34] A. Georges, D. Buytaert, and L. Eeckhout, "Statistically rigorous Java performance evaluation," in </w:t>
      </w:r>
      <w:r>
        <w:rPr>
          <w:i/>
          <w:sz w:val="20"/>
        </w:rPr>
        <w:t>Proc. 22nd ACM OOPSLA</w:t>
      </w:r>
      <w:r>
        <w:rPr>
          <w:sz w:val="20"/>
        </w:rPr>
        <w:t>, 2007, pp. 57–76.</w:t>
      </w:r>
    </w:p>
    <w:p>
      <w:pPr>
        <w:spacing w:after="40"/>
      </w:pPr>
      <w:r>
        <w:rPr>
          <w:sz w:val="20"/>
        </w:rPr>
        <w:t xml:space="preserve">[35] T. Kalibera and R. Jones, "Rigorous benchmarking in reasonable time," in </w:t>
      </w:r>
      <w:r>
        <w:rPr>
          <w:i/>
          <w:sz w:val="20"/>
        </w:rPr>
        <w:t>Proc. ACM Int. Symp. Memory Manage. (ISMM)</w:t>
      </w:r>
      <w:r>
        <w:rPr>
          <w:sz w:val="20"/>
        </w:rPr>
        <w:t>, 2013, pp. 63–74.</w:t>
      </w:r>
    </w:p>
    <w:p>
      <w:pPr>
        <w:spacing w:after="40"/>
      </w:pPr>
      <w:r>
        <w:rPr>
          <w:sz w:val="20"/>
        </w:rPr>
        <w:t>[36] E. D. Berger, S. M. Blackburn, M. Hauswirth, and M. Hicks, "Empirical evaluation guidelines (ACM SIGPLAN Empirical Evaluation Checklist)," ACM SIGPLAN, ver. Oct. 26, 2018.</w:t>
      </w:r>
    </w:p>
    <w:p>
      <w:pPr>
        <w:spacing w:after="40"/>
      </w:pPr>
      <w:r>
        <w:rPr>
          <w:sz w:val="20"/>
        </w:rPr>
        <w:t xml:space="preserve">[37] N. Cliff, "Dominance statistics: Ordinal analyses to answer ordinal questions," </w:t>
      </w:r>
      <w:r>
        <w:rPr>
          <w:i/>
          <w:sz w:val="20"/>
        </w:rPr>
        <w:t>Psychol. Bull.</w:t>
      </w:r>
      <w:r>
        <w:rPr>
          <w:sz w:val="20"/>
        </w:rPr>
        <w:t>, vol. 114, no. 3, pp. 494–509, 1993.</w:t>
      </w:r>
    </w:p>
    <w:sectPr w:rsidR="00D30B5C" w:rsidRPr="003D2BD4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docGrid w:linePitch="360"/>
      <w:cols w:num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344F3" w14:textId="77777777" w:rsidR="002D7AA9" w:rsidRDefault="002D7AA9">
      <w:r>
        <w:separator/>
      </w:r>
    </w:p>
  </w:endnote>
  <w:endnote w:type="continuationSeparator" w:id="0">
    <w:p w14:paraId="2817624F" w14:textId="77777777" w:rsidR="002D7AA9" w:rsidRDefault="002D7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BE91" w14:textId="37AF8F60" w:rsidR="00D30B5C" w:rsidRDefault="00D30B5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65A18" w14:textId="77777777" w:rsidR="002D7AA9" w:rsidRDefault="002D7AA9">
      <w:r>
        <w:separator/>
      </w:r>
    </w:p>
  </w:footnote>
  <w:footnote w:type="continuationSeparator" w:id="0">
    <w:p w14:paraId="361834A9" w14:textId="77777777" w:rsidR="002D7AA9" w:rsidRDefault="002D7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DBDA4" w14:textId="48B4389B" w:rsidR="00D30B5C" w:rsidRDefault="00D30B5C" w:rsidP="00F97A68">
    <w:pPr>
      <w:pBdr>
        <w:bottom w:val="single" w:sz="4" w:space="0" w:color="BFC7CC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26893"/>
    <w:multiLevelType w:val="hybridMultilevel"/>
    <w:tmpl w:val="9C8C4118"/>
    <w:lvl w:ilvl="0" w:tplc="B7BC5FAA">
      <w:start w:val="1"/>
      <w:numFmt w:val="bullet"/>
      <w:lvlText w:val="●"/>
      <w:lvlJc w:val="left"/>
      <w:pPr>
        <w:ind w:left="720" w:hanging="360"/>
      </w:pPr>
    </w:lvl>
    <w:lvl w:ilvl="1" w:tplc="8DD6C95C">
      <w:start w:val="1"/>
      <w:numFmt w:val="bullet"/>
      <w:lvlText w:val="○"/>
      <w:lvlJc w:val="left"/>
      <w:pPr>
        <w:ind w:left="1440" w:hanging="360"/>
      </w:pPr>
    </w:lvl>
    <w:lvl w:ilvl="2" w:tplc="78D4C782">
      <w:start w:val="1"/>
      <w:numFmt w:val="bullet"/>
      <w:lvlText w:val="■"/>
      <w:lvlJc w:val="left"/>
      <w:pPr>
        <w:ind w:left="2160" w:hanging="360"/>
      </w:pPr>
    </w:lvl>
    <w:lvl w:ilvl="3" w:tplc="4C4422A4">
      <w:start w:val="1"/>
      <w:numFmt w:val="bullet"/>
      <w:lvlText w:val="●"/>
      <w:lvlJc w:val="left"/>
      <w:pPr>
        <w:ind w:left="2880" w:hanging="360"/>
      </w:pPr>
    </w:lvl>
    <w:lvl w:ilvl="4" w:tplc="5E2E79A6">
      <w:start w:val="1"/>
      <w:numFmt w:val="bullet"/>
      <w:lvlText w:val="○"/>
      <w:lvlJc w:val="left"/>
      <w:pPr>
        <w:ind w:left="3600" w:hanging="360"/>
      </w:pPr>
    </w:lvl>
    <w:lvl w:ilvl="5" w:tplc="5E5C5F82">
      <w:start w:val="1"/>
      <w:numFmt w:val="bullet"/>
      <w:lvlText w:val="■"/>
      <w:lvlJc w:val="left"/>
      <w:pPr>
        <w:ind w:left="4320" w:hanging="360"/>
      </w:pPr>
    </w:lvl>
    <w:lvl w:ilvl="6" w:tplc="5618512C">
      <w:start w:val="1"/>
      <w:numFmt w:val="bullet"/>
      <w:lvlText w:val="●"/>
      <w:lvlJc w:val="left"/>
      <w:pPr>
        <w:ind w:left="5040" w:hanging="360"/>
      </w:pPr>
    </w:lvl>
    <w:lvl w:ilvl="7" w:tplc="7A4298DA">
      <w:start w:val="1"/>
      <w:numFmt w:val="bullet"/>
      <w:lvlText w:val="●"/>
      <w:lvlJc w:val="left"/>
      <w:pPr>
        <w:ind w:left="5760" w:hanging="360"/>
      </w:pPr>
    </w:lvl>
    <w:lvl w:ilvl="8" w:tplc="891A43C8">
      <w:start w:val="1"/>
      <w:numFmt w:val="bullet"/>
      <w:lvlText w:val="●"/>
      <w:lvlJc w:val="left"/>
      <w:pPr>
        <w:ind w:left="6480" w:hanging="360"/>
      </w:pPr>
    </w:lvl>
  </w:abstractNum>
  <w:num w:numId="1" w16cid:durableId="168061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B5C"/>
    <w:rsid w:val="000001C8"/>
    <w:rsid w:val="00043431"/>
    <w:rsid w:val="0005658F"/>
    <w:rsid w:val="00095143"/>
    <w:rsid w:val="000D6753"/>
    <w:rsid w:val="000F5CF2"/>
    <w:rsid w:val="00124D2A"/>
    <w:rsid w:val="0017376D"/>
    <w:rsid w:val="00191071"/>
    <w:rsid w:val="002D7AA9"/>
    <w:rsid w:val="002F532B"/>
    <w:rsid w:val="003538D9"/>
    <w:rsid w:val="003D2BD4"/>
    <w:rsid w:val="005A1ED5"/>
    <w:rsid w:val="00614419"/>
    <w:rsid w:val="00614CEB"/>
    <w:rsid w:val="0064299D"/>
    <w:rsid w:val="0065304B"/>
    <w:rsid w:val="00675288"/>
    <w:rsid w:val="00680B17"/>
    <w:rsid w:val="007502D2"/>
    <w:rsid w:val="008A2385"/>
    <w:rsid w:val="009D3CD5"/>
    <w:rsid w:val="00A8428A"/>
    <w:rsid w:val="00C0184A"/>
    <w:rsid w:val="00C16546"/>
    <w:rsid w:val="00C21AD5"/>
    <w:rsid w:val="00C569DA"/>
    <w:rsid w:val="00CE23FB"/>
    <w:rsid w:val="00D30B5C"/>
    <w:rsid w:val="00D607AE"/>
    <w:rsid w:val="00DC00C6"/>
    <w:rsid w:val="00E43DEE"/>
    <w:rsid w:val="00EC1095"/>
    <w:rsid w:val="00F37490"/>
    <w:rsid w:val="00F46FC9"/>
    <w:rsid w:val="00F97A68"/>
    <w:rsid w:val="00FC1C63"/>
    <w:rsid w:val="00FF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73A4"/>
  <w15:docId w15:val="{BFF86BCA-FC53-4AE9-915D-835A258A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before="0" w:line="240" w:lineRule="auto"/>
    </w:pPr>
    <w:rPr>
      <w:sz w:val="20"/>
    </w:rPr>
  </w:style>
  <w:style w:type="paragraph" w:styleId="Heading1">
    <w:name w:val="heading 1"/>
    <w:uiPriority w:val="9"/>
    <w:qFormat/>
    <w:pPr>
      <w:spacing w:before="80" w:after="40"/>
      <w:outlineLvl w:val="0"/>
    </w:pPr>
    <w:rPr>
      <w:b/>
      <w:bCs/>
      <w:color w:val="0B4F6C"/>
      <w:sz w:val="22"/>
      <w:szCs w:val="30"/>
    </w:rPr>
  </w:style>
  <w:style w:type="paragraph" w:styleId="Heading2">
    <w:name w:val="heading 2"/>
    <w:uiPriority w:val="9"/>
    <w:unhideWhenUsed/>
    <w:qFormat/>
    <w:pPr>
      <w:spacing w:before="80" w:after="40"/>
      <w:outlineLvl w:val="1"/>
    </w:pPr>
    <w:rPr>
      <w:b/>
      <w:bCs/>
      <w:sz w:val="20"/>
      <w:szCs w:val="24"/>
    </w:rPr>
  </w:style>
  <w:style w:type="paragraph" w:styleId="Heading3">
    <w:name w:val="heading 3"/>
    <w:uiPriority w:val="9"/>
    <w:semiHidden/>
    <w:unhideWhenUsed/>
    <w:qFormat/>
    <w:pPr>
      <w:spacing w:before="80" w:after="40"/>
      <w:outlineLvl w:val="2"/>
    </w:pPr>
    <w:rPr>
      <w:b/>
      <w:bCs/>
      <w:i/>
      <w:iCs/>
      <w:sz w:val="1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30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7A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7A68"/>
  </w:style>
  <w:style w:type="paragraph" w:styleId="Footer">
    <w:name w:val="footer"/>
    <w:basedOn w:val="Normal"/>
    <w:link w:val="FooterChar"/>
    <w:uiPriority w:val="99"/>
    <w:unhideWhenUsed/>
    <w:rsid w:val="00F97A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7A68"/>
  </w:style>
  <w:style w:type="character" w:styleId="UnresolvedMention">
    <w:name w:val="Unresolved Mention"/>
    <w:basedOn w:val="DefaultParagraphFont"/>
    <w:uiPriority w:val="99"/>
    <w:semiHidden/>
    <w:unhideWhenUsed/>
    <w:rsid w:val="00D60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e9465de-35bb-434c-80da-e59251b979c5}" enabled="1" method="Standard" siteId="{84b7b8f2-00b9-4886-80d2-4296316c78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</Pages>
  <Words>6363</Words>
  <Characters>36275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MCP DoS — Threat Model and Measurement Framework (skeleton)</vt:lpstr>
    </vt:vector>
  </TitlesOfParts>
  <Company/>
  <LinksUpToDate>false</LinksUpToDate>
  <CharactersWithSpaces>42553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DoS — Threat Model and Measurement Framework (skeleton)</dc:title>
  <dc:creator>[Author]</dc:creator>
  <cp:lastModifiedBy>Giorgi Iashvili</cp:lastModifiedBy>
  <cp:revision>40</cp:revision>
  <dcterms:created xsi:type="dcterms:W3CDTF">2026-08-16T07:30:00Z</dcterms:created>
  <dcterms:modified xsi:type="dcterms:W3CDTF">2026-08-26T09:29:00Z</dcterms:modified>
</cp:coreProperties>
</file>