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Extended Research Report</w:t>
      </w:r>
    </w:p>
    <w:p>
      <w:pPr>
        <w:pStyle w:val="Heading1"/>
      </w:pPr>
      <w:r>
        <w:t>Comparative Analysis: AI vs Behavioral Addictions</w:t>
      </w:r>
    </w:p>
    <w:p>
      <w:r>
        <w:t>While gaming and social media hijack passive consumption pathways, excessive AI generation loops ("hyper-ideation") hijack active execution reward pathways. The dopamine trigger is linked to instantaneous realization of high-level conceptual ideas without the friction of execution.</w:t>
      </w:r>
    </w:p>
    <w:p>
      <w:pPr>
        <w:pStyle w:val="Heading1"/>
      </w:pPr>
      <w:r>
        <w:t>Clinical Trial Design Proposal</w:t>
      </w:r>
    </w:p>
    <w:p>
      <w:r>
        <w:t>Future N=20 longitudinal study utilizing the Voss Neural Recovery Metrics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