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Provider Handout: AI &amp; SUD Recovery</w:t>
      </w:r>
    </w:p>
    <w:p>
      <w:r>
        <w:t>What to know when your patient is using AI in recovery.</w:t>
      </w:r>
    </w:p>
    <w:p>
      <w:pPr>
        <w:pStyle w:val="Heading1"/>
      </w:pPr>
      <w:r>
        <w:t>Red Flags to Watch For:</w:t>
      </w:r>
    </w:p>
    <w:p>
      <w:pPr>
        <w:pStyle w:val="ListBullet"/>
      </w:pPr>
      <w:r>
        <w:t>Complete absence of physical output bridging</w:t>
      </w:r>
    </w:p>
    <w:p>
      <w:pPr>
        <w:pStyle w:val="ListBullet"/>
      </w:pPr>
      <w:r>
        <w:t>Rapidly diminishing sleep schedules</w:t>
      </w:r>
    </w:p>
    <w:p>
      <w:pPr>
        <w:pStyle w:val="ListBullet"/>
      </w:pPr>
      <w:r>
        <w:t>Extreme hostility when AI access is restricted</w:t>
      </w:r>
    </w:p>
    <w:p>
      <w:pPr>
        <w:pStyle w:val="Heading1"/>
      </w:pPr>
      <w:r>
        <w:t>Boundary Recommendations:</w:t>
      </w:r>
    </w:p>
    <w:p>
      <w:r>
        <w:t>Ensure the patient utilizes the 4 Voss Protocols to prevent behavior transference. Ask to review their Bridge Checklist and weekly commitment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