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D6D7E"/>
          <w:spacing w:val="200"/>
          <w:sz w:val="18"/>
          <w:szCs w:val="18"/>
        </w:rPr>
        <w:t xml:space="preserve">CONFIDENTIAL</w:t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RANSOMWARE DETECTION VISIBILITY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Log Source Onboarding Checklist</w:t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SOC Management Assessment Framework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Version 1.0  |  Prepared by SOC Team  |  2025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D6E"/>
                <w:sz w:val="18"/>
                <w:szCs w:val="18"/>
              </w:rPr>
              <w:t xml:space="preserve">This document is intended for management review and SOC leadership. It outlines the minimum required log sources for comprehensive ransomware detection coverage across all kill-chain stages.</w:t>
            </w:r>
          </w:p>
        </w:tc>
      </w:tr>
    </w:tbl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Executive Summary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provides a structured assessment framework for evaluating the completeness of log source onboarding for any SOC-monitored environment. Full visibility across all 34 identified log source groups is required to detect, investigate, and respond to a ransomware incident across all stages of the attack lifecycle.</w:t>
      </w:r>
    </w:p>
    <w:p>
      <w:pPr>
        <w:spacing w:before="10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Ransomware attacks follow a predictable kill chain. Gaps in log coverage at any stage reduce detection capability and extend dwell time — directly increasing the business impact of an incident.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Total Log Sources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6"/>
                <w:szCs w:val="56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Critical Priority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56"/>
                <w:szCs w:val="5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Kill-Chain Stages Covered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120"/>
        <w:jc w:val="both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single log source provides complete ransomware visibility. Full coverage requires onboarding across ALL seven log source categories. The most commonly missed sources — backup system logs, VSS event logs, and Identity Provider logs — are also among the highest-value detection points.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Does Full Log Onboarding = Full Visibility?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Short answer: Yes — with one conditional exception. Onboarding all 34 log sources listed in this framework provides complete detection capability across 8 of 9 ransomware kill-chain stages. The single partial gap is in the Exfiltration stage, where TLS-encrypted data transfers over HTTPS may bypass proxy inspection without SSL/TLS decryption enabled.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Kill-Chain Stage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/ Gap Note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None if O365, SEG, VPN &amp; Azure AD logs are onboarded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Execution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Requires EDR + PowerShell logging + Sysmon enabled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Sched. task &amp; registry logs must be explicitly enabled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AD privileged account logs must include 4728/4672 events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Lateral Movement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RDP, SMB, and IdP logs together close this stage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LSASS Sysmon ID 10 requires explicit Sysmon rule config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C2 (Command &amp; Control)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DNS + Firewall + IDS covers all major C2 channels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Exfiltration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Partial*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Encrypted exfil over HTTPS may evade proxy without TLS inspection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Impact (Encryption)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Full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VSS deletion + file change logs provide high-fidelity signal</w:t>
            </w:r>
          </w:p>
        </w:tc>
      </w:tr>
    </w:tbl>
    <w:p>
      <w:pPr>
        <w:spacing w:before="12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* Partial: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Exfiltration via TLS-encrypted channels requires SSL inspection at the proxy/firewall layer to achieve full visibility. This is a configuration requirement, not a log source gap.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Highly Targeted Log Source Groups in Ransomware Events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Based on analysis of major ransomware campaigns (LockBit 3.0, BlackCat/ALPHV, Cl0p, Hive, BlackMatter), the following log source categories are the most frequently targeted — both as attack vectors AND as systems adversaries attempt to blind before detonation.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Active Directory / Identity &amp; Access (AD, Azure AD, IdP)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MOST TARGETED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 is the single source of truth for all network permissions. Compromising it gives attackers the keys to the entire environment — enabling domain-wide encryption in a single command. Every major ransomware group (LockBit, BlackCat, Cl0p) prioritises AD takeover before detonation.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DCSync, Kerberoasting, Pass-the-Hash, Golden Ticket, Domain Admin escalation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Event IDs 4768/4769 (TGT/TGS), 4672 (special privileges), 4728 (admin group add), LSASS access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 (EDR) — Workstations &amp; Servers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Endpoints are the initial detonation point for ransomware payloads. Without EDR telemetry, the entire execution and staging phase is invisible — no process chains, no command-line visibility, no fileless attack detection.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Malicious macro execution, LOLBin abuse, reflective DLL injection, credential dumping via LSASS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Process creation chains, PowerShell/Wscript execution, Mimikatz patterns, ransomware file I/O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(O365 / Exchange / SEG)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 70% of ransomware incidents begin with a phishing email. Email is the primary initial access vector — without it, the earliest detection opportunity is lost and investigations cannot establish the root cause.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Phishing, spear-phishing, malicious attachments (.docm, .xlsm, .iso, .lnk), BEC, credential harvesting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Attachment type anomalies, URL reputation, sender spoofing, abnormal forwarding rules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VPN / Remote Access Infrastructure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VPN vulnerabilities (e.g., Citrix Bleed, Fortinet CVEs, Pulse Secure) have been the single most exploited initial access vector in enterprise ransomware in 2023-2024. Credential stuffing against VPN portals is a routine pre-attack activity.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Exploitation of unpatched VPN appliances, credential stuffing, brute force, session token theft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Failed auth spikes, impossible travel, off-hours logins, new geo-locations, admin account usage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 &amp; Recovery Systems (Veeam, Commvault, Azure Backup)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 most underestimated target. Ransomware operators specifically hunt for and destroy backups before triggering encryption — to maximise leverage and ensure victims cannot restore without paying. This is now standard procedure for all major ransomware groups.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Backup job deletion, agent uninstallation, storage encryption, offline backup disconnection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Backup job failure alerts, unexpected policy changes, admin account activity on backup consoles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 Control Plane (Azure / AWS / GCP)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Why targeted: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 organisations move to cloud-first infrastructure, ransomware groups have adapted. Cloud IAM escalation, VM snapshot deletion, and storage replication sabotage are now documented TTPs for groups like BlackCat/ALPHV.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Common attacks: </w:t>
            </w:r>
            <w:r>
              <w:rPr>
                <w:rFonts w:ascii="Arial" w:cs="Arial" w:eastAsia="Arial" w:hAnsi="Arial"/>
                <w:i/>
                <w:iCs/>
                <w:color w:val="1A1A2E"/>
                <w:sz w:val="17"/>
                <w:szCs w:val="17"/>
              </w:rPr>
              <w:t xml:space="preserve">IAM privilege escalation, snapshot deletion, cross-region replication disable, storage account takeover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Key detections: 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CloudTrail/Activity Log anomalies, role assignment changes, resource deletion events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Complete Log Source Onboarding Checklist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the checklist below to assess log source coverage for any SOC-monitored client environment. Each row represents a required log source group. Priority levels: Critical = must-have; High = strongly recommended; Medium = contextual enrichment.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900"/>
        <w:gridCol w:w="1760"/>
        <w:gridCol w:w="24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Source / Resource Group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Kill-Chain Stage(s)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3D6E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Detections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1. Initial Access Detection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Microsoft 365 / Exchange Online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Phishing, malicious attachments, BEC, suspicious forwarding rules, unusual login geo-locations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Secure Email Gateway (SEG)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Weaponised attachments blocked/delivered, credential-harvesting URLs, spam campaigns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VPN / Remote Access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Brute-force, credential stuffing, exploitation of VPN CVEs, off-hours access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Azure AD / Entra ID Sign-In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Access, Lateral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Compromised credentials, MFA bypass, impossible travel, legacy auth abuse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Active Directory Security Event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Access, Lateral, Privilege Esc.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Failed logins (4625), Kerberoasting (4769), DCSync, Pass-the-Hash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1.6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Web Proxy / Secure Web Gateway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Access, C2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Drive-by downloads, C2 beaconing over HTTP/S, malicious redirects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2. Execution &amp; Persistence Detection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EDR Logs (CrowdStrike / SentinelOne / Defender for Endpoint)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Execution, Persistence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Process creation chains, payload detonation, AMSI bypass, malicious macro execution, script attacks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Windows Security Events — Process Creation (4688)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LOLBin abuse: wmic, mshta, certutil, PowerShell, cmd.exe with suspicious arguments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PowerShell / ScriptBlock Logs (Event IDs 4103, 4104)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Obfuscated payloads, download cradles, in-memory execution, Base64 encoded commands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Sysmon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Execution, Persistence, Defense Evasion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Process injection (ID 8), raw disk access (ID 9), WMI event subscriptions (ID 19-21)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2.5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Scheduled Task &amp; Registry Modification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Task creation/modification (4698/4702), registry set events — common ransomware persistence TTPs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3. Privilege Escalation &amp; Defense Evasion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3.1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Windows Service Creation Logs (Event ID 7045)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Persistence, Priv. Escalation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Malicious service installation for persistence, lateral movement, or secondary payload delivery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3.2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AV / Security Software Alert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Defense Evasion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Bypassed or silenced AV events — gaps indicate active evasion; high-fidelity ransomware signal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3.3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Audit Policy Change Logs (Event IDs 4719, 1102, 104)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Defense Evasion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Attackers disabling audit logging, clearing event logs, tampering with security policy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4. Credential Access &amp; Lateral Movement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AD Privileged Account &amp; Group Change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Priv. Escalation, Lateral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Admin group changes (4728/4732), special privileges (4672), golden ticket abuse, domain admin escalation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RDP Access Logs (Event ID 4624 Type 10)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Lateral Movement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Unauthorised admin sessions, RDP-based propagation, network-wide ransomware lateral movement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LSASS Access Logs (Sysmon Event ID 10)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Credential Access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Mimikatz, NTDS.dit extraction, SAM database access — credential harvesting pre-cursor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4.4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SMB / File Share Access Logs (Event IDs 5140, 5145)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Lateral Movement, Collection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Share enumeration, lateral movement via SMB, file staging for encryption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5. Command &amp; Control (C2) Detection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5.1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DNS Query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DNS-based C2 beaconing (Cobalt Strike, Sliver), DGA domain detection, newly registered domain callbacks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5.2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Firewall / NGFW Logs (Palo Alto, Fortinet, Cisco ASA)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C2, Exfiltration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Outbound C2 traffic, beaconing patterns, port scans, large outbound data transfers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5.3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Network Flow / NetFlow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Lateral, Exfiltration, C2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Uncommon port traffic, east-west anomalies, bulk data staging, exfiltration volume detection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5.4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IDS / IPS Alert Logs (Snort, Suricata, Zeek)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C2, Lateral Movement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Known ransomware C2 signatures, exploit attempts, lateral movement pattern detection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6. Exfiltration &amp; Ransomware Detonation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6.1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VSS / Shadow Copy Deletion Logs (Event ID 524, vssadmin)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Shadow copy deletion — near-universal ransomware behaviour; immediate pre-encryption signal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6.2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File System / Object Storage Change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Mass file rename, extension changes (.locked, .enc), bulk encryption activity across shares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6.3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Backup System Logs (Veeam, Commvault, Azure Backup)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Backup deletion, agent uninstall, job failure — ransomware destroys backups before encrypting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6.4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DLP Logs (Data Loss Prevention)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Exfiltration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Bulk file access, compression of sensitive data, large uploads to cloud storage (Mega, Dropbox, GDrive)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6.5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Cloud Storage / SaaS Application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Exfiltration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SharePoint, OneDrive, Box audit logs — cloud sync clients used for pre-encryption data exfiltration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7. Cloud &amp; Identity Infrastructure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7.1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Azure Activity / AWS CloudTrail / GCP Audit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Impact, Priv. Escalation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VM snapshot deletion, IAM privilege escalation, storage destruction, cloud resource tampering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7.2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Identity Provider Logs (Okta, Ping, ADFS)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Access, Lateral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SSO abuse, impossible travel, token theft, IdP session hijacking across all connected apps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7.3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Azure AD Conditional Access &amp; MFA Logs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Initial Access, Defense Evasion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MFA fatigue attacks, Conditional Access bypass, legacy protocol fallback exploitation</w:t>
            </w:r>
          </w:p>
        </w:tc>
      </w:tr>
      <w:tr>
        <w:tc>
          <w:tcPr>
            <w:tcW w:type="dxa" w:w="9360"/>
            <w:gridSpan w:val="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D6E"/>
                <w:sz w:val="18"/>
                <w:szCs w:val="18"/>
              </w:rPr>
              <w:t xml:space="preserve">8. Enrichment &amp; Contextual Sources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8.1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Threat Intelligence Feed (MISP, VirusTotal, TI Platform)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Enrichment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IOC enrichment — known ransomware IPs, hashes, domains; correlate alerts to threat actor campaigns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8.2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PAM Logs (CyberArk, BeyondTrust)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0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Credential Access, Lateral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Privileged session recording, vault access, break-glass account usage — high-value ransomware targets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8.3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Vulnerability Scanner Logs (Tenable, Qualys, Rapid7)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Enrichment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Correlate active exploits against known unpatched vulnerabilities on targeted systems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8.4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Asset / CMDB Inventory Feed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6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6"/>
                <w:szCs w:val="16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8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Enrichment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System owner context, criticality classification, network segmentation data for alert triage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Recommended Onboarding Roadmap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Prioritise log source onboarding in the following sequence to maximise early detection capability. Critical sources in Phase 1 provide coverage for the most common initial access and execution techniques observed in active ransomware campaigns.</w:t>
      </w:r>
    </w:p>
    <w:p>
      <w:pPr>
        <w:spacing w:before="12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Immediate (Week 1-2)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Onboard EDR (CrowdStrike / SentinelOne / Defender for Endpoint) across all endpoints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Enable O365 / Exchange Online log ingestion and configure SEG log forwarding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Connect Active Directory Security Event Logs with 4625, 4768, 4769, 4672, 4728 event IDs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Enable Azure AD / Entra ID sign-in and audit log streaming to SIEM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Configure DNS query logging and forward to SIEM</w:t>
      </w:r>
    </w:p>
    <w:p>
      <w:pPr>
        <w:spacing w:before="8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Short-Term (Week 3-4)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Onboard VPN / Remote Access logs from all perimeter access points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Enable PowerShell ScriptBlock logging (Event IDs 4103/4104) on all Windows endpoints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Deploy Sysmon with a hardened configuration (SwiftOnSecurity or Olaf Hartong templates)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Integrate Firewall / NGFW logs from all perimeter devices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Connect Backup System logs (Veeam / Commvault / Azure Backup) — highest-risk blind spot</w:t>
      </w:r>
    </w:p>
    <w:p>
      <w:pPr>
        <w:spacing w:before="8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Medium-Term (Month 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Onboard Identity Provider (Okta / ADFS / Ping) logs if SSO is in use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Integrate Cloud control-plane logs (Azure Activity / CloudTrail / GCP Audit)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Enable DLP alerting and forward events to SIEM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Connect PAM solution logs if CyberArk or BeyondTrust is deployed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Onboard threat intelligence feeds and configure IOC enrichment pipelines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Bdr>
          <w:bottom w:val="single" w:color="2E75B6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F3D6E"/>
          <w:sz w:val="26"/>
          <w:szCs w:val="26"/>
        </w:rPr>
        <w:t xml:space="preserve">Important Notes for SOC Leadership</w:t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 Log Ingestion ≠ Detection Rules — Onboarding log sources creates visibility, but detections require configured SIEM rules, correlation logic, and tuned alert thresholds. Treat this checklist as the prerequisite to detection engineering, not a replacement.</w:t>
      </w:r>
    </w:p>
    <w:p>
      <w:pPr>
        <w:spacing w:before="8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 Sysmon Requires Hardened Configuration — Sysmon must be deployed with a curated rule configuration (such as SwiftOnSecurity or Olaf Hartong baseline) to generate the specific event IDs referenced in this framework. Default installation provides minimal coverage.</w:t>
      </w:r>
    </w:p>
    <w:p>
      <w:pPr>
        <w:spacing w:before="8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 Windows Advanced Audit Policy — Several Windows event IDs (4688 process creation, 4698 scheduled tasks) require explicit enablement via Group Policy &gt; Advanced Audit Policy Configuration. They are not enabled by default.</w:t>
      </w:r>
    </w:p>
    <w:p>
      <w:pPr>
        <w:spacing w:before="8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 The Exfiltration Gap — Encrypted exfiltration over HTTPS to cloud storage services may not be visible without TLS/SSL inspection enabled at the proxy or firewall layer. This is a configuration requirement on the client side.</w:t>
      </w:r>
    </w:p>
    <w:p>
      <w:pPr>
        <w:spacing w:before="8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 Cloud Log Retention — Cloud provider audit logs (Azure, AWS, GCP) typically have short default retention windows (30-90 days). Ensure log export to long-term storage (e.g., Log Analytics Workspace, S3, SIEM) is configured to support forensic investigations.</w:t>
      </w:r>
    </w:p>
    <w:p>
      <w:pPr>
        <w:spacing w:before="80" w:after="0"/>
      </w:pPr>
      <w:r>
        <w:t xml:space="preserve"/>
      </w:r>
    </w:p>
    <w:p>
      <w:pPr>
        <w:spacing w:before="40" w:after="4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 This is a Living Document — The ransomware threat landscape evolves continuously. This framework should be reviewed quarterly and updated to reflect new threat actor TTPs and emerging log source requirements.</w:t>
      </w:r>
    </w:p>
    <w:p>
      <w:pPr>
        <w:spacing w:before="160" w:after="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Prepared by SOC Team  |  Confidential — For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1"/>
      </w:pBdr>
      <w:spacing w:before="80" w:after="0"/>
    </w:pPr>
    <w:r>
      <w:rPr>
        <w:rFonts w:ascii="Arial" w:cs="Arial" w:eastAsia="Arial" w:hAnsi="Arial"/>
        <w:color w:val="5D6D7E"/>
        <w:sz w:val="16"/>
        <w:szCs w:val="16"/>
      </w:rPr>
      <w:t xml:space="preserve">SOC Monitoring Framework  |  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5D6D7E"/>
        <w:sz w:val="16"/>
        <w:szCs w:val="16"/>
      </w:rPr>
      <w:t xml:space="preserve">Ransomware Detection Visibility — Log Source Checklist</w:t>
    </w:r>
    <w:r>
      <w:rPr>
        <w:sz w:val="16"/>
        <w:szCs w:val="16"/>
      </w:rPr>
      <w:t xml:space="preserve">		</w:t>
    </w:r>
    <w:r>
      <w:rPr>
        <w:rFonts w:ascii="Arial" w:cs="Arial" w:eastAsia="Arial" w:hAnsi="Arial"/>
        <w:b/>
        <w:bCs/>
        <w:color w:val="5D6D7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2026-03-14T07:20:27.903Z</dcterms:created>
  <dcterms:modified xsi:type="dcterms:W3CDTF">2026-03-14T07:20:27.904Z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