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B2A4A"/>
          <w:sz w:val="64"/>
          <w:szCs w:val="64"/>
        </w:rPr>
        <w:t xml:space="preserve">RED TEAM ASSESSMENT REPORT</w:t>
      </w:r>
    </w:p>
    <w:p>
      <w:pPr>
        <w:pBdr>
          <w:bottom w:val="single" w:color="2E5184" w:sz="12" w:space="6"/>
        </w:pBdr>
        <w:spacing w:after="200" w:before="0"/>
        <w:jc w:val="center"/>
      </w:pPr>
      <w:r>
        <w:rPr>
          <w:rFonts w:ascii="Arial" w:cs="Arial" w:eastAsia="Arial" w:hAnsi="Arial"/>
          <w:color w:val="2E5184"/>
          <w:sz w:val="36"/>
          <w:szCs w:val="36"/>
        </w:rPr>
        <w:t xml:space="preserve">Full-Scope Adversarial Simulation</w:t>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B2A4A"/>
          <w:sz w:val="36"/>
          <w:szCs w:val="36"/>
        </w:rPr>
        <w:t xml:space="preserve">Acme Financial Corporation</w:t>
      </w:r>
    </w:p>
    <w:p>
      <w:pPr>
        <w:spacing w:after="400" w:before="0"/>
        <w:jc w:val="center"/>
      </w:pPr>
      <w:r>
        <w:rPr>
          <w:rFonts w:ascii="Arial" w:cs="Arial" w:eastAsia="Arial" w:hAnsi="Arial"/>
          <w:color w:val="7F8C8D"/>
          <w:sz w:val="24"/>
          <w:szCs w:val="24"/>
        </w:rPr>
        <w:t xml:space="preserve">Prepared by Cerberus Security Group</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Engagement Dates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March 3 – March 28, 2025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Report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April 4, 2025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Report 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1.0 — Final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Classification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C0392B"/>
                <w:sz w:val="20"/>
                <w:szCs w:val="20"/>
              </w:rPr>
              <w:t xml:space="preserve">CONFIDENTIAL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Lead Assessor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Marcus T. Webb, OSCP, CRTO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CSG-2025-0041</w:t>
            </w:r>
          </w:p>
        </w:tc>
      </w:tr>
    </w:tbl>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b/>
          <w:bCs/>
          <w:color w:val="C0392B"/>
          <w:sz w:val="18"/>
          <w:szCs w:val="18"/>
        </w:rPr>
        <w:t xml:space="preserve">DISTRIBUTION RESTRICTED — AUTHORIZED PERSONNEL ONLY</w:t>
      </w:r>
    </w:p>
    <w:p>
      <w:r>
        <w:br w:type="page"/>
      </w:r>
    </w:p>
    <w:p>
      <w:pPr>
        <w:pStyle w:val="Heading1"/>
        <w:pBdr>
          <w:bottom w:val="single" w:color="2E5184" w:sz="6" w:space="4"/>
        </w:pBdr>
        <w:spacing w:after="160" w:before="320"/>
      </w:pPr>
      <w:r>
        <w:rPr>
          <w:rFonts w:ascii="Arial" w:cs="Arial" w:eastAsia="Arial" w:hAnsi="Arial"/>
          <w:b/>
          <w:bCs/>
          <w:color w:val="1B2A4A"/>
          <w:sz w:val="36"/>
          <w:szCs w:val="36"/>
        </w:rPr>
        <w:t xml:space="preserve">1. Executive Summary</w:t>
      </w:r>
    </w:p>
    <w:p>
      <w:pPr>
        <w:spacing w:after="100" w:before="80"/>
        <w:jc w:val="left"/>
      </w:pPr>
      <w:r>
        <w:rPr>
          <w:rFonts w:ascii="Arial" w:cs="Arial" w:eastAsia="Arial" w:hAnsi="Arial"/>
          <w:sz w:val="22"/>
          <w:szCs w:val="22"/>
        </w:rPr>
        <w:t xml:space="preserve">Cerberus Security Group conducted a full-scope adversarial simulation against Acme Financial Corporation from March 3 through March 28, 2025. The engagement was authorized by the Chief Information Security Officer and the Chief Executive Officer. No advance notice was provided to IT operations, SOC personnel, or the broader technology organization.</w:t>
      </w:r>
    </w:p>
    <w:p>
      <w:pPr>
        <w:spacing w:after="100" w:before="80"/>
        <w:jc w:val="left"/>
      </w:pPr>
      <w:r>
        <w:rPr>
          <w:rFonts w:ascii="Arial" w:cs="Arial" w:eastAsia="Arial" w:hAnsi="Arial"/>
          <w:sz w:val="22"/>
          <w:szCs w:val="22"/>
        </w:rPr>
        <w:t xml:space="preserve">The objective was to simulate a financially motivated, skilled threat actor targeting Acme's people, processes, and technology with the goal of gaining unauthorized access to sensitive financial data, customer records, and core banking systems. The rules of engagement permitted physical intrusion attempts, social engineering against all non-executive employees, and technical exploitation of any reachable asset.</w:t>
      </w:r>
    </w:p>
    <w:p>
      <w:pPr>
        <w:spacing w:after="0" w:before="0"/>
      </w:pPr>
      <w:r>
        <w:t xml:space="preserve"/>
      </w:r>
    </w:p>
    <w:p>
      <w:pPr>
        <w:spacing w:after="100" w:before="80"/>
        <w:jc w:val="left"/>
      </w:pPr>
      <w:r>
        <w:rPr>
          <w:rFonts w:ascii="Arial" w:cs="Arial" w:eastAsia="Arial" w:hAnsi="Arial"/>
          <w:b/>
          <w:bCs/>
          <w:sz w:val="22"/>
          <w:szCs w:val="22"/>
        </w:rPr>
        <w:t xml:space="preserve">The results are serious. </w:t>
      </w:r>
      <w:r>
        <w:rPr>
          <w:rFonts w:ascii="Arial" w:cs="Arial" w:eastAsia="Arial" w:hAnsi="Arial"/>
          <w:sz w:val="22"/>
          <w:szCs w:val="22"/>
        </w:rPr>
        <w:t xml:space="preserve">The red team achieved domain administrator-level access within 11 hours of initiating the campaign. A dataset equivalent in size and structure to Acme's entire customer account database was exfiltrated before any defensive alert was triggered. Physical security controls at the Westlake Operations Center were bypassed on the first day of field activity. No member of the internal SOC identified red team activity at any point during the 25-day campaign.</w:t>
      </w:r>
    </w:p>
    <w:p>
      <w:pPr>
        <w:spacing w:after="0" w:before="0"/>
      </w:pPr>
      <w:r>
        <w:t xml:space="preserve"/>
      </w:r>
    </w:p>
    <w:p>
      <w:pPr>
        <w:pStyle w:val="Heading2"/>
        <w:spacing w:after="120" w:before="240"/>
      </w:pPr>
      <w:r>
        <w:rPr>
          <w:rFonts w:ascii="Arial" w:cs="Arial" w:eastAsia="Arial" w:hAnsi="Arial"/>
          <w:b/>
          <w:bCs/>
          <w:color w:val="2E5184"/>
          <w:sz w:val="28"/>
          <w:szCs w:val="28"/>
        </w:rPr>
        <w:t xml:space="preserve">1.1 Key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184"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Outcome</w:t>
            </w:r>
          </w:p>
        </w:tc>
        <w:tc>
          <w:tcPr>
            <w:tcW w:type="dxa" w:w="6240"/>
            <w:tcBorders>
              <w:top w:val="single" w:color="CCCCCC" w:sz="1"/>
              <w:left w:val="single" w:color="CCCCCC" w:sz="1"/>
              <w:bottom w:val="single" w:color="CCCCCC" w:sz="1"/>
              <w:right w:val="single" w:color="CCCCCC" w:sz="1"/>
            </w:tcBorders>
            <w:shd w:fill="2E5184"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Time to Domain Admin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11 hours from campaign start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Physical Intrusion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Successful — server room reached, implant deployed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Data Exfiltration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2.3M simulated customer records over 14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SOC Detection During Campaign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Zero alerts generated across 25 days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Phishing Response Rate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38% of targeted employees clicked; 23% submitted credentials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Persistence Mechanisms Planted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 independent persistence paths established</w:t>
            </w:r>
          </w:p>
        </w:tc>
      </w:tr>
    </w:tbl>
    <w:p>
      <w:pPr>
        <w:spacing w:after="0" w:before="0"/>
      </w:pPr>
      <w:r>
        <w:t xml:space="preserve"/>
      </w:r>
    </w:p>
    <w:p>
      <w:pPr>
        <w:pStyle w:val="Heading2"/>
        <w:spacing w:after="120" w:before="240"/>
      </w:pPr>
      <w:r>
        <w:rPr>
          <w:rFonts w:ascii="Arial" w:cs="Arial" w:eastAsia="Arial" w:hAnsi="Arial"/>
          <w:b/>
          <w:bCs/>
          <w:color w:val="2E5184"/>
          <w:sz w:val="28"/>
          <w:szCs w:val="28"/>
        </w:rPr>
        <w:t xml:space="preserve">1.2 Findings Summary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1"/>
              <w:left w:val="single" w:color="CCCCCC" w:sz="1"/>
              <w:bottom w:val="single" w:color="CCCCCC" w:sz="1"/>
              <w:right w:val="single" w:color="CCCCCC" w:sz="1"/>
            </w:tcBorders>
            <w:shd w:fill="2E5184"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ID</w:t>
            </w:r>
          </w:p>
        </w:tc>
        <w:tc>
          <w:tcPr>
            <w:tcW w:type="dxa" w:w="5460"/>
            <w:tcBorders>
              <w:top w:val="single" w:color="CCCCCC" w:sz="1"/>
              <w:left w:val="single" w:color="CCCCCC" w:sz="1"/>
              <w:bottom w:val="single" w:color="CCCCCC" w:sz="1"/>
              <w:right w:val="single" w:color="CCCCCC" w:sz="1"/>
            </w:tcBorders>
            <w:shd w:fill="2E5184"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2E5184"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Impact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RT-001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Adversary-in-the-Middle Phishing — MFA Session Hijack</w:t>
            </w:r>
          </w:p>
        </w:tc>
        <w:tc>
          <w:tcPr>
            <w:tcW w:type="dxa" w:w="3000"/>
            <w:tcBorders>
              <w:top w:val="single" w:color="CCCCCC" w:sz="1"/>
              <w:left w:val="single" w:color="CCCCCC" w:sz="1"/>
              <w:bottom w:val="single" w:color="CCCCCC" w:sz="1"/>
              <w:right w:val="single" w:color="CCCCCC" w:sz="1"/>
            </w:tcBorders>
            <w:shd w:fill="922B21"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RT-002</w:t>
            </w:r>
          </w:p>
        </w:tc>
        <w:tc>
          <w:tcPr>
            <w:tcW w:type="dxa" w:w="5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Domain Compromise via Kerberoastable Service Accounts</w:t>
            </w:r>
          </w:p>
        </w:tc>
        <w:tc>
          <w:tcPr>
            <w:tcW w:type="dxa" w:w="3000"/>
            <w:tcBorders>
              <w:top w:val="single" w:color="CCCCCC" w:sz="1"/>
              <w:left w:val="single" w:color="CCCCCC" w:sz="1"/>
              <w:bottom w:val="single" w:color="CCCCCC" w:sz="1"/>
              <w:right w:val="single" w:color="CCCCCC" w:sz="1"/>
            </w:tcBorders>
            <w:shd w:fill="922B21"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RT-003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Unauthenticated VPN Access via Stolen Credentials</w:t>
            </w:r>
          </w:p>
        </w:tc>
        <w:tc>
          <w:tcPr>
            <w:tcW w:type="dxa" w:w="3000"/>
            <w:tcBorders>
              <w:top w:val="single" w:color="CCCCCC" w:sz="1"/>
              <w:left w:val="single" w:color="CCCCCC" w:sz="1"/>
              <w:bottom w:val="single" w:color="CCCCCC" w:sz="1"/>
              <w:right w:val="single" w:color="CCCCCC" w:sz="1"/>
            </w:tcBorders>
            <w:shd w:fill="922B21"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RT-004</w:t>
            </w:r>
          </w:p>
        </w:tc>
        <w:tc>
          <w:tcPr>
            <w:tcW w:type="dxa" w:w="5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Physical Intrusion via Badge Cloning — Server Room Access</w:t>
            </w:r>
          </w:p>
        </w:tc>
        <w:tc>
          <w:tcPr>
            <w:tcW w:type="dxa" w:w="3000"/>
            <w:tcBorders>
              <w:top w:val="single" w:color="CCCCCC" w:sz="1"/>
              <w:left w:val="single" w:color="CCCCCC" w:sz="1"/>
              <w:bottom w:val="single" w:color="CCCCCC" w:sz="1"/>
              <w:right w:val="single" w:color="CCCCCC" w:sz="1"/>
            </w:tcBorders>
            <w:shd w:fill="922B21"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RT-005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Unrestricted Lateral Movement via Pass-the-Hash</w:t>
            </w:r>
          </w:p>
        </w:tc>
        <w:tc>
          <w:tcPr>
            <w:tcW w:type="dxa" w:w="3000"/>
            <w:tcBorders>
              <w:top w:val="single" w:color="CCCCCC" w:sz="1"/>
              <w:left w:val="single" w:color="CCCCCC" w:sz="1"/>
              <w:bottom w:val="single" w:color="CCCCCC" w:sz="1"/>
              <w:right w:val="single" w:color="CCCCCC" w:sz="1"/>
            </w:tcBorders>
            <w:shd w:fill="C0392B"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RT-006</w:t>
            </w:r>
          </w:p>
        </w:tc>
        <w:tc>
          <w:tcPr>
            <w:tcW w:type="dxa" w:w="5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Undetected HTTPS Data Exfiltration</w:t>
            </w:r>
          </w:p>
        </w:tc>
        <w:tc>
          <w:tcPr>
            <w:tcW w:type="dxa" w:w="3000"/>
            <w:tcBorders>
              <w:top w:val="single" w:color="CCCCCC" w:sz="1"/>
              <w:left w:val="single" w:color="CCCCCC" w:sz="1"/>
              <w:bottom w:val="single" w:color="CCCCCC" w:sz="1"/>
              <w:right w:val="single" w:color="CCCCCC" w:sz="1"/>
            </w:tcBorders>
            <w:shd w:fill="C0392B"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RT-007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Golden Ticket Persistence via Insufficient KRBTGT Controls</w:t>
            </w:r>
          </w:p>
        </w:tc>
        <w:tc>
          <w:tcPr>
            <w:tcW w:type="dxa" w:w="3000"/>
            <w:tcBorders>
              <w:top w:val="single" w:color="CCCCCC" w:sz="1"/>
              <w:left w:val="single" w:color="CCCCCC" w:sz="1"/>
              <w:bottom w:val="single" w:color="CCCCCC" w:sz="1"/>
              <w:right w:val="single" w:color="CCCCCC" w:sz="1"/>
            </w:tcBorders>
            <w:shd w:fill="C0392B"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RT-008</w:t>
            </w:r>
          </w:p>
        </w:tc>
        <w:tc>
          <w:tcPr>
            <w:tcW w:type="dxa" w:w="5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Overprivileged Service Accounts in Domain Admins Group</w:t>
            </w:r>
          </w:p>
        </w:tc>
        <w:tc>
          <w:tcPr>
            <w:tcW w:type="dxa" w:w="3000"/>
            <w:tcBorders>
              <w:top w:val="single" w:color="CCCCCC" w:sz="1"/>
              <w:left w:val="single" w:color="CCCCCC" w:sz="1"/>
              <w:bottom w:val="single" w:color="CCCCCC" w:sz="1"/>
              <w:right w:val="single" w:color="CCCCCC" w:sz="1"/>
            </w:tcBorders>
            <w:shd w:fill="C0392B"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RT-009</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Clear-Text Credentials Stored in SharePoint Wiki</w:t>
            </w:r>
          </w:p>
        </w:tc>
        <w:tc>
          <w:tcPr>
            <w:tcW w:type="dxa" w:w="3000"/>
            <w:tcBorders>
              <w:top w:val="single" w:color="CCCCCC" w:sz="1"/>
              <w:left w:val="single" w:color="CCCCCC" w:sz="1"/>
              <w:bottom w:val="single" w:color="CCCCCC" w:sz="1"/>
              <w:right w:val="single" w:color="CCCCCC" w:sz="1"/>
            </w:tcBorders>
            <w:shd w:fill="C0392B"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RT-010</w:t>
            </w:r>
          </w:p>
        </w:tc>
        <w:tc>
          <w:tcPr>
            <w:tcW w:type="dxa" w:w="5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EDR Absent on 38% of Domain-Joined Endpoints</w:t>
            </w:r>
          </w:p>
        </w:tc>
        <w:tc>
          <w:tcPr>
            <w:tcW w:type="dxa" w:w="3000"/>
            <w:tcBorders>
              <w:top w:val="single" w:color="CCCCCC" w:sz="1"/>
              <w:left w:val="single" w:color="CCCCCC" w:sz="1"/>
              <w:bottom w:val="single" w:color="CCCCCC" w:sz="1"/>
              <w:right w:val="single" w:color="CCCCCC" w:sz="1"/>
            </w:tcBorders>
            <w:shd w:fill="C0392B"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RT-011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Default Credentials on Network-Accessible Printers</w:t>
            </w:r>
          </w:p>
        </w:tc>
        <w:tc>
          <w:tcPr>
            <w:tcW w:type="dxa" w:w="3000"/>
            <w:tcBorders>
              <w:top w:val="single" w:color="CCCCCC" w:sz="1"/>
              <w:left w:val="single" w:color="CCCCCC" w:sz="1"/>
              <w:bottom w:val="single" w:color="CCCCCC" w:sz="1"/>
              <w:right w:val="single" w:color="CCCCCC" w:sz="1"/>
            </w:tcBorders>
            <w:shd w:fill="D4640E"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RT-012</w:t>
            </w:r>
          </w:p>
        </w:tc>
        <w:tc>
          <w:tcPr>
            <w:tcW w:type="dxa" w:w="5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SMBv1 Enabled on Legacy File Servers</w:t>
            </w:r>
          </w:p>
        </w:tc>
        <w:tc>
          <w:tcPr>
            <w:tcW w:type="dxa" w:w="3000"/>
            <w:tcBorders>
              <w:top w:val="single" w:color="CCCCCC" w:sz="1"/>
              <w:left w:val="single" w:color="CCCCCC" w:sz="1"/>
              <w:bottom w:val="single" w:color="CCCCCC" w:sz="1"/>
              <w:right w:val="single" w:color="CCCCCC" w:sz="1"/>
            </w:tcBorders>
            <w:shd w:fill="D4640E"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RT-013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38% Employee Phishing Susceptibility Rate</w:t>
            </w:r>
          </w:p>
        </w:tc>
        <w:tc>
          <w:tcPr>
            <w:tcW w:type="dxa" w:w="3000"/>
            <w:tcBorders>
              <w:top w:val="single" w:color="CCCCCC" w:sz="1"/>
              <w:left w:val="single" w:color="CCCCCC" w:sz="1"/>
              <w:bottom w:val="single" w:color="CCCCCC" w:sz="1"/>
              <w:right w:val="single" w:color="CCCCCC" w:sz="1"/>
            </w:tcBorders>
            <w:shd w:fill="D4640E"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RT-014</w:t>
            </w:r>
          </w:p>
        </w:tc>
        <w:tc>
          <w:tcPr>
            <w:tcW w:type="dxa" w:w="54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Insecure Direct Object Reference — Customer Portal</w:t>
            </w:r>
          </w:p>
        </w:tc>
        <w:tc>
          <w:tcPr>
            <w:tcW w:type="dxa" w:w="3000"/>
            <w:tcBorders>
              <w:top w:val="single" w:color="CCCCCC" w:sz="1"/>
              <w:left w:val="single" w:color="CCCCCC" w:sz="1"/>
              <w:bottom w:val="single" w:color="CCCCCC" w:sz="1"/>
              <w:right w:val="single" w:color="CCCCCC" w:sz="1"/>
            </w:tcBorders>
            <w:shd w:fill="D4640E"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RT-015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Missing DMARC Enforcement — Email Spoofing Viable</w:t>
            </w:r>
          </w:p>
        </w:tc>
        <w:tc>
          <w:tcPr>
            <w:tcW w:type="dxa" w:w="3000"/>
            <w:tcBorders>
              <w:top w:val="single" w:color="CCCCCC" w:sz="1"/>
              <w:left w:val="single" w:color="CCCCCC" w:sz="1"/>
              <w:bottom w:val="single" w:color="CCCCCC" w:sz="1"/>
              <w:right w:val="single" w:color="CCCCCC" w:sz="1"/>
            </w:tcBorders>
            <w:shd w:fill="2471A3"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LOW</w:t>
            </w:r>
          </w:p>
        </w:tc>
      </w:tr>
    </w:tbl>
    <w:p>
      <w:r>
        <w:br w:type="page"/>
      </w:r>
    </w:p>
    <w:p>
      <w:pPr>
        <w:pStyle w:val="Heading1"/>
        <w:pBdr>
          <w:bottom w:val="single" w:color="2E5184" w:sz="6" w:space="4"/>
        </w:pBdr>
        <w:spacing w:after="160" w:before="320"/>
      </w:pPr>
      <w:r>
        <w:rPr>
          <w:rFonts w:ascii="Arial" w:cs="Arial" w:eastAsia="Arial" w:hAnsi="Arial"/>
          <w:b/>
          <w:bCs/>
          <w:color w:val="1B2A4A"/>
          <w:sz w:val="36"/>
          <w:szCs w:val="36"/>
        </w:rPr>
        <w:t xml:space="preserve">2. Scope and Rules of Engagement</w:t>
      </w:r>
    </w:p>
    <w:p>
      <w:pPr>
        <w:pStyle w:val="Heading2"/>
        <w:spacing w:after="120" w:before="240"/>
      </w:pPr>
      <w:r>
        <w:rPr>
          <w:rFonts w:ascii="Arial" w:cs="Arial" w:eastAsia="Arial" w:hAnsi="Arial"/>
          <w:b/>
          <w:bCs/>
          <w:color w:val="2E5184"/>
          <w:sz w:val="28"/>
          <w:szCs w:val="28"/>
        </w:rPr>
        <w:t xml:space="preserve">2.1 In-Scope Assets</w:t>
      </w:r>
    </w:p>
    <w:p>
      <w:pPr>
        <w:pStyle w:val="ListParagraph"/>
        <w:numPr>
          <w:ilvl w:val="0"/>
          <w:numId w:val="2"/>
        </w:numPr>
        <w:spacing w:after="60" w:before="60"/>
      </w:pPr>
      <w:r>
        <w:rPr>
          <w:rFonts w:ascii="Arial" w:cs="Arial" w:eastAsia="Arial" w:hAnsi="Arial"/>
          <w:sz w:val="22"/>
          <w:szCs w:val="22"/>
        </w:rPr>
        <w:t xml:space="preserve">All externally reachable IP space assigned to Acme Financial Corporation (34.xx.xx.0/22, 198.xx.xx.0/24)</w:t>
      </w:r>
    </w:p>
    <w:p>
      <w:pPr>
        <w:pStyle w:val="ListParagraph"/>
        <w:numPr>
          <w:ilvl w:val="0"/>
          <w:numId w:val="2"/>
        </w:numPr>
        <w:spacing w:after="60" w:before="60"/>
      </w:pPr>
      <w:r>
        <w:rPr>
          <w:rFonts w:ascii="Arial" w:cs="Arial" w:eastAsia="Arial" w:hAnsi="Arial"/>
          <w:sz w:val="22"/>
          <w:szCs w:val="22"/>
        </w:rPr>
        <w:t xml:space="preserve">acmecorp.com and all resolvable subdomains</w:t>
      </w:r>
    </w:p>
    <w:p>
      <w:pPr>
        <w:pStyle w:val="ListParagraph"/>
        <w:numPr>
          <w:ilvl w:val="0"/>
          <w:numId w:val="2"/>
        </w:numPr>
        <w:spacing w:after="60" w:before="60"/>
      </w:pPr>
      <w:r>
        <w:rPr>
          <w:rFonts w:ascii="Arial" w:cs="Arial" w:eastAsia="Arial" w:hAnsi="Arial"/>
          <w:sz w:val="22"/>
          <w:szCs w:val="22"/>
        </w:rPr>
        <w:t xml:space="preserve">Internal network upon establishment of a foothold by any means</w:t>
      </w:r>
    </w:p>
    <w:p>
      <w:pPr>
        <w:pStyle w:val="ListParagraph"/>
        <w:numPr>
          <w:ilvl w:val="0"/>
          <w:numId w:val="2"/>
        </w:numPr>
        <w:spacing w:after="60" w:before="60"/>
      </w:pPr>
      <w:r>
        <w:rPr>
          <w:rFonts w:ascii="Arial" w:cs="Arial" w:eastAsia="Arial" w:hAnsi="Arial"/>
          <w:sz w:val="22"/>
          <w:szCs w:val="22"/>
        </w:rPr>
        <w:t xml:space="preserve">Physical facilities: Westlake Operations Center and downtown Houston branch office</w:t>
      </w:r>
    </w:p>
    <w:p>
      <w:pPr>
        <w:pStyle w:val="ListParagraph"/>
        <w:numPr>
          <w:ilvl w:val="0"/>
          <w:numId w:val="2"/>
        </w:numPr>
        <w:spacing w:after="60" w:before="60"/>
      </w:pPr>
      <w:r>
        <w:rPr>
          <w:rFonts w:ascii="Arial" w:cs="Arial" w:eastAsia="Arial" w:hAnsi="Arial"/>
          <w:sz w:val="22"/>
          <w:szCs w:val="22"/>
        </w:rPr>
        <w:t xml:space="preserve">Social engineering via email, telephone, and in-person against all non-executive employees</w:t>
      </w:r>
    </w:p>
    <w:p>
      <w:pPr>
        <w:pStyle w:val="ListParagraph"/>
        <w:numPr>
          <w:ilvl w:val="0"/>
          <w:numId w:val="2"/>
        </w:numPr>
        <w:spacing w:after="60" w:before="60"/>
      </w:pPr>
      <w:r>
        <w:rPr>
          <w:rFonts w:ascii="Arial" w:cs="Arial" w:eastAsia="Arial" w:hAnsi="Arial"/>
          <w:sz w:val="22"/>
          <w:szCs w:val="22"/>
        </w:rPr>
        <w:t xml:space="preserve">Third-party vendor portals and SaaS platforms accessible with Acme credentials</w:t>
      </w:r>
    </w:p>
    <w:p>
      <w:pPr>
        <w:pStyle w:val="Heading2"/>
        <w:spacing w:after="120" w:before="240"/>
      </w:pPr>
      <w:r>
        <w:rPr>
          <w:rFonts w:ascii="Arial" w:cs="Arial" w:eastAsia="Arial" w:hAnsi="Arial"/>
          <w:b/>
          <w:bCs/>
          <w:color w:val="2E5184"/>
          <w:sz w:val="28"/>
          <w:szCs w:val="28"/>
        </w:rPr>
        <w:t xml:space="preserve">2.2 Out of Scope</w:t>
      </w:r>
    </w:p>
    <w:p>
      <w:pPr>
        <w:pStyle w:val="ListParagraph"/>
        <w:numPr>
          <w:ilvl w:val="0"/>
          <w:numId w:val="2"/>
        </w:numPr>
        <w:spacing w:after="60" w:before="60"/>
      </w:pPr>
      <w:r>
        <w:rPr>
          <w:rFonts w:ascii="Arial" w:cs="Arial" w:eastAsia="Arial" w:hAnsi="Arial"/>
          <w:sz w:val="22"/>
          <w:szCs w:val="22"/>
        </w:rPr>
        <w:t xml:space="preserve">C-suite executives and their direct executive assistants</w:t>
      </w:r>
    </w:p>
    <w:p>
      <w:pPr>
        <w:pStyle w:val="ListParagraph"/>
        <w:numPr>
          <w:ilvl w:val="0"/>
          <w:numId w:val="2"/>
        </w:numPr>
        <w:spacing w:after="60" w:before="60"/>
      </w:pPr>
      <w:r>
        <w:rPr>
          <w:rFonts w:ascii="Arial" w:cs="Arial" w:eastAsia="Arial" w:hAnsi="Arial"/>
          <w:sz w:val="22"/>
          <w:szCs w:val="22"/>
        </w:rPr>
        <w:t xml:space="preserve">Destructive actions against production systems — read-only exfiltration simulation only</w:t>
      </w:r>
    </w:p>
    <w:p>
      <w:pPr>
        <w:pStyle w:val="ListParagraph"/>
        <w:numPr>
          <w:ilvl w:val="0"/>
          <w:numId w:val="2"/>
        </w:numPr>
        <w:spacing w:after="60" w:before="60"/>
      </w:pPr>
      <w:r>
        <w:rPr>
          <w:rFonts w:ascii="Arial" w:cs="Arial" w:eastAsia="Arial" w:hAnsi="Arial"/>
          <w:sz w:val="22"/>
          <w:szCs w:val="22"/>
        </w:rPr>
        <w:t xml:space="preserve">Denial-of-service techniques against any production infrastructure</w:t>
      </w:r>
    </w:p>
    <w:p>
      <w:pPr>
        <w:pStyle w:val="Heading2"/>
        <w:spacing w:after="120" w:before="240"/>
      </w:pPr>
      <w:r>
        <w:rPr>
          <w:rFonts w:ascii="Arial" w:cs="Arial" w:eastAsia="Arial" w:hAnsi="Arial"/>
          <w:b/>
          <w:bCs/>
          <w:color w:val="2E5184"/>
          <w:sz w:val="28"/>
          <w:szCs w:val="28"/>
        </w:rPr>
        <w:t xml:space="preserve">2.3 Threat Model</w:t>
      </w:r>
    </w:p>
    <w:p>
      <w:pPr>
        <w:spacing w:after="100" w:before="80"/>
        <w:jc w:val="left"/>
      </w:pPr>
      <w:r>
        <w:rPr>
          <w:rFonts w:ascii="Arial" w:cs="Arial" w:eastAsia="Arial" w:hAnsi="Arial"/>
          <w:sz w:val="22"/>
          <w:szCs w:val="22"/>
        </w:rPr>
        <w:t xml:space="preserve">The red team operated under two threat profiles throughout the engagement:</w:t>
      </w:r>
    </w:p>
    <w:p>
      <w:pPr>
        <w:pStyle w:val="ListParagraph"/>
        <w:numPr>
          <w:ilvl w:val="0"/>
          <w:numId w:val="2"/>
        </w:numPr>
        <w:spacing w:after="60" w:before="60"/>
      </w:pPr>
      <w:r>
        <w:rPr>
          <w:rFonts w:ascii="Arial" w:cs="Arial" w:eastAsia="Arial" w:hAnsi="Arial"/>
          <w:sz w:val="22"/>
          <w:szCs w:val="22"/>
        </w:rPr>
        <w:t xml:space="preserve">Primary: Financially motivated external threat actor with moderate-to-high technical sophistication, analogous to FIN7 or Scattered Spider. Goals: credential theft, financial data access, ransomware positioning.</w:t>
      </w:r>
    </w:p>
    <w:p>
      <w:pPr>
        <w:pStyle w:val="ListParagraph"/>
        <w:numPr>
          <w:ilvl w:val="0"/>
          <w:numId w:val="2"/>
        </w:numPr>
        <w:spacing w:after="60" w:before="60"/>
      </w:pPr>
      <w:r>
        <w:rPr>
          <w:rFonts w:ascii="Arial" w:cs="Arial" w:eastAsia="Arial" w:hAnsi="Arial"/>
          <w:sz w:val="22"/>
          <w:szCs w:val="22"/>
        </w:rPr>
        <w:t xml:space="preserve">Secondary: Malicious insider with legitimate domain credentials and physical access, using internal position to escalate privileges and exfiltrate data.</w:t>
      </w:r>
    </w:p>
    <w:p>
      <w:pPr>
        <w:pStyle w:val="Heading2"/>
        <w:spacing w:after="120" w:before="240"/>
      </w:pPr>
      <w:r>
        <w:rPr>
          <w:rFonts w:ascii="Arial" w:cs="Arial" w:eastAsia="Arial" w:hAnsi="Arial"/>
          <w:b/>
          <w:bCs/>
          <w:color w:val="2E5184"/>
          <w:sz w:val="28"/>
          <w:szCs w:val="28"/>
        </w:rPr>
        <w:t xml:space="preserve">2.4 Impact Rating Methodology</w:t>
      </w:r>
    </w:p>
    <w:p>
      <w:pPr>
        <w:spacing w:after="100" w:before="80"/>
        <w:jc w:val="left"/>
      </w:pPr>
      <w:r>
        <w:rPr>
          <w:rFonts w:ascii="Arial" w:cs="Arial" w:eastAsia="Arial" w:hAnsi="Arial"/>
          <w:sz w:val="22"/>
          <w:szCs w:val="22"/>
        </w:rPr>
        <w:t xml:space="preserve">All findings in this report are rated based on the direct business impact of successful exploitation as observed or demonstrated during the engagement. No credit is given for existing compensating controls. A vulnerability is rated on what an attacker can do if they exploit it — not on how difficult that exploitation might be or what defenses may be partially in place. The intent is to present an accurate picture of organizational exposure, not an adjusted score that could create false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5184"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Rating</w:t>
            </w:r>
          </w:p>
        </w:tc>
        <w:tc>
          <w:tcPr>
            <w:tcW w:type="dxa" w:w="7560"/>
            <w:tcBorders>
              <w:top w:val="single" w:color="CCCCCC" w:sz="1"/>
              <w:left w:val="single" w:color="CCCCCC" w:sz="1"/>
              <w:bottom w:val="single" w:color="CCCCCC" w:sz="1"/>
              <w:right w:val="single" w:color="CCCCCC" w:sz="1"/>
            </w:tcBorders>
            <w:shd w:fill="2E5184"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922B21"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CRITICAL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Exploitation results in full organizational compromise, unrestricted data access, or direct financial loss. These findings represent existential-level risk.</w:t>
            </w:r>
          </w:p>
        </w:tc>
      </w:tr>
      <w:tr>
        <w:tc>
          <w:tcPr>
            <w:tcW w:type="dxa" w:w="1800"/>
            <w:tcBorders>
              <w:top w:val="single" w:color="CCCCCC" w:sz="1"/>
              <w:left w:val="single" w:color="CCCCCC" w:sz="1"/>
              <w:bottom w:val="single" w:color="CCCCCC" w:sz="1"/>
              <w:right w:val="single" w:color="CCCCCC" w:sz="1"/>
            </w:tcBorders>
            <w:shd w:fill="C0392B"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HIGH</w:t>
            </w:r>
          </w:p>
        </w:tc>
        <w:tc>
          <w:tcPr>
            <w:tcW w:type="dxa" w:w="7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Exploitation provides significant unauthorized access, enables lateral movement, or directly supports further compromise of critical assets.</w:t>
            </w:r>
          </w:p>
        </w:tc>
      </w:tr>
      <w:tr>
        <w:tc>
          <w:tcPr>
            <w:tcW w:type="dxa" w:w="1800"/>
            <w:tcBorders>
              <w:top w:val="single" w:color="CCCCCC" w:sz="1"/>
              <w:left w:val="single" w:color="CCCCCC" w:sz="1"/>
              <w:bottom w:val="single" w:color="CCCCCC" w:sz="1"/>
              <w:right w:val="single" w:color="CCCCCC" w:sz="1"/>
            </w:tcBorders>
            <w:shd w:fill="D4640E"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MEDIUM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Exploitation provides meaningful unauthorized access or information that assists an attacker but requires additional steps or conditions to reach critical impact.</w:t>
            </w:r>
          </w:p>
        </w:tc>
      </w:tr>
      <w:tr>
        <w:tc>
          <w:tcPr>
            <w:tcW w:type="dxa" w:w="1800"/>
            <w:tcBorders>
              <w:top w:val="single" w:color="CCCCCC" w:sz="1"/>
              <w:left w:val="single" w:color="CCCCCC" w:sz="1"/>
              <w:bottom w:val="single" w:color="CCCCCC" w:sz="1"/>
              <w:right w:val="single" w:color="CCCCCC" w:sz="1"/>
            </w:tcBorders>
            <w:shd w:fill="2471A3"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LOW</w:t>
            </w:r>
          </w:p>
        </w:tc>
        <w:tc>
          <w:tcPr>
            <w:tcW w:type="dxa" w:w="7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Exploitation yields limited impact in isolation but may contribute to a broader attack chain when combined with other findings.</w:t>
            </w:r>
          </w:p>
        </w:tc>
      </w:tr>
    </w:tbl>
    <w:p>
      <w:r>
        <w:br w:type="page"/>
      </w:r>
    </w:p>
    <w:p>
      <w:pPr>
        <w:pStyle w:val="Heading1"/>
        <w:pBdr>
          <w:bottom w:val="single" w:color="2E5184" w:sz="6" w:space="4"/>
        </w:pBdr>
        <w:spacing w:after="160" w:before="320"/>
      </w:pPr>
      <w:r>
        <w:rPr>
          <w:rFonts w:ascii="Arial" w:cs="Arial" w:eastAsia="Arial" w:hAnsi="Arial"/>
          <w:b/>
          <w:bCs/>
          <w:color w:val="1B2A4A"/>
          <w:sz w:val="36"/>
          <w:szCs w:val="36"/>
        </w:rPr>
        <w:t xml:space="preserve">3. Attack Path Narrative</w:t>
      </w:r>
    </w:p>
    <w:p>
      <w:pPr>
        <w:spacing w:after="100" w:before="80"/>
        <w:jc w:val="left"/>
      </w:pPr>
      <w:r>
        <w:rPr>
          <w:rFonts w:ascii="Arial" w:cs="Arial" w:eastAsia="Arial" w:hAnsi="Arial"/>
          <w:sz w:val="22"/>
          <w:szCs w:val="22"/>
        </w:rPr>
        <w:t xml:space="preserve">The following section documents the red team's campaign from initial reconnaissance through final objective completion. It is written as a continuous narrative to illustrate how individual findings chain together into a complete organizational compromise. Understanding the attack as a sequence — rather than a list of isolated vulnerabilities — is essential to appreciating the cumulative exposure Acme faces.</w:t>
      </w:r>
    </w:p>
    <w:p>
      <w:pPr>
        <w:spacing w:after="0" w:before="0"/>
      </w:pPr>
      <w:r>
        <w:t xml:space="preserve"/>
      </w:r>
    </w:p>
    <w:p>
      <w:pPr>
        <w:pStyle w:val="Heading2"/>
        <w:spacing w:after="120" w:before="240"/>
      </w:pPr>
      <w:r>
        <w:rPr>
          <w:rFonts w:ascii="Arial" w:cs="Arial" w:eastAsia="Arial" w:hAnsi="Arial"/>
          <w:b/>
          <w:bCs/>
          <w:color w:val="2E5184"/>
          <w:sz w:val="28"/>
          <w:szCs w:val="28"/>
        </w:rPr>
        <w:t xml:space="preserve">3.1 Pre-Engagement Reconnaissance (Weeks Prior to Kick-Off)</w:t>
      </w:r>
    </w:p>
    <w:p>
      <w:pPr>
        <w:spacing w:after="100" w:before="80"/>
        <w:jc w:val="left"/>
      </w:pPr>
      <w:r>
        <w:rPr>
          <w:rFonts w:ascii="Arial" w:cs="Arial" w:eastAsia="Arial" w:hAnsi="Arial"/>
          <w:sz w:val="22"/>
          <w:szCs w:val="22"/>
        </w:rPr>
        <w:t xml:space="preserve">Before the engagement formally began, the red team conducted passive open-source intelligence gathering against Acme's external footprint. LinkedIn enumerated 847 current employees including names, titles, office locations, and in several cases, technology references in personal profiles. Public job postings disclosed the internal technology stack in significant detail — specific EDR vendors, SIEM platforms, and VPN solutions were all referenced in postings for security analyst and network engineer positions.</w:t>
      </w:r>
    </w:p>
    <w:p>
      <w:pPr>
        <w:spacing w:after="100" w:before="80"/>
        <w:jc w:val="left"/>
      </w:pPr>
      <w:r>
        <w:rPr>
          <w:rFonts w:ascii="Arial" w:cs="Arial" w:eastAsia="Arial" w:hAnsi="Arial"/>
          <w:sz w:val="22"/>
          <w:szCs w:val="22"/>
        </w:rPr>
        <w:t xml:space="preserve">DNS enumeration identified 23 unique subdomains including portal.acmecorp.com, vpn.acmecorp.com, api.acmecorp.com, and an exposed development subdomain at dev-portal.acmecorp.com that was not listed in any public documentation. The external attack surface was broader than a typical organization of this size, and the volume of information available through passive means alone provided the operational foundation for every subsequent phase of the campaign.</w:t>
      </w:r>
    </w:p>
    <w:p>
      <w:pPr>
        <w:spacing w:after="100" w:before="80"/>
        <w:jc w:val="left"/>
      </w:pPr>
      <w:r>
        <w:rPr>
          <w:rFonts w:ascii="Arial" w:cs="Arial" w:eastAsia="Arial" w:hAnsi="Arial"/>
          <w:sz w:val="22"/>
          <w:szCs w:val="22"/>
        </w:rPr>
        <w:t xml:space="preserve">Thirty days prior to the start date, the red team registered acmecorp0-benefits[.]com and configured it with a matching SSL certificate and visual clone of Acme's HR benefits portal. The domain aged for the full 30-day period to reduce spam filter suspicion before any phishing emails were sent.</w:t>
      </w:r>
    </w:p>
    <w:p>
      <w:pPr>
        <w:spacing w:after="0" w:before="0"/>
      </w:pPr>
      <w:r>
        <w:t xml:space="preserve"/>
      </w:r>
    </w:p>
    <w:p>
      <w:pPr>
        <w:pStyle w:val="Heading2"/>
        <w:spacing w:after="120" w:before="240"/>
      </w:pPr>
      <w:r>
        <w:rPr>
          <w:rFonts w:ascii="Arial" w:cs="Arial" w:eastAsia="Arial" w:hAnsi="Arial"/>
          <w:b/>
          <w:bCs/>
          <w:color w:val="2E5184"/>
          <w:sz w:val="28"/>
          <w:szCs w:val="28"/>
        </w:rPr>
        <w:t xml:space="preserve">3.2 Initial Access — Phishing Campaign (Day 1)</w:t>
      </w:r>
    </w:p>
    <w:p>
      <w:pPr>
        <w:spacing w:after="100" w:before="80"/>
        <w:jc w:val="left"/>
      </w:pPr>
      <w:r>
        <w:rPr>
          <w:rFonts w:ascii="Arial" w:cs="Arial" w:eastAsia="Arial" w:hAnsi="Arial"/>
          <w:b/>
          <w:bCs/>
          <w:sz w:val="22"/>
          <w:szCs w:val="22"/>
        </w:rPr>
        <w:t xml:space="preserve">08:14 — </w:t>
      </w:r>
      <w:r>
        <w:rPr>
          <w:rFonts w:ascii="Arial" w:cs="Arial" w:eastAsia="Arial" w:hAnsi="Arial"/>
          <w:sz w:val="22"/>
          <w:szCs w:val="22"/>
        </w:rPr>
        <w:t xml:space="preserve">The red team delivered a phishing email to 47 Acme employees selected based on LinkedIn research. The email purported to come from Acme Human Resources and notified recipients that the annual benefits election window was closing in 48 hours. The sending domain passed SPF and DKIM checks because Acme's DMARC policy was set to </w:t>
      </w:r>
    </w:p>
    <w:p>
      <w:pPr>
        <w:spacing w:after="100" w:before="80"/>
        <w:jc w:val="left"/>
      </w:pPr>
      <w:r>
        <w:rPr>
          <w:rFonts w:ascii="Arial" w:cs="Arial" w:eastAsia="Arial" w:hAnsi="Arial"/>
          <w:b/>
          <w:bCs/>
          <w:sz w:val="22"/>
          <w:szCs w:val="22"/>
        </w:rPr>
        <w:t xml:space="preserve">p=none</w:t>
      </w:r>
      <w:r>
        <w:rPr>
          <w:rFonts w:ascii="Arial" w:cs="Arial" w:eastAsia="Arial" w:hAnsi="Arial"/>
          <w:sz w:val="22"/>
          <w:szCs w:val="22"/>
        </w:rPr>
        <w:t xml:space="preserve"> — meaning failed authentication resulted in delivery, not rejection. The email contained a link to the cloned benefits portal.</w:t>
      </w:r>
    </w:p>
    <w:p>
      <w:pPr>
        <w:spacing w:after="100" w:before="80"/>
        <w:jc w:val="left"/>
      </w:pPr>
      <w:r>
        <w:rPr>
          <w:rFonts w:ascii="Arial" w:cs="Arial" w:eastAsia="Arial" w:hAnsi="Arial"/>
          <w:b/>
          <w:bCs/>
          <w:sz w:val="22"/>
          <w:szCs w:val="22"/>
        </w:rPr>
        <w:t xml:space="preserve">09:02 — </w:t>
      </w:r>
      <w:r>
        <w:rPr>
          <w:rFonts w:ascii="Arial" w:cs="Arial" w:eastAsia="Arial" w:hAnsi="Arial"/>
          <w:sz w:val="22"/>
          <w:szCs w:val="22"/>
        </w:rPr>
        <w:t xml:space="preserve">The first credential was captured. An employee in the accounting department clicked the phishing link, was proxied in real time through the red team's Evilginx2 server to the legitimate Microsoft 365 authentication page, completed MFA using a push notification on their phone, and was redirected to the legitimate portal without ever seeing an error. Evilginx2 captured the post-MFA session cookie — the authenticated token that Microsoft 365 issues after both password and MFA are satisfied. The MFA control provided zero protection because it was bypassed at the session layer, not the authentication layer.</w:t>
      </w:r>
    </w:p>
    <w:p>
      <w:pPr>
        <w:spacing w:after="100" w:before="80"/>
        <w:jc w:val="left"/>
      </w:pPr>
      <w:r>
        <w:rPr>
          <w:rFonts w:ascii="Arial" w:cs="Arial" w:eastAsia="Arial" w:hAnsi="Arial"/>
          <w:sz w:val="22"/>
          <w:szCs w:val="22"/>
        </w:rPr>
        <w:t xml:space="preserve">By 11:00, 18 of 47 targeted employees had clicked the link and 11 had submitted credentials. The red team held 11 valid session tokens for Microsoft 365 and Azure AD. The email gateway flagged none of the phishing emails.</w:t>
      </w:r>
    </w:p>
    <w:p>
      <w:pPr>
        <w:spacing w:after="0" w:before="0"/>
      </w:pPr>
      <w:r>
        <w:t xml:space="preserve"/>
      </w:r>
    </w:p>
    <w:p>
      <w:pPr>
        <w:pStyle w:val="Heading2"/>
        <w:spacing w:after="120" w:before="240"/>
      </w:pPr>
      <w:r>
        <w:rPr>
          <w:rFonts w:ascii="Arial" w:cs="Arial" w:eastAsia="Arial" w:hAnsi="Arial"/>
          <w:b/>
          <w:bCs/>
          <w:color w:val="2E5184"/>
          <w:sz w:val="28"/>
          <w:szCs w:val="28"/>
        </w:rPr>
        <w:t xml:space="preserve">3.3 VPN Access and Internal Foothold (Day 1, Late Morning)</w:t>
      </w:r>
    </w:p>
    <w:p>
      <w:pPr>
        <w:spacing w:after="100" w:before="80"/>
        <w:jc w:val="left"/>
      </w:pPr>
      <w:r>
        <w:rPr>
          <w:rFonts w:ascii="Arial" w:cs="Arial" w:eastAsia="Arial" w:hAnsi="Arial"/>
          <w:b/>
          <w:bCs/>
          <w:sz w:val="22"/>
          <w:szCs w:val="22"/>
        </w:rPr>
        <w:t xml:space="preserve">11:22 — </w:t>
      </w:r>
      <w:r>
        <w:rPr>
          <w:rFonts w:ascii="Arial" w:cs="Arial" w:eastAsia="Arial" w:hAnsi="Arial"/>
          <w:sz w:val="22"/>
          <w:szCs w:val="22"/>
        </w:rPr>
        <w:t xml:space="preserve">Using credentials captured from the accounting employee, the red team connected to Acme's SSL VPN at vpn.acmecorp.com from a non-corporate virtual machine hosted at a residential IP address. The VPN gateway accepted the connection without requiring MFA, without validating that the connecting device was corporate-managed, and without flagging the geographic anomaly of a user whose credentials had been used from the Houston office minutes earlier now connecting from a different state. Full network access to the 10.10.0.0/16 corporate segment was granted immediately upon connection.</w:t>
      </w:r>
    </w:p>
    <w:p>
      <w:pPr>
        <w:spacing w:after="100" w:before="80"/>
        <w:jc w:val="left"/>
      </w:pPr>
      <w:r>
        <w:rPr>
          <w:rFonts w:ascii="Arial" w:cs="Arial" w:eastAsia="Arial" w:hAnsi="Arial"/>
          <w:sz w:val="22"/>
          <w:szCs w:val="22"/>
        </w:rPr>
        <w:t xml:space="preserve">This single point of failure collapsed the network perimeter. Every subsequent attack against internal infrastructure — Active Directory, servers, file shares, and the operations center network — flowed through this VPN connection.</w:t>
      </w:r>
    </w:p>
    <w:p>
      <w:pPr>
        <w:spacing w:after="0" w:before="0"/>
      </w:pPr>
      <w:r>
        <w:t xml:space="preserve"/>
      </w:r>
    </w:p>
    <w:p>
      <w:pPr>
        <w:pStyle w:val="Heading2"/>
        <w:spacing w:after="120" w:before="240"/>
      </w:pPr>
      <w:r>
        <w:rPr>
          <w:rFonts w:ascii="Arial" w:cs="Arial" w:eastAsia="Arial" w:hAnsi="Arial"/>
          <w:b/>
          <w:bCs/>
          <w:color w:val="2E5184"/>
          <w:sz w:val="28"/>
          <w:szCs w:val="28"/>
        </w:rPr>
        <w:t xml:space="preserve">3.4 Domain Compromise (Day 1, Afternoon)</w:t>
      </w:r>
    </w:p>
    <w:p>
      <w:pPr>
        <w:spacing w:after="100" w:before="80"/>
        <w:jc w:val="left"/>
      </w:pPr>
      <w:r>
        <w:rPr>
          <w:rFonts w:ascii="Arial" w:cs="Arial" w:eastAsia="Arial" w:hAnsi="Arial"/>
          <w:b/>
          <w:bCs/>
          <w:sz w:val="22"/>
          <w:szCs w:val="22"/>
        </w:rPr>
        <w:t xml:space="preserve">13:10 — </w:t>
      </w:r>
      <w:r>
        <w:rPr>
          <w:rFonts w:ascii="Arial" w:cs="Arial" w:eastAsia="Arial" w:hAnsi="Arial"/>
          <w:sz w:val="22"/>
          <w:szCs w:val="22"/>
        </w:rPr>
        <w:t xml:space="preserve">With a foothold on the internal network, the red team used standard tooling to enumerate Active Directory. Fourteen service accounts were identified with Service Principal Names (SPNs) configured, making them vulnerable to Kerberoasting. The attack requests Kerberos service tickets for these accounts — a normal, expected operation in Active Directory — and then attempts to crack the ticket offline. No domain privileges are required to perform this enumeration.</w:t>
      </w:r>
    </w:p>
    <w:p>
      <w:pPr>
        <w:spacing w:after="100" w:before="80"/>
        <w:jc w:val="left"/>
      </w:pPr>
      <w:r>
        <w:rPr>
          <w:rFonts w:ascii="Arial" w:cs="Arial" w:eastAsia="Arial" w:hAnsi="Arial"/>
          <w:b/>
          <w:bCs/>
          <w:sz w:val="22"/>
          <w:szCs w:val="22"/>
        </w:rPr>
        <w:t xml:space="preserve">13:44 — </w:t>
      </w:r>
      <w:r>
        <w:rPr>
          <w:rFonts w:ascii="Arial" w:cs="Arial" w:eastAsia="Arial" w:hAnsi="Arial"/>
          <w:sz w:val="22"/>
          <w:szCs w:val="22"/>
        </w:rPr>
        <w:t xml:space="preserve">Kerberoast attack executed. Fourteen ticket hashes captured and sent offline for cracking.</w:t>
      </w:r>
    </w:p>
    <w:p>
      <w:pPr>
        <w:spacing w:after="100" w:before="80"/>
        <w:jc w:val="left"/>
      </w:pPr>
      <w:r>
        <w:rPr>
          <w:rFonts w:ascii="Arial" w:cs="Arial" w:eastAsia="Arial" w:hAnsi="Arial"/>
          <w:b/>
          <w:bCs/>
          <w:sz w:val="22"/>
          <w:szCs w:val="22"/>
        </w:rPr>
        <w:t xml:space="preserve">14:21 — </w:t>
      </w:r>
      <w:r>
        <w:rPr>
          <w:rFonts w:ascii="Arial" w:cs="Arial" w:eastAsia="Arial" w:hAnsi="Arial"/>
          <w:sz w:val="22"/>
          <w:szCs w:val="22"/>
        </w:rPr>
        <w:t xml:space="preserve">First hash cracked: svc_backup, password Acme2023!. This account was a member of the Domain Admins group.</w:t>
      </w:r>
    </w:p>
    <w:p>
      <w:pPr>
        <w:spacing w:after="100" w:before="80"/>
        <w:jc w:val="left"/>
      </w:pPr>
      <w:r>
        <w:rPr>
          <w:rFonts w:ascii="Arial" w:cs="Arial" w:eastAsia="Arial" w:hAnsi="Arial"/>
          <w:b/>
          <w:bCs/>
          <w:sz w:val="22"/>
          <w:szCs w:val="22"/>
        </w:rPr>
        <w:t xml:space="preserve">17:22 — </w:t>
      </w:r>
      <w:r>
        <w:rPr>
          <w:rFonts w:ascii="Arial" w:cs="Arial" w:eastAsia="Arial" w:hAnsi="Arial"/>
          <w:sz w:val="22"/>
          <w:szCs w:val="22"/>
        </w:rPr>
        <w:t xml:space="preserve">Six of fourteen hashes cracked. Two cracked accounts — svc_backup and svc_monitoring — held Domain Administrator privileges. The red team now had unrestricted control of the acmecorp.local Active Directory domain: all domain-joined systems, group policy, the certificate authority, and every user account in the organization. Eleven hours and eight minutes had elapsed since the first phishing email was sent.</w:t>
      </w:r>
    </w:p>
    <w:p>
      <w:pPr>
        <w:spacing w:after="0" w:before="0"/>
      </w:pPr>
      <w:r>
        <w:t xml:space="preserve"/>
      </w:r>
    </w:p>
    <w:p>
      <w:pPr>
        <w:pStyle w:val="Heading2"/>
        <w:spacing w:after="120" w:before="240"/>
      </w:pPr>
      <w:r>
        <w:rPr>
          <w:rFonts w:ascii="Arial" w:cs="Arial" w:eastAsia="Arial" w:hAnsi="Arial"/>
          <w:b/>
          <w:bCs/>
          <w:color w:val="2E5184"/>
          <w:sz w:val="28"/>
          <w:szCs w:val="28"/>
        </w:rPr>
        <w:t xml:space="preserve">3.5 Lateral Movement and Credential Harvesting (Days 2-3)</w:t>
      </w:r>
    </w:p>
    <w:p>
      <w:pPr>
        <w:spacing w:after="100" w:before="80"/>
        <w:jc w:val="left"/>
      </w:pPr>
      <w:r>
        <w:rPr>
          <w:rFonts w:ascii="Arial" w:cs="Arial" w:eastAsia="Arial" w:hAnsi="Arial"/>
          <w:sz w:val="22"/>
          <w:szCs w:val="22"/>
        </w:rPr>
        <w:t xml:space="preserve">With domain administrator credentials, the red team deployed Mimikatz against the memory of the initial compromised host. Because Windows Credential Guard was not enabled on any domain-joined endpoint, NTLM hashes for all accounts that had recently authenticated to that machine were available in the LSASS process. These hashes do not require decryption — they can be used directly in pass-the-hash attacks to authenticate to other systems.</w:t>
      </w:r>
    </w:p>
    <w:p>
      <w:pPr>
        <w:spacing w:after="100" w:before="80"/>
        <w:jc w:val="left"/>
      </w:pPr>
      <w:r>
        <w:rPr>
          <w:rFonts w:ascii="Arial" w:cs="Arial" w:eastAsia="Arial" w:hAnsi="Arial"/>
          <w:sz w:val="22"/>
          <w:szCs w:val="22"/>
        </w:rPr>
        <w:t xml:space="preserve">Over the following 48 hours, the red team moved laterally across 14 servers using this technique: the primary domain controller (DC01), three financial reporting servers, the document management system, two database servers, and the file server cluster. Each pivot was performed using built-in Windows tooling and generated no alerts. The technique is invisible to any detection capability that is not specifically looking for unusual NTLM authentication patterns or behavioral anomalies in authentication logs.</w:t>
      </w:r>
    </w:p>
    <w:p>
      <w:pPr>
        <w:spacing w:after="100" w:before="80"/>
        <w:jc w:val="left"/>
      </w:pPr>
      <w:r>
        <w:rPr>
          <w:rFonts w:ascii="Arial" w:cs="Arial" w:eastAsia="Arial" w:hAnsi="Arial"/>
          <w:sz w:val="22"/>
          <w:szCs w:val="22"/>
        </w:rPr>
        <w:t xml:space="preserve">During this phase, additional credentials were harvested including a service account with access to the core banking integration middleware and the credentials for a local administrator account shared across 64 servers — a common legacy configuration that dramatically simplifies lateral movement for an attacker once any one machine is compromised.</w:t>
      </w:r>
    </w:p>
    <w:p>
      <w:pPr>
        <w:spacing w:after="0" w:before="0"/>
      </w:pPr>
      <w:r>
        <w:t xml:space="preserve"/>
      </w:r>
    </w:p>
    <w:p>
      <w:pPr>
        <w:pStyle w:val="Heading2"/>
        <w:spacing w:after="120" w:before="240"/>
      </w:pPr>
      <w:r>
        <w:rPr>
          <w:rFonts w:ascii="Arial" w:cs="Arial" w:eastAsia="Arial" w:hAnsi="Arial"/>
          <w:b/>
          <w:bCs/>
          <w:color w:val="2E5184"/>
          <w:sz w:val="28"/>
          <w:szCs w:val="28"/>
        </w:rPr>
        <w:t xml:space="preserve">3.6 Physical Intrusion — Westlake Operations Center (Day 4)</w:t>
      </w:r>
    </w:p>
    <w:p>
      <w:pPr>
        <w:spacing w:after="100" w:before="80"/>
        <w:jc w:val="left"/>
      </w:pPr>
      <w:r>
        <w:rPr>
          <w:rFonts w:ascii="Arial" w:cs="Arial" w:eastAsia="Arial" w:hAnsi="Arial"/>
          <w:sz w:val="22"/>
          <w:szCs w:val="22"/>
        </w:rPr>
        <w:t xml:space="preserve">Parallel to the technical campaign, a second red team operator conducted physical reconnaissance of the Westlake Operations Center on Days 2 and 3. Observation of employees and contractors in the area around the facility identified the badge technology in use as HID 125kHz Proximity — a format that has been considered cryptographically broken since 2007 and can be cloned silently at close range using commercially available hardware.</w:t>
      </w:r>
    </w:p>
    <w:p>
      <w:pPr>
        <w:spacing w:after="100" w:before="80"/>
        <w:jc w:val="left"/>
      </w:pPr>
      <w:r>
        <w:rPr>
          <w:rFonts w:ascii="Arial" w:cs="Arial" w:eastAsia="Arial" w:hAnsi="Arial"/>
          <w:b/>
          <w:bCs/>
          <w:sz w:val="22"/>
          <w:szCs w:val="22"/>
        </w:rPr>
        <w:t xml:space="preserve">Day 4, 08:50 — </w:t>
      </w:r>
      <w:r>
        <w:rPr>
          <w:rFonts w:ascii="Arial" w:cs="Arial" w:eastAsia="Arial" w:hAnsi="Arial"/>
          <w:sz w:val="22"/>
          <w:szCs w:val="22"/>
        </w:rPr>
        <w:t xml:space="preserve">A contractor exiting a nearby coffee shop was identified as likely working at the facility based on visible badge and attire. A red team operator equipped with a Proxmark3 RDV4 in a backpack passed within reading distance of the contractor at the coffee counter. The badge was cloned without physical contact, without the contractor's awareness, and without any alarm.</w:t>
      </w:r>
    </w:p>
    <w:p>
      <w:pPr>
        <w:spacing w:after="100" w:before="80"/>
        <w:jc w:val="left"/>
      </w:pPr>
      <w:r>
        <w:rPr>
          <w:rFonts w:ascii="Arial" w:cs="Arial" w:eastAsia="Arial" w:hAnsi="Arial"/>
          <w:b/>
          <w:bCs/>
          <w:sz w:val="22"/>
          <w:szCs w:val="22"/>
        </w:rPr>
        <w:t xml:space="preserve">Day 4, 09:44 — </w:t>
      </w:r>
      <w:r>
        <w:rPr>
          <w:rFonts w:ascii="Arial" w:cs="Arial" w:eastAsia="Arial" w:hAnsi="Arial"/>
          <w:sz w:val="22"/>
          <w:szCs w:val="22"/>
        </w:rPr>
        <w:t xml:space="preserve">The red team operator presented the cloned badge at the loading dock access panel. The door opened. Over the next 22 minutes, the operator traversed three additional badge-controlled doors by walking closely behind employees — no individual challenged the operator or asked for identification. The security desk in the main lobby was unstaffed. The operator reached the server room on the second floor (Rack Row C), plugged a compact implant device into an open switch port, photographed the rack layout, and exited the facility without incident.</w:t>
      </w:r>
    </w:p>
    <w:p>
      <w:pPr>
        <w:spacing w:after="100" w:before="80"/>
        <w:jc w:val="left"/>
      </w:pPr>
      <w:r>
        <w:rPr>
          <w:rFonts w:ascii="Arial" w:cs="Arial" w:eastAsia="Arial" w:hAnsi="Arial"/>
          <w:sz w:val="22"/>
          <w:szCs w:val="22"/>
        </w:rPr>
        <w:t xml:space="preserve">The implant device established an outbound LTE-based command-and-control channel. This channel operated completely independently of Acme's network and would have survived firewall rule changes, VPN termination, or any network-layer defensive response. It represented a persistent physical backdoor into the internal network infrastructure.</w:t>
      </w:r>
    </w:p>
    <w:p>
      <w:pPr>
        <w:spacing w:after="0" w:before="0"/>
      </w:pPr>
      <w:r>
        <w:t xml:space="preserve"/>
      </w:r>
    </w:p>
    <w:p>
      <w:pPr>
        <w:pStyle w:val="Heading2"/>
        <w:spacing w:after="120" w:before="240"/>
      </w:pPr>
      <w:r>
        <w:rPr>
          <w:rFonts w:ascii="Arial" w:cs="Arial" w:eastAsia="Arial" w:hAnsi="Arial"/>
          <w:b/>
          <w:bCs/>
          <w:color w:val="2E5184"/>
          <w:sz w:val="28"/>
          <w:szCs w:val="28"/>
        </w:rPr>
        <w:t xml:space="preserve">3.7 Establishing Persistence (Days 5-7)</w:t>
      </w:r>
    </w:p>
    <w:p>
      <w:pPr>
        <w:spacing w:after="100" w:before="80"/>
        <w:jc w:val="left"/>
      </w:pPr>
      <w:r>
        <w:rPr>
          <w:rFonts w:ascii="Arial" w:cs="Arial" w:eastAsia="Arial" w:hAnsi="Arial"/>
          <w:sz w:val="22"/>
          <w:szCs w:val="22"/>
        </w:rPr>
        <w:t xml:space="preserve">With full domain control and a physical implant in place, the red team established three independent persistence mechanisms to simulate an attacker ensuring long-term access regardless of partial detection and remediation:</w:t>
      </w:r>
    </w:p>
    <w:p>
      <w:pPr>
        <w:pStyle w:val="ListParagraph"/>
        <w:numPr>
          <w:ilvl w:val="0"/>
          <w:numId w:val="2"/>
        </w:numPr>
        <w:spacing w:after="60" w:before="60"/>
      </w:pPr>
      <w:r>
        <w:rPr>
          <w:rFonts w:ascii="Arial" w:cs="Arial" w:eastAsia="Arial" w:hAnsi="Arial"/>
          <w:sz w:val="22"/>
          <w:szCs w:val="22"/>
        </w:rPr>
        <w:t xml:space="preserve">Golden Ticket: The KRBTGT account hash was extracted from the domain controller. A Golden Ticket allows an attacker to forge Kerberos tickets for any account in the domain — indefinitely — without touching Active Directory again. Even a password reset of a compromised account would not invalidate a Golden Ticket. The only remediation is a double-rotation of the KRBTGT account password, a disruptive operation that many organizations avoid precisely because of its complexity.</w:t>
      </w:r>
    </w:p>
    <w:p>
      <w:pPr>
        <w:pStyle w:val="ListParagraph"/>
        <w:numPr>
          <w:ilvl w:val="0"/>
          <w:numId w:val="2"/>
        </w:numPr>
        <w:spacing w:after="60" w:before="60"/>
      </w:pPr>
      <w:r>
        <w:rPr>
          <w:rFonts w:ascii="Arial" w:cs="Arial" w:eastAsia="Arial" w:hAnsi="Arial"/>
          <w:sz w:val="22"/>
          <w:szCs w:val="22"/>
        </w:rPr>
        <w:t xml:space="preserve">Scheduled Task Persistence: A scheduled task was created on three geographically distributed domain controllers using a renamed, signed Microsoft binary as a host process. The task was configured to run at 3:00 AM daily and established a callback to a Cloudflare Workers endpoint over HTTPS — traffic indistinguishable from routine SaaS API calls.</w:t>
      </w:r>
    </w:p>
    <w:p>
      <w:pPr>
        <w:pStyle w:val="ListParagraph"/>
        <w:numPr>
          <w:ilvl w:val="0"/>
          <w:numId w:val="2"/>
        </w:numPr>
        <w:spacing w:after="60" w:before="60"/>
      </w:pPr>
      <w:r>
        <w:rPr>
          <w:rFonts w:ascii="Arial" w:cs="Arial" w:eastAsia="Arial" w:hAnsi="Arial"/>
          <w:sz w:val="22"/>
          <w:szCs w:val="22"/>
        </w:rPr>
        <w:t xml:space="preserve">Rogue Active Directory Object: A new AD computer object was created with a randomized name consistent with Acme's naming convention. This object held a machine certificate obtained from the internal certificate authority and could be used to authenticate as a domain-joined system, bypassing controls that validate device identity.</w:t>
      </w:r>
    </w:p>
    <w:p>
      <w:pPr>
        <w:spacing w:after="100" w:before="80"/>
        <w:jc w:val="left"/>
      </w:pPr>
      <w:r>
        <w:rPr>
          <w:rFonts w:ascii="Arial" w:cs="Arial" w:eastAsia="Arial" w:hAnsi="Arial"/>
          <w:sz w:val="22"/>
          <w:szCs w:val="22"/>
        </w:rPr>
        <w:t xml:space="preserve">All three persistence mechanisms survived the full 25-day campaign without detection.</w:t>
      </w:r>
    </w:p>
    <w:p>
      <w:pPr>
        <w:spacing w:after="0" w:before="0"/>
      </w:pPr>
      <w:r>
        <w:t xml:space="preserve"/>
      </w:r>
    </w:p>
    <w:p>
      <w:pPr>
        <w:pStyle w:val="Heading2"/>
        <w:spacing w:after="120" w:before="240"/>
      </w:pPr>
      <w:r>
        <w:rPr>
          <w:rFonts w:ascii="Arial" w:cs="Arial" w:eastAsia="Arial" w:hAnsi="Arial"/>
          <w:b/>
          <w:bCs/>
          <w:color w:val="2E5184"/>
          <w:sz w:val="28"/>
          <w:szCs w:val="28"/>
        </w:rPr>
        <w:t xml:space="preserve">3.8 Data Exfiltration (Days 8-22)</w:t>
      </w:r>
    </w:p>
    <w:p>
      <w:pPr>
        <w:spacing w:after="100" w:before="80"/>
        <w:jc w:val="left"/>
      </w:pPr>
      <w:r>
        <w:rPr>
          <w:rFonts w:ascii="Arial" w:cs="Arial" w:eastAsia="Arial" w:hAnsi="Arial"/>
          <w:sz w:val="22"/>
          <w:szCs w:val="22"/>
        </w:rPr>
        <w:t xml:space="preserve">Beginning on Day 8, the red team initiated simulated exfiltration of a dataset structured to match Acme's customer account schema. The dataset contained 2.3 million records with field names, data types, and record sizes matching what was observed on the database servers during lateral movement. No actual customer data was accessed or retained — the structure and volume were the operative variables being tested.</w:t>
      </w:r>
    </w:p>
    <w:p>
      <w:pPr>
        <w:spacing w:after="100" w:before="80"/>
        <w:jc w:val="left"/>
      </w:pPr>
      <w:r>
        <w:rPr>
          <w:rFonts w:ascii="Arial" w:cs="Arial" w:eastAsia="Arial" w:hAnsi="Arial"/>
          <w:sz w:val="22"/>
          <w:szCs w:val="22"/>
        </w:rPr>
        <w:t xml:space="preserve">Exfiltration occurred via HTTPS POST requests to a red team-controlled Cloudflare Workers endpoint, distributed across 14 days at a rate of roughly 165,000 records per day. The total outbound data volume was approximately 4.1 gigabytes — a figure that would represent an unusual but not impossible spike in a typical enterprise environment. The proxy gateway performed TLS inspection on less than 15% of outbound HTTPS traffic, and the exfiltration destination was categorized as a known cloud provider, reducing its likelihood of triggering any content-based filtering rule.</w:t>
      </w:r>
    </w:p>
    <w:p>
      <w:pPr>
        <w:spacing w:after="100" w:before="80"/>
        <w:jc w:val="left"/>
      </w:pPr>
      <w:r>
        <w:rPr>
          <w:rFonts w:ascii="Arial" w:cs="Arial" w:eastAsia="Arial" w:hAnsi="Arial"/>
          <w:sz w:val="22"/>
          <w:szCs w:val="22"/>
        </w:rPr>
        <w:t xml:space="preserve">No DLP alert was generated. No SIEM rule fired. No analyst flagged the traffic during review. The exfiltration concluded on Day 22 with all simulated data transferred to the red team's external infrastructure.</w:t>
      </w:r>
    </w:p>
    <w:p>
      <w:pPr>
        <w:spacing w:after="0" w:before="0"/>
      </w:pPr>
      <w:r>
        <w:t xml:space="preserve"/>
      </w:r>
    </w:p>
    <w:p>
      <w:pPr>
        <w:pStyle w:val="Heading2"/>
        <w:spacing w:after="120" w:before="240"/>
      </w:pPr>
      <w:r>
        <w:rPr>
          <w:rFonts w:ascii="Arial" w:cs="Arial" w:eastAsia="Arial" w:hAnsi="Arial"/>
          <w:b/>
          <w:bCs/>
          <w:color w:val="2E5184"/>
          <w:sz w:val="28"/>
          <w:szCs w:val="28"/>
        </w:rPr>
        <w:t xml:space="preserve">3.9 Disclosure (Day 28)</w:t>
      </w:r>
    </w:p>
    <w:p>
      <w:pPr>
        <w:spacing w:after="100" w:before="80"/>
        <w:jc w:val="left"/>
      </w:pPr>
      <w:r>
        <w:rPr>
          <w:rFonts w:ascii="Arial" w:cs="Arial" w:eastAsia="Arial" w:hAnsi="Arial"/>
          <w:sz w:val="22"/>
          <w:szCs w:val="22"/>
        </w:rPr>
        <w:t xml:space="preserve">On March 28, the red team contacted the CISO and CEO to initiate the close-out process per the rules of engagement. A walkthrough was conducted with the security team at which the red team demonstrated each stage of the kill chain, identified all persistence mechanisms, and turned over the physical implant device. At the time of disclosure, the SOC had generated zero security alerts attributable to red team activity across the entire 25-day campaign.</w:t>
      </w:r>
    </w:p>
    <w:p>
      <w:pPr>
        <w:spacing w:after="100" w:before="80"/>
        <w:jc w:val="left"/>
      </w:pPr>
      <w:r>
        <w:rPr>
          <w:rFonts w:ascii="Arial" w:cs="Arial" w:eastAsia="Arial" w:hAnsi="Arial"/>
          <w:sz w:val="22"/>
          <w:szCs w:val="22"/>
        </w:rPr>
        <w:t xml:space="preserve">The MITRE ATT&amp;CK technique mapping covering every tactic and technique used during this engagement is included in Appendix G.</w:t>
      </w:r>
    </w:p>
    <w:p>
      <w:r>
        <w:br w:type="page"/>
      </w:r>
    </w:p>
    <w:p>
      <w:pPr>
        <w:pStyle w:val="Heading1"/>
        <w:pBdr>
          <w:bottom w:val="single" w:color="2E5184" w:sz="6" w:space="4"/>
        </w:pBdr>
        <w:spacing w:after="160" w:before="320"/>
      </w:pPr>
      <w:r>
        <w:rPr>
          <w:rFonts w:ascii="Arial" w:cs="Arial" w:eastAsia="Arial" w:hAnsi="Arial"/>
          <w:b/>
          <w:bCs/>
          <w:color w:val="1B2A4A"/>
          <w:sz w:val="36"/>
          <w:szCs w:val="36"/>
        </w:rPr>
        <w:t xml:space="preserve">4. Detailed Findings</w:t>
      </w:r>
    </w:p>
    <w:p>
      <w:pPr>
        <w:spacing w:after="100" w:before="80"/>
        <w:jc w:val="left"/>
      </w:pPr>
      <w:r>
        <w:rPr>
          <w:rFonts w:ascii="Arial" w:cs="Arial" w:eastAsia="Arial" w:hAnsi="Arial"/>
          <w:sz w:val="22"/>
          <w:szCs w:val="22"/>
        </w:rPr>
        <w:t xml:space="preserve">Each finding below is documented as observed during the engagement. Impact ratings reflect what an attacker achieved or could achieve through exploitation, independent of any controls that were or were not in place. Recommendations are provided at a directional level — the appropriate implementation for each will depend on Acme's architecture, operational constraints, and risk tolerance, which are best evaluated by the responsible subject matter experts.</w:t>
      </w:r>
    </w:p>
    <w:p>
      <w:pPr>
        <w:spacing w:after="0" w:before="0"/>
      </w:pPr>
      <w:r>
        <w:t xml:space="preserve"/>
      </w:r>
    </w:p>
    <w:p>
      <w:pPr>
        <w:pStyle w:val="Heading2"/>
        <w:spacing w:after="120" w:before="240"/>
      </w:pPr>
      <w:r>
        <w:rPr>
          <w:rFonts w:ascii="Arial" w:cs="Arial" w:eastAsia="Arial" w:hAnsi="Arial"/>
          <w:b/>
          <w:bCs/>
          <w:color w:val="2E5184"/>
          <w:sz w:val="28"/>
          <w:szCs w:val="28"/>
        </w:rPr>
        <w:t xml:space="preserve">4.1 Critical Impact Findings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RT-001  |  </w:t>
            </w:r>
            <w:r>
              <w:rPr>
                <w:rFonts w:ascii="Arial" w:cs="Arial" w:eastAsia="Arial" w:hAnsi="Arial"/>
                <w:b/>
                <w:bCs/>
                <w:color w:val="FFFFFF"/>
                <w:sz w:val="24"/>
                <w:szCs w:val="24"/>
              </w:rPr>
              <w:t xml:space="preserve">Adversary-in-the-Middle Phishing — MFA Session Hijack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922B21" w:val="clear"/>
              </w:rPr>
              <w:t xml:space="preserve">  CRITICAL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Microsoft 365 tenant, Azure AD, VPN gateway (vpn.acmecorp.com)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 Evilginx2 adversary-in-the-middle proxy was deployed on a domain registered 30 days prior to engagement. Phishing emails impersonating the HR benefits portal were delivered to 47 employees. The proxy transparently forwards the victim's browser session to the legitimate Microsoft login page, captures the post-MFA session cookie in real time, and relays it to the attacker before the victim notices anything has occurred. Eleven session tokens were captured. No phishing email was quarantined.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Captured session tokens provided authenticated access to Microsoft 365, Azure AD, SharePoint, and Teams for each affected account. Because session tokens represent already-authenticated sessions, the attacker gains access regardless of the authentication method the victim used. From this initial access, domain administrator was achieved within the same business day. Had this been a real incident, the attacker would have had access to internal communications, financial data, wire transfer approvals, and the ability to conduct follow-on attacks against all business partners and clients who communicated with compromised accounts.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Evilginx2 session logs and captured token list are included in Appendix B. Phishing domain: acmecorp0-benefits[.]com. Email delivery confirmed via internal email relay logs shared during debrief.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Implement phishing-resistant authentication that cryptographically binds the authentication event to the legitimate origin domain. Evaluate controls that validate device posture before granting access to sensitive resources.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RT-002  |  </w:t>
            </w:r>
            <w:r>
              <w:rPr>
                <w:rFonts w:ascii="Arial" w:cs="Arial" w:eastAsia="Arial" w:hAnsi="Arial"/>
                <w:b/>
                <w:bCs/>
                <w:color w:val="FFFFFF"/>
                <w:sz w:val="24"/>
                <w:szCs w:val="24"/>
              </w:rPr>
              <w:t xml:space="preserve">Domain Compromise via Kerberoastable Service Accounts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922B21" w:val="clear"/>
              </w:rPr>
              <w:t xml:space="preserve">  CRITICAL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acmecorp.local Active Directory — 14 Kerberoastable accounts identified, 6 passwords cracked, 2 with Domain Admin membership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Any authenticated domain user can request Kerberos service tickets for accounts with Service Principal Names configured. These tickets are encrypted with the account's password hash and can be cracked offline with no further interaction with the domain. Six of fourteen service accounts yielded cracked passwords within 4 hours using a targeted wordlist. Two accounts — svc_backup and svc_monitoring — held Domain Administrator group membership.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Domain administrator access provided unrestricted control of all Active Directory objects, every domain-joined system, group policy, the internal certificate authority, and the ability to create, modify, or delete any account in the organization. This represents complete organizational compromise of the identity infrastructure. An attacker holding domain admin can establish persistence that survives endpoint reimaging, password resets, and most remediation actions short of a full Active Directory rebuild.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Cracked hashes and service account list included in Appendix C. Crack times: svc_backup (7 minutes), svc_monitoring (2 hours, 14 minutes). Full list of Kerberoastable accounts available in technical appendix.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Review service account password policies and privilege assignments. Evaluate managed service account options that remove static passwords from the equation.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RT-003  |  </w:t>
            </w:r>
            <w:r>
              <w:rPr>
                <w:rFonts w:ascii="Arial" w:cs="Arial" w:eastAsia="Arial" w:hAnsi="Arial"/>
                <w:b/>
                <w:bCs/>
                <w:color w:val="FFFFFF"/>
                <w:sz w:val="24"/>
                <w:szCs w:val="24"/>
              </w:rPr>
              <w:t xml:space="preserve">Unauthenticated VPN Access via Stolen Credentials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922B21" w:val="clear"/>
              </w:rPr>
              <w:t xml:space="preserve">  CRITICAL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vpn.acmecorp.com — Cisco AnyConnect gateway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The VPN gateway accepted username and password as the sole authentication requirement. No additional factor was enforced, no device certificate was validated, and no client health check was performed. The red team connected from a non-corporate virtual machine using credentials obtained via phishing. The connection was accepted from a residential IP in a different geographic region from the user's established access pattern.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VPN access placed the red team directly on the flat internal corporate network (10.10.0.0/16) with no segmentation applied to VPN client traffic. This single authentication failure enabled every subsequent internal attack phase — Active Directory enumeration, lateral movement, credential theft, and access to systems that had no direct internet exposure. The perimeter effectively did not exist.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Connection established at 11:22 on Day 1 from non-corporate IP. VPN client logs and session details included in Appendix 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Evaluate authentication requirements for remote access against the current threat landscape. Consider what access VPN clients receive upon connection and whether that access model remains appropriate.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RT-004  |  </w:t>
            </w:r>
            <w:r>
              <w:rPr>
                <w:rFonts w:ascii="Arial" w:cs="Arial" w:eastAsia="Arial" w:hAnsi="Arial"/>
                <w:b/>
                <w:bCs/>
                <w:color w:val="FFFFFF"/>
                <w:sz w:val="24"/>
                <w:szCs w:val="24"/>
              </w:rPr>
              <w:t xml:space="preserve">Physical Intrusion via Badge Cloning — Server Room Access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922B21" w:val="clear"/>
              </w:rPr>
              <w:t xml:space="preserve">  CRITICAL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Westlake Operations Center — loading dock, lobby, second-floor corridor, server room (Rack Row 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HID 125kHz Proximity badges were cloned using a Proxmark3 device at close range without the badge holder's awareness. The cloned badge provided access to the loading dock. Three subsequent access-controlled doors were bypassed through tailgating — no employee challenged the operator. The security desk was unstaffed. An implant device was installed in the server room and operated for the remainder of the engagement.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Physical access to the server room bypasses every network-layer and endpoint security control in place. The implant established an out-of-band LTE command-and-control channel that operated independently of Acme's network infrastructure and would have survived network-level incident response. An attacker with this level of access can connect to out-of-band management interfaces, capture credentials via hardware keyloggers, physically remove storage media, or deploy hardware implants that are essentially undetectable through software-based monitoring.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Cloned badge serial 0x3A991F. Access log timestamps included in Appendix D. Physical implant device turned over at debrief.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Evaluate current physical authentication technology against the threat model. Review staffing and procedural controls for secure facility access, including employee response expectations when encountering unescorted visitors in controlled areas.</w:t>
            </w:r>
          </w:p>
        </w:tc>
      </w:tr>
    </w:tbl>
    <w:p>
      <w:pPr>
        <w:spacing w:after="0" w:before="0"/>
      </w:pPr>
      <w:r>
        <w:t xml:space="preserve"/>
      </w:r>
    </w:p>
    <w:p>
      <w:pPr>
        <w:spacing w:after="0" w:before="0"/>
      </w:pPr>
      <w:r>
        <w:t xml:space="preserve"/>
      </w:r>
    </w:p>
    <w:p>
      <w:pPr>
        <w:pStyle w:val="Heading2"/>
        <w:spacing w:after="120" w:before="240"/>
      </w:pPr>
      <w:r>
        <w:rPr>
          <w:rFonts w:ascii="Arial" w:cs="Arial" w:eastAsia="Arial" w:hAnsi="Arial"/>
          <w:b/>
          <w:bCs/>
          <w:color w:val="2E5184"/>
          <w:sz w:val="28"/>
          <w:szCs w:val="28"/>
        </w:rPr>
        <w:t xml:space="preserve">4.2 High Impact Findings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RT-005  |  </w:t>
            </w:r>
            <w:r>
              <w:rPr>
                <w:rFonts w:ascii="Arial" w:cs="Arial" w:eastAsia="Arial" w:hAnsi="Arial"/>
                <w:b/>
                <w:bCs/>
                <w:color w:val="FFFFFF"/>
                <w:sz w:val="24"/>
                <w:szCs w:val="24"/>
              </w:rPr>
              <w:t xml:space="preserve">Unrestricted Lateral Movement via Pass-the-Hash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C0392B" w:val="clear"/>
              </w:rPr>
              <w:t xml:space="preserve">  HIGH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14 domain-joined servers including DC01, FIN-RPT-02, FIN-RPT-03, DMS-01, and the file server cluster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NTLM hashes for multiple accounts were extracted from LSASS process memory on the initial compromised host. These hashes were used directly to authenticate to 14 additional servers without requiring knowledge of plaintext passwords. The technique used only built-in Windows functionality and generated no security alerts.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Lateral movement across 14 servers — including the primary domain controller, financial reporting servers, and document management system — occurred without triggering any detection. An attacker can use this technique to reach any system where a targeted account has authenticated, rapidly expanding their foothold across the organization. Combined with a shared local administrator account discovered during this phase, an attacker could reach 64 additional servers with a single captured hash.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Tool output logs and list of compromised systems included in Appendix E (hashes redacted).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Evaluate endpoint credential protection controls and authentication architecture across domain-joined systems. Review local administrator account practices across the server estate.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RT-006  |  </w:t>
            </w:r>
            <w:r>
              <w:rPr>
                <w:rFonts w:ascii="Arial" w:cs="Arial" w:eastAsia="Arial" w:hAnsi="Arial"/>
                <w:b/>
                <w:bCs/>
                <w:color w:val="FFFFFF"/>
                <w:sz w:val="24"/>
                <w:szCs w:val="24"/>
              </w:rPr>
              <w:t xml:space="preserve">Undetected HTTPS Data Exfiltration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C0392B" w:val="clear"/>
              </w:rPr>
              <w:t xml:space="preserve">  HIGH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Corporate egress proxy — TLS inspection confirmed active on less than 15% of HTTPS traffic during engagement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 simulated dataset of 2.3 million customer records (structured to match Acme's account schema) was exfiltrated over 14 days via HTTPS POST requests to an external endpoint. The destination resolved through Cloudflare's CDN infrastructure. Exfiltration traffic was distributed to avoid volume spikes. No DLP alert, proxy alert, or SIEM rule triggered at any point during the 14-day exfiltration period.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The ability to exfiltrate millions of customer records over two weeks without detection represents a complete failure of the data protection program as currently implemented. A real incident of this scope would constitute a reportable breach under GLBA, applicable state data protection laws, and PCI-DSS if cardholder data were involved. The regulatory, legal, and reputational consequences of an undetected breach of this duration and volume would be severe.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Exfiltration logs with timestamps and cumulative byte counts included in Appendix F. C2 domain sinkholed at engagement close.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Review current data loss prevention capabilities and coverage. Evaluate whether outbound traffic inspection provides meaningful visibility into the volume and destination of data leaving the organization.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RT-007  |  </w:t>
            </w:r>
            <w:r>
              <w:rPr>
                <w:rFonts w:ascii="Arial" w:cs="Arial" w:eastAsia="Arial" w:hAnsi="Arial"/>
                <w:b/>
                <w:bCs/>
                <w:color w:val="FFFFFF"/>
                <w:sz w:val="24"/>
                <w:szCs w:val="24"/>
              </w:rPr>
              <w:t xml:space="preserve">Golden Ticket Persistence via Insufficient KRBTGT Controls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C0392B" w:val="clear"/>
              </w:rPr>
              <w:t xml:space="preserve">  HIGH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acmecorp.local — Domain controller (DC01), all domain-joined systems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The KRBTGT account password hash was extracted from the domain controller after domain administrator access was obtained. A forged Kerberos ticket (Golden Ticket) was generated using this hash. Golden Tickets allow an attacker to authenticate as any user in the domain — including accounts that do not exist — for the lifetime of the KRBTGT hash, which does not change unless administrators explicitly rotate it. The KRBTGT password had not been rotated in over three years based on attribute data extracted from Active Directory.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 Golden Ticket provides indefinite, unconstrained access to every Kerberos-authenticated resource in the domain. Password resets of compromised accounts, account lockouts, and even temporary deprovisioning of accounts have no effect on a forged ticket. An attacker holding a valid Golden Ticket can re-access any resource at will for years without any additional interaction with Active Directory. This persistence mechanism is extremely difficult to detect and survives most incident response actions short of a full KRBTGT double-rotation.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Golden Ticket generated during engagement; KRBTGT hash last rotation date confirmed via AD attribute query (last set: January 12, 2022). Full details in Appendix 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Evaluate Active Directory Kerberos configuration and KRBTGT rotation practices against current guidance. Review detection capability for anomalous Kerberos ticket characteristics.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RT-008  |  </w:t>
            </w:r>
            <w:r>
              <w:rPr>
                <w:rFonts w:ascii="Arial" w:cs="Arial" w:eastAsia="Arial" w:hAnsi="Arial"/>
                <w:b/>
                <w:bCs/>
                <w:color w:val="FFFFFF"/>
                <w:sz w:val="24"/>
                <w:szCs w:val="24"/>
              </w:rPr>
              <w:t xml:space="preserve">Overprivileged Service Accounts in Domain Admins Group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C0392B" w:val="clear"/>
              </w:rPr>
              <w:t xml:space="preserve">  HIGH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acmecorp.local — svc_backup, svc_monitoring, and four additional service accounts with elevated group memberships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Six service accounts were identified as members of highly privileged groups, including two in the Domain Admins group. Service accounts by their nature have static, non-expiring passwords, typically do not have MFA applied, and are often excluded from lockout policies to prevent service disruption. This makes them high-value targets for attackers with the ability to crack or obtain their credentials.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Service accounts holding Domain Administrator privileges eliminate the separation between service operation and administrative authority. Any compromise of these accounts — through Kerberoasting, credential exposure, or other means — immediately yields the highest level of domain access. Because service accounts often run automated processes, their activity is harder to baseline and anomalies are less likely to be flagged.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Full service account privilege inventory included in Appendix 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Review privilege assignments for all service accounts. Evaluate whether each account's group memberships are required for its operational function.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RT-009  |  </w:t>
            </w:r>
            <w:r>
              <w:rPr>
                <w:rFonts w:ascii="Arial" w:cs="Arial" w:eastAsia="Arial" w:hAnsi="Arial"/>
                <w:b/>
                <w:bCs/>
                <w:color w:val="FFFFFF"/>
                <w:sz w:val="24"/>
                <w:szCs w:val="24"/>
              </w:rPr>
              <w:t xml:space="preserve">Clear-Text Credentials Stored in SharePoint Wiki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C0392B" w:val="clear"/>
              </w:rPr>
              <w:t xml:space="preserve">  HIGH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Acme internal SharePoint — accessible to all authenticated domain users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During enumeration of SharePoint content accessible with compromised credentials, the red team located an internal IT operations wiki containing clear-text passwords for 12 service accounts, three network device management interfaces, and two third-party vendor portal administrator accounts. The page had not been modified in 14 months and had been viewed by 34 distinct accounts over that period.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Credentials stored in plain text in a broadly accessible internal knowledge base are effectively public within the organization. Any account with SharePoint access — including accounts compromised through phishing — can retrieve them without any technical exploitation. The vendor portal credentials discovered on this page provided access to two third-party systems used for financial data processing.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SharePoint page URL and credential list provided to CISO at close-out meeting. Document access log retrieved showing 34 viewers over 14 months.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Locate and remove credentials stored in any non-secrets-management system accessible to broad user populations. Evaluate how credentials for service accounts and third-party portals are currently stored and distributed across the organization.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RT-010  |  </w:t>
            </w:r>
            <w:r>
              <w:rPr>
                <w:rFonts w:ascii="Arial" w:cs="Arial" w:eastAsia="Arial" w:hAnsi="Arial"/>
                <w:b/>
                <w:bCs/>
                <w:color w:val="FFFFFF"/>
                <w:sz w:val="24"/>
                <w:szCs w:val="24"/>
              </w:rPr>
              <w:t xml:space="preserve">EDR Absent on 38% of Domain-Joined Endpoints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C0392B" w:val="clear"/>
              </w:rPr>
              <w:t xml:space="preserve">  HIGH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63 of 166 domain-joined endpoints — primarily legacy file servers, older workstations, and systems in the operations center segment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EDR agent deployment was confirmed absent on 63 domain-joined endpoints. The majority were Windows Server 2012 R2 hosts that had been excluded from the EDR rollout due to vendor compatibility concerns. The operations center network segment had no EDR coverage at all. The red team specifically targeted these systems during lateral movement and persistence operations because they represented the lowest-friction path through the network.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Systems without EDR coverage are effectively invisible to behavioral detection. Attackers who understand or discover coverage gaps will route through unmonitored systems specifically to avoid detection. This is not a theoretical concern — the red team did exactly this. Three of the four persistence mechanisms established during the engagement were placed on systems with no EDR coverage.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Full list of systems without EDR agent confirmed via AD query and cross-referenced with EDR console during debrief.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Evaluate current EDR deployment coverage and the scope of any gaps. Review compatibility constraints and alternative detection approaches for systems that cannot support the standard agent.</w:t>
            </w:r>
          </w:p>
        </w:tc>
      </w:tr>
    </w:tbl>
    <w:p>
      <w:pPr>
        <w:spacing w:after="0" w:before="0"/>
      </w:pPr>
      <w:r>
        <w:t xml:space="preserve"/>
      </w:r>
    </w:p>
    <w:p>
      <w:pPr>
        <w:spacing w:after="0" w:before="0"/>
      </w:pPr>
      <w:r>
        <w:t xml:space="preserve"/>
      </w:r>
    </w:p>
    <w:p>
      <w:r>
        <w:br w:type="page"/>
      </w:r>
    </w:p>
    <w:p>
      <w:pPr>
        <w:pStyle w:val="Heading2"/>
        <w:spacing w:after="120" w:before="240"/>
      </w:pPr>
      <w:r>
        <w:rPr>
          <w:rFonts w:ascii="Arial" w:cs="Arial" w:eastAsia="Arial" w:hAnsi="Arial"/>
          <w:b/>
          <w:bCs/>
          <w:color w:val="2E5184"/>
          <w:sz w:val="28"/>
          <w:szCs w:val="28"/>
        </w:rPr>
        <w:t xml:space="preserve">4.3 Medium Impact Findings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RT-011  |  </w:t>
            </w:r>
            <w:r>
              <w:rPr>
                <w:rFonts w:ascii="Arial" w:cs="Arial" w:eastAsia="Arial" w:hAnsi="Arial"/>
                <w:b/>
                <w:bCs/>
                <w:color w:val="FFFFFF"/>
                <w:sz w:val="24"/>
                <w:szCs w:val="24"/>
              </w:rPr>
              <w:t xml:space="preserve">Default Credentials on Network-Accessible Printers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D4640E" w:val="clear"/>
              </w:rPr>
              <w:t xml:space="preserve">  MEDIUM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14 network printers and MFPs on corporate print segment (10.10.5.0/24)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Fourteen network printers and multifunction devices were found accessible via their administrative web interfaces using factory default credentials (admin/admin or vendor-specific defaults). These devices have access to print job queues, scan-to-email functionality, and in several cases, stored copies of recently scanned documents.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While printers are often dismissed as low-risk, these devices reside on the internal network, may store scanned document images, and in several cases had SMTP credentials configured for scan-to-email that could be extracted and used for internal email relay. During this engagement, extracted SMTP credentials were used to send a test internal email from a printer account to validate the capability.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Affected device list and default credential confirmation included in Appendix 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Review administrative credential practices for networked devices across the environment.</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RT-012  |  </w:t>
            </w:r>
            <w:r>
              <w:rPr>
                <w:rFonts w:ascii="Arial" w:cs="Arial" w:eastAsia="Arial" w:hAnsi="Arial"/>
                <w:b/>
                <w:bCs/>
                <w:color w:val="FFFFFF"/>
                <w:sz w:val="24"/>
                <w:szCs w:val="24"/>
              </w:rPr>
              <w:t xml:space="preserve">SMBv1 Enabled on Legacy File Servers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D4640E" w:val="clear"/>
              </w:rPr>
              <w:t xml:space="preserve">  MEDIUM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8 file servers — FS-01 through FS-08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SMBv1 was found enabled on eight file servers. This protocol version has no encryption, is vulnerable to multiple publicly disclosed critical exploits including EternalBlue, and has been deprecated by Microsoft since 2014. It serves no operational purpose in a modern environment.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SMBv1 exposure increases the attack surface for network-based exploitation, enables clear-text credential capture, and provides a path for worm-capable malware propagation across the server segment. While this finding did not contribute to the primary attack chain in this engagement, its presence on file servers that hold sensitive documents represents unnecessary risk that is trivially addressable.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SMBv1 confirmed enabled via protocol negotiation during network scanning phase.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Review protocol configuration on file servers and evaluate the operational necessity of any legacy protocol versions currently enabled.</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RT-013  |  </w:t>
            </w:r>
            <w:r>
              <w:rPr>
                <w:rFonts w:ascii="Arial" w:cs="Arial" w:eastAsia="Arial" w:hAnsi="Arial"/>
                <w:b/>
                <w:bCs/>
                <w:color w:val="FFFFFF"/>
                <w:sz w:val="24"/>
                <w:szCs w:val="24"/>
              </w:rPr>
              <w:t xml:space="preserve">38% Employee Phishing Susceptibility 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D4640E" w:val="clear"/>
              </w:rPr>
              <w:t xml:space="preserve">  MEDIUM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Organization-wide — 18 of 47 targeted employees clicked, 11 submitted credentials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Of 47 employees targeted in the phishing campaign, 18 (38%) clicked the phishing link and 11 (23%) entered credentials on the credential-capture page. The targeted population was not selected for vulnerability — they were chosen based on publicly visible job function and organizational role. The click rate significantly exceeds the 5-10% rate commonly observed in organizations with active security awareness programs.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Employee susceptibility to phishing is a durable risk factor regardless of the technical controls in place. A single credential capture was sufficient to initiate the full compromise chain in this engagement. While technical controls can reduce the impact of a successful phish, human susceptibility determines how frequently those controls are tested in real-world conditions.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Phishing campaign click and submission data by department included in Appendix 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Review current security awareness training program content, frequency, and metrics. Consider whether the existing program provides adequate coverage against modern social engineering techniques.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RT-014  |  </w:t>
            </w:r>
            <w:r>
              <w:rPr>
                <w:rFonts w:ascii="Arial" w:cs="Arial" w:eastAsia="Arial" w:hAnsi="Arial"/>
                <w:b/>
                <w:bCs/>
                <w:color w:val="FFFFFF"/>
                <w:sz w:val="24"/>
                <w:szCs w:val="24"/>
              </w:rPr>
              <w:t xml:space="preserve">Insecure Direct Object Reference — Customer Portal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D4640E" w:val="clear"/>
              </w:rPr>
              <w:t xml:space="preserve">  MEDIUM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portal.acmecorp.com — authenticated customer portal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The customer portal at portal.acmecorp.com was found to expose account information via predictable numeric IDs in API requests. By incrementing the account_id parameter in authenticated requests, it was possible to retrieve account details for other customers without any authorization check. The observation was documented after confirming the vulnerability pattern — no customer data was accessed beyond a single test iteration using a test account.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If exploited by a malicious actor with a valid portal login, this vulnerability could enable bulk enumeration of customer account information including contact details, account balances, and transaction history. The scope of potential exposure depends on the total number of account IDs and the data fields returned by the endpoint.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Vulnerability confirmed using test account credentials provided by Acme for portal testing. API endpoint and parameter pattern included in Appendix 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Evaluate authorization controls on customer-facing API endpoints to ensure that access to account data is validated against the authenticated session, not solely on the presented identifier.</w:t>
            </w:r>
          </w:p>
        </w:tc>
      </w:tr>
    </w:tbl>
    <w:p>
      <w:pPr>
        <w:spacing w:after="0" w:before="0"/>
      </w:pPr>
      <w:r>
        <w:t xml:space="preserve"/>
      </w:r>
    </w:p>
    <w:p>
      <w:pPr>
        <w:spacing w:after="0" w:before="0"/>
      </w:pPr>
      <w:r>
        <w:t xml:space="preserve"/>
      </w:r>
    </w:p>
    <w:p>
      <w:r>
        <w:br w:type="page"/>
      </w:r>
    </w:p>
    <w:p>
      <w:pPr>
        <w:pStyle w:val="Heading2"/>
        <w:spacing w:after="120" w:before="240"/>
      </w:pPr>
      <w:r>
        <w:rPr>
          <w:rFonts w:ascii="Arial" w:cs="Arial" w:eastAsia="Arial" w:hAnsi="Arial"/>
          <w:b/>
          <w:bCs/>
          <w:color w:val="2E5184"/>
          <w:sz w:val="28"/>
          <w:szCs w:val="28"/>
        </w:rPr>
        <w:t xml:space="preserve">4.4 Low Impact Findings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1B2A4A" w:val="clear"/>
            <w:tcMar>
              <w:top w:type="dxa" w:w="110"/>
              <w:left w:type="dxa" w:w="140"/>
              <w:bottom w:type="dxa" w:w="110"/>
              <w:right w:type="dxa" w:w="140"/>
            </w:tcMar>
          </w:tcPr>
          <w:p>
            <w:r>
              <w:rPr>
                <w:rFonts w:ascii="Arial" w:cs="Arial" w:eastAsia="Arial" w:hAnsi="Arial"/>
                <w:b/>
                <w:bCs/>
                <w:color w:val="7FB3D3"/>
                <w:sz w:val="22"/>
                <w:szCs w:val="22"/>
              </w:rPr>
              <w:t xml:space="preserve">RT-015  |  </w:t>
            </w:r>
            <w:r>
              <w:rPr>
                <w:rFonts w:ascii="Arial" w:cs="Arial" w:eastAsia="Arial" w:hAnsi="Arial"/>
                <w:b/>
                <w:bCs/>
                <w:color w:val="FFFFFF"/>
                <w:sz w:val="24"/>
                <w:szCs w:val="24"/>
              </w:rPr>
              <w:t xml:space="preserve">Missing DMARC Enforcement — Email Spoofing Viable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Impact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FFFFFF"/>
                <w:sz w:val="22"/>
                <w:szCs w:val="22"/>
                <w:shd w:fill="2471A3" w:val="clear"/>
              </w:rPr>
              <w:t xml:space="preserve">  LOW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Affected Systems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acmecorp.com mail infrastructure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Observation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The DMARC record for acmecorp.com is published with a policy of p=none, which instructs receiving mail servers to take no action on authentication failures and only report them. This means emails failing SPF and DKIM alignment are delivered to recipients rather than quarantined or rejected. The red team's phishing emails passed delivery into employee inboxes without modification.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Business Impact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 p=none DMARC policy provides no enforcement protection. Any external attacker can send email appearing to originate from acmecorp.com and have a reasonable expectation of delivery into recipient inboxes. This contributed directly to the phishing campaign's success in this engagement and would similarly enable any future email-based social engineering campaign targeting Acme's customers, partners, or employees.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DMARC record queried via DNS at engagement start. Phishing email delivery confirmed via internal mail logs reviewed during debrief.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Recommendation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Review current email authentication policy configuration and the roadmap toward enforcement-level DMARC posture.</w:t>
            </w:r>
          </w:p>
        </w:tc>
      </w:tr>
    </w:tbl>
    <w:p>
      <w:pPr>
        <w:spacing w:after="0" w:before="0"/>
      </w:pPr>
      <w:r>
        <w:t xml:space="preserve"/>
      </w:r>
    </w:p>
    <w:p>
      <w:pPr>
        <w:spacing w:after="0" w:before="0"/>
      </w:pPr>
      <w:r>
        <w:t xml:space="preserve"/>
      </w:r>
    </w:p>
    <w:p>
      <w:r>
        <w:br w:type="page"/>
      </w:r>
    </w:p>
    <w:p>
      <w:pPr>
        <w:pStyle w:val="Heading1"/>
        <w:pBdr>
          <w:bottom w:val="single" w:color="2E5184" w:sz="6" w:space="4"/>
        </w:pBdr>
        <w:spacing w:after="160" w:before="320"/>
      </w:pPr>
      <w:r>
        <w:rPr>
          <w:rFonts w:ascii="Arial" w:cs="Arial" w:eastAsia="Arial" w:hAnsi="Arial"/>
          <w:b/>
          <w:bCs/>
          <w:color w:val="1B2A4A"/>
          <w:sz w:val="36"/>
          <w:szCs w:val="36"/>
        </w:rPr>
        <w:t xml:space="preserve">5. Detection and Response Observations</w:t>
      </w:r>
    </w:p>
    <w:p>
      <w:pPr>
        <w:spacing w:after="100" w:before="80"/>
        <w:jc w:val="left"/>
      </w:pPr>
      <w:r>
        <w:rPr>
          <w:rFonts w:ascii="Arial" w:cs="Arial" w:eastAsia="Arial" w:hAnsi="Arial"/>
          <w:sz w:val="22"/>
          <w:szCs w:val="22"/>
        </w:rPr>
        <w:t xml:space="preserve">At no point during the 25-day engagement did the SOC generate a security alert attributable to red team activity. This section documents what the red team observed about detection capability — not as a criticism of the SOC team, but as an accurate characterization of the current state.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CCCCCC" w:sz="1"/>
              <w:left w:val="single" w:color="CCCCCC" w:sz="1"/>
              <w:bottom w:val="single" w:color="CCCCCC" w:sz="1"/>
              <w:right w:val="single" w:color="CCCCCC" w:sz="1"/>
            </w:tcBorders>
            <w:shd w:fill="2E5184"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Attack Activity</w:t>
            </w:r>
          </w:p>
        </w:tc>
        <w:tc>
          <w:tcPr>
            <w:tcW w:type="dxa" w:w="2880"/>
            <w:tcBorders>
              <w:top w:val="single" w:color="CCCCCC" w:sz="1"/>
              <w:left w:val="single" w:color="CCCCCC" w:sz="1"/>
              <w:bottom w:val="single" w:color="CCCCCC" w:sz="1"/>
              <w:right w:val="single" w:color="CCCCCC" w:sz="1"/>
            </w:tcBorders>
            <w:shd w:fill="2E5184"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Expected Control</w:t>
            </w:r>
          </w:p>
        </w:tc>
        <w:tc>
          <w:tcPr>
            <w:tcW w:type="dxa" w:w="3480"/>
            <w:tcBorders>
              <w:top w:val="single" w:color="CCCCCC" w:sz="1"/>
              <w:left w:val="single" w:color="CCCCCC" w:sz="1"/>
              <w:bottom w:val="single" w:color="CCCCCC" w:sz="1"/>
              <w:right w:val="single" w:color="CCCCCC" w:sz="1"/>
            </w:tcBorders>
            <w:shd w:fill="2E5184" w:val="clear"/>
            <w:tcMar>
              <w:top w:type="dxa" w:w="80"/>
              <w:left w:type="dxa" w:w="130"/>
              <w:bottom w:type="dxa" w:w="80"/>
              <w:right w:type="dxa" w:w="130"/>
            </w:tcMar>
            <w:vAlign w:val="center"/>
          </w:tcPr>
          <w:p>
            <w:pPr>
              <w:jc w:val="left"/>
            </w:pPr>
            <w:r>
              <w:rPr>
                <w:rFonts w:ascii="Arial" w:cs="Arial" w:eastAsia="Arial" w:hAnsi="Arial"/>
                <w:b/>
                <w:bCs/>
                <w:color w:val="FFFFFF"/>
                <w:sz w:val="20"/>
                <w:szCs w:val="20"/>
              </w:rPr>
              <w:t xml:space="preserve">Observed Outcome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AiTM phishing delivery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Email gateway / DMARC reject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C0392B"/>
                <w:sz w:val="20"/>
                <w:szCs w:val="20"/>
              </w:rPr>
              <w:t xml:space="preserve">All emails delivered — no quarantine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Session token replay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Conditional access anomaly detection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C0392B"/>
                <w:sz w:val="20"/>
                <w:szCs w:val="20"/>
              </w:rPr>
              <w:t xml:space="preserve">No alert generated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VPN from foreign IP / device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Geo-anomaly alert or MFA step-up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C0392B"/>
                <w:sz w:val="20"/>
                <w:szCs w:val="20"/>
              </w:rPr>
              <w:t xml:space="preserve">Connection accepted without friction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Kerberoasting (14 TGS requests)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SIEM Kerberos volume rule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C0392B"/>
                <w:sz w:val="20"/>
                <w:szCs w:val="20"/>
              </w:rPr>
              <w:t xml:space="preserve">No alert generated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LSASS memory access / Mimikatz</w:t>
            </w:r>
          </w:p>
        </w:tc>
        <w:tc>
          <w:tcPr>
            <w:tcW w:type="dxa" w:w="2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EDR behavioral detection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C0392B"/>
                <w:sz w:val="20"/>
                <w:szCs w:val="20"/>
              </w:rPr>
              <w:t xml:space="preserve">No EDR on target host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Pass-the-hash across 14 servers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Abnormal NTLM auth pattern alert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C0392B"/>
                <w:sz w:val="20"/>
                <w:szCs w:val="20"/>
              </w:rPr>
              <w:t xml:space="preserve">No alert generated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Physical intrusion + implant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Badge anomaly / CCTV review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C0392B"/>
                <w:sz w:val="20"/>
                <w:szCs w:val="20"/>
              </w:rPr>
              <w:t xml:space="preserve">Unstaffed desk — not detected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14-day HTTPS exfiltration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DLP / outbound volume anomaly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bCs/>
                <w:color w:val="C0392B"/>
                <w:sz w:val="20"/>
                <w:szCs w:val="20"/>
              </w:rPr>
              <w:t xml:space="preserve">No alert generated</w:t>
            </w:r>
          </w:p>
        </w:tc>
      </w:tr>
    </w:tbl>
    <w:p>
      <w:pPr>
        <w:spacing w:after="0" w:before="0"/>
      </w:pPr>
      <w:r>
        <w:t xml:space="preserve"/>
      </w:r>
    </w:p>
    <w:p>
      <w:pPr>
        <w:spacing w:after="100" w:before="80"/>
        <w:jc w:val="left"/>
      </w:pPr>
      <w:r>
        <w:rPr>
          <w:rFonts w:ascii="Arial" w:cs="Arial" w:eastAsia="Arial" w:hAnsi="Arial"/>
          <w:sz w:val="22"/>
          <w:szCs w:val="22"/>
        </w:rPr>
        <w:t xml:space="preserve">The SOC team operates with a combination of legacy SIEM detection rules and a partially deployed EDR solution. Log retention for network traffic is seven days, which limits the ability to investigate slow-and-low campaigns retrospectively even if they are eventually identified. At current analyst-to-alert ratios, the throughput available for alert investigation is a constraint independent of whether alerts are firing.</w:t>
      </w:r>
    </w:p>
    <w:p>
      <w:pPr>
        <w:spacing w:after="100" w:before="80"/>
        <w:jc w:val="left"/>
      </w:pPr>
      <w:r>
        <w:rPr>
          <w:rFonts w:ascii="Arial" w:cs="Arial" w:eastAsia="Arial" w:hAnsi="Arial"/>
          <w:sz w:val="22"/>
          <w:szCs w:val="22"/>
        </w:rPr>
        <w:t xml:space="preserve">These observations are offered as context for prioritization decisions, not as conclusions about the appropriate remediation path — which involves architectural, tooling, staffing, and process considerations that are outside the scope of this assessment.</w:t>
      </w:r>
    </w:p>
    <w:p>
      <w:r>
        <w:br w:type="page"/>
      </w:r>
    </w:p>
    <w:p>
      <w:pPr>
        <w:pStyle w:val="Heading1"/>
        <w:pBdr>
          <w:bottom w:val="single" w:color="2E5184" w:sz="6" w:space="4"/>
        </w:pBdr>
        <w:spacing w:after="160" w:before="320"/>
      </w:pPr>
      <w:r>
        <w:rPr>
          <w:rFonts w:ascii="Arial" w:cs="Arial" w:eastAsia="Arial" w:hAnsi="Arial"/>
          <w:b/>
          <w:bCs/>
          <w:color w:val="1B2A4A"/>
          <w:sz w:val="36"/>
          <w:szCs w:val="36"/>
        </w:rPr>
        <w:t xml:space="preserve">6. Conclusion</w:t>
      </w:r>
    </w:p>
    <w:p>
      <w:pPr>
        <w:spacing w:after="100" w:before="80"/>
        <w:jc w:val="left"/>
      </w:pPr>
      <w:r>
        <w:rPr>
          <w:rFonts w:ascii="Arial" w:cs="Arial" w:eastAsia="Arial" w:hAnsi="Arial"/>
          <w:sz w:val="22"/>
          <w:szCs w:val="22"/>
        </w:rPr>
        <w:t xml:space="preserve">Acme Financial Corporation's current security posture would not prevent, detect, or contain a motivated, moderately skilled threat actor. The red team achieved full organizational compromise within one business day, established multiple independent persistence mechanisms, maintained undetected presence for 25 days, and exfiltrated a dataset equivalent to the entire customer account database without triggering a single alert.</w:t>
      </w:r>
    </w:p>
    <w:p>
      <w:pPr>
        <w:spacing w:after="0" w:before="0"/>
      </w:pPr>
      <w:r>
        <w:t xml:space="preserve"/>
      </w:r>
    </w:p>
    <w:p>
      <w:pPr>
        <w:spacing w:after="100" w:before="80"/>
        <w:jc w:val="left"/>
      </w:pPr>
      <w:r>
        <w:rPr>
          <w:rFonts w:ascii="Arial" w:cs="Arial" w:eastAsia="Arial" w:hAnsi="Arial"/>
          <w:sz w:val="22"/>
          <w:szCs w:val="22"/>
        </w:rPr>
        <w:t xml:space="preserve">This report reflects the environment as it exists. Impact ratings are based on what was directly observed and demonstrated — not on theoretical risk or adjusted scores. Every finding documented here represents something that occurred during the engagement against Acme's actual systems, people, and facilities.</w:t>
      </w:r>
    </w:p>
    <w:p>
      <w:pPr>
        <w:spacing w:after="0" w:before="0"/>
      </w:pPr>
      <w:r>
        <w:t xml:space="preserve"/>
      </w:r>
    </w:p>
    <w:p>
      <w:pPr>
        <w:spacing w:after="100" w:before="80"/>
        <w:jc w:val="left"/>
      </w:pPr>
      <w:r>
        <w:rPr>
          <w:rFonts w:ascii="Arial" w:cs="Arial" w:eastAsia="Arial" w:hAnsi="Arial"/>
          <w:sz w:val="22"/>
          <w:szCs w:val="22"/>
        </w:rPr>
        <w:t xml:space="preserve">The path forward on each finding is ultimately an operational decision for Acme's subject matter experts, who understand the architecture, constraints, and priorities of the organization far better than an external assessment team. The directional recommendations included with each finding are intended to frame the problem space, not to prescribe a solution.</w:t>
      </w:r>
    </w:p>
    <w:p>
      <w:pPr>
        <w:spacing w:after="0" w:before="0"/>
      </w:pPr>
      <w:r>
        <w:t xml:space="preserve"/>
      </w:r>
    </w:p>
    <w:p>
      <w:pPr>
        <w:spacing w:after="100" w:before="80"/>
        <w:jc w:val="left"/>
      </w:pPr>
      <w:r>
        <w:rPr>
          <w:rFonts w:ascii="Arial" w:cs="Arial" w:eastAsia="Arial" w:hAnsi="Arial"/>
          <w:sz w:val="22"/>
          <w:szCs w:val="22"/>
        </w:rPr>
        <w:t xml:space="preserve">Cerberus Security Group recommends a follow-on purple team exercise within 90 days of completing priority remediation work. Unlike a red team assessment, a purple team exercise is conducted collaboratively with the SOC and is designed specifically to validate detection improvements and build detection engineering capability against the techniques documented in this report. We are available to conduct that exercise or to support the internal team in any phase of the work that follows.</w:t>
      </w:r>
    </w:p>
    <w:p>
      <w:pPr>
        <w:spacing w:after="0" w:before="0"/>
      </w:pPr>
      <w:r>
        <w:t xml:space="preserve"/>
      </w:r>
    </w:p>
    <w:p>
      <w:pPr>
        <w:spacing w:after="0" w:before="0"/>
      </w:pPr>
      <w:r>
        <w:t xml:space="preserve"/>
      </w:r>
    </w:p>
    <w:p>
      <w:pPr>
        <w:pStyle w:val="Heading1"/>
        <w:pBdr>
          <w:bottom w:val="single" w:color="2E5184" w:sz="6" w:space="4"/>
        </w:pBdr>
        <w:spacing w:after="160" w:before="320"/>
      </w:pPr>
      <w:r>
        <w:rPr>
          <w:rFonts w:ascii="Arial" w:cs="Arial" w:eastAsia="Arial" w:hAnsi="Arial"/>
          <w:b/>
          <w:bCs/>
          <w:color w:val="1B2A4A"/>
          <w:sz w:val="36"/>
          <w:szCs w:val="36"/>
        </w:rPr>
        <w:t xml:space="preserve">7. Appendices</w:t>
      </w:r>
    </w:p>
    <w:p>
      <w:pPr>
        <w:spacing w:after="100" w:before="80"/>
        <w:jc w:val="left"/>
      </w:pPr>
      <w:r>
        <w:rPr>
          <w:rFonts w:ascii="Arial" w:cs="Arial" w:eastAsia="Arial" w:hAnsi="Arial"/>
          <w:sz w:val="22"/>
          <w:szCs w:val="22"/>
        </w:rPr>
        <w:t xml:space="preserve">The following appendices are delivered separately via encrypted transfer per the data handling agreement:</w:t>
      </w:r>
    </w:p>
    <w:p>
      <w:pPr>
        <w:pStyle w:val="ListParagraph"/>
        <w:numPr>
          <w:ilvl w:val="0"/>
          <w:numId w:val="2"/>
        </w:numPr>
        <w:spacing w:after="60" w:before="60"/>
      </w:pPr>
      <w:r>
        <w:rPr>
          <w:rFonts w:ascii="Arial" w:cs="Arial" w:eastAsia="Arial" w:hAnsi="Arial"/>
          <w:sz w:val="22"/>
          <w:szCs w:val="22"/>
        </w:rPr>
        <w:t xml:space="preserve">Appendix A — Signed Rules of Engagement and Authorization Letters</w:t>
      </w:r>
    </w:p>
    <w:p>
      <w:pPr>
        <w:pStyle w:val="ListParagraph"/>
        <w:numPr>
          <w:ilvl w:val="0"/>
          <w:numId w:val="2"/>
        </w:numPr>
        <w:spacing w:after="60" w:before="60"/>
      </w:pPr>
      <w:r>
        <w:rPr>
          <w:rFonts w:ascii="Arial" w:cs="Arial" w:eastAsia="Arial" w:hAnsi="Arial"/>
          <w:sz w:val="22"/>
          <w:szCs w:val="22"/>
        </w:rPr>
        <w:t xml:space="preserve">Appendix B — Phishing Campaign Logs, Evilginx2 Output, and Session Token Analysis</w:t>
      </w:r>
    </w:p>
    <w:p>
      <w:pPr>
        <w:pStyle w:val="ListParagraph"/>
        <w:numPr>
          <w:ilvl w:val="0"/>
          <w:numId w:val="2"/>
        </w:numPr>
        <w:spacing w:after="60" w:before="60"/>
      </w:pPr>
      <w:r>
        <w:rPr>
          <w:rFonts w:ascii="Arial" w:cs="Arial" w:eastAsia="Arial" w:hAnsi="Arial"/>
          <w:sz w:val="22"/>
          <w:szCs w:val="22"/>
        </w:rPr>
        <w:t xml:space="preserve">Appendix C — Kerberoastable Account Inventory and Crack Statistics (Hashes Redacted)</w:t>
      </w:r>
    </w:p>
    <w:p>
      <w:pPr>
        <w:pStyle w:val="ListParagraph"/>
        <w:numPr>
          <w:ilvl w:val="0"/>
          <w:numId w:val="2"/>
        </w:numPr>
        <w:spacing w:after="60" w:before="60"/>
      </w:pPr>
      <w:r>
        <w:rPr>
          <w:rFonts w:ascii="Arial" w:cs="Arial" w:eastAsia="Arial" w:hAnsi="Arial"/>
          <w:sz w:val="22"/>
          <w:szCs w:val="22"/>
        </w:rPr>
        <w:t xml:space="preserve">Appendix D — Physical Access Timeline, Badge Log Extracts, and Facility Layout</w:t>
      </w:r>
    </w:p>
    <w:p>
      <w:pPr>
        <w:pStyle w:val="ListParagraph"/>
        <w:numPr>
          <w:ilvl w:val="0"/>
          <w:numId w:val="2"/>
        </w:numPr>
        <w:spacing w:after="60" w:before="60"/>
      </w:pPr>
      <w:r>
        <w:rPr>
          <w:rFonts w:ascii="Arial" w:cs="Arial" w:eastAsia="Arial" w:hAnsi="Arial"/>
          <w:sz w:val="22"/>
          <w:szCs w:val="22"/>
        </w:rPr>
        <w:t xml:space="preserve">Appendix E — Lateral Movement Map and Compromised System Inventory</w:t>
      </w:r>
    </w:p>
    <w:p>
      <w:pPr>
        <w:pStyle w:val="ListParagraph"/>
        <w:numPr>
          <w:ilvl w:val="0"/>
          <w:numId w:val="2"/>
        </w:numPr>
        <w:spacing w:after="60" w:before="60"/>
      </w:pPr>
      <w:r>
        <w:rPr>
          <w:rFonts w:ascii="Arial" w:cs="Arial" w:eastAsia="Arial" w:hAnsi="Arial"/>
          <w:sz w:val="22"/>
          <w:szCs w:val="22"/>
        </w:rPr>
        <w:t xml:space="preserve">Appendix F — Exfiltration Traffic Logs and C2 Infrastructure Details</w:t>
      </w:r>
    </w:p>
    <w:p>
      <w:pPr>
        <w:pStyle w:val="ListParagraph"/>
        <w:numPr>
          <w:ilvl w:val="0"/>
          <w:numId w:val="2"/>
        </w:numPr>
        <w:spacing w:after="60" w:before="60"/>
      </w:pPr>
      <w:r>
        <w:rPr>
          <w:rFonts w:ascii="Arial" w:cs="Arial" w:eastAsia="Arial" w:hAnsi="Arial"/>
          <w:sz w:val="22"/>
          <w:szCs w:val="22"/>
        </w:rPr>
        <w:t xml:space="preserve">Appendix G — MITRE ATT&amp;CK Technique Mapping (Full Kill Chain)</w:t>
      </w:r>
    </w:p>
    <w:p>
      <w:pPr>
        <w:pStyle w:val="ListParagraph"/>
        <w:numPr>
          <w:ilvl w:val="0"/>
          <w:numId w:val="2"/>
        </w:numPr>
        <w:spacing w:after="60" w:before="60"/>
      </w:pPr>
      <w:r>
        <w:rPr>
          <w:rFonts w:ascii="Arial" w:cs="Arial" w:eastAsia="Arial" w:hAnsi="Arial"/>
          <w:sz w:val="22"/>
          <w:szCs w:val="22"/>
        </w:rPr>
        <w:t xml:space="preserve">Appendix H — Supplemental Technical Findings and Evidence</w:t>
      </w:r>
    </w:p>
    <w:p>
      <w:pPr>
        <w:spacing w:after="0" w:before="0"/>
      </w:pPr>
      <w:r>
        <w:t xml:space="preserve"/>
      </w:r>
    </w:p>
    <w:p>
      <w:pPr>
        <w:spacing w:after="0" w:before="0"/>
      </w:pPr>
      <w:r>
        <w:t xml:space="preserve"/>
      </w:r>
    </w:p>
    <w:p>
      <w:pPr>
        <w:pBdr>
          <w:top w:val="single" w:color="2E5184" w:sz="6" w:space="8"/>
        </w:pBdr>
        <w:spacing w:after="80" w:before="160"/>
        <w:jc w:val="center"/>
      </w:pPr>
      <w:r>
        <w:rPr>
          <w:rFonts w:ascii="Arial" w:cs="Arial" w:eastAsia="Arial" w:hAnsi="Arial"/>
          <w:b/>
          <w:bCs/>
          <w:color w:val="7F8C8D"/>
          <w:sz w:val="22"/>
          <w:szCs w:val="22"/>
        </w:rPr>
        <w:t xml:space="preserve">— END OF REPORT —</w:t>
      </w:r>
    </w:p>
    <w:p>
      <w:pPr>
        <w:spacing w:after="80" w:before="0"/>
        <w:jc w:val="center"/>
      </w:pPr>
      <w:r>
        <w:rPr>
          <w:rFonts w:ascii="Arial" w:cs="Arial" w:eastAsia="Arial" w:hAnsi="Arial"/>
          <w:color w:val="7F8C8D"/>
          <w:sz w:val="18"/>
          <w:szCs w:val="18"/>
        </w:rPr>
        <w:t xml:space="preserve">Cerberus Security Group  |  cerberussec.com  |  assessments@cerberussec.com</w:t>
      </w:r>
    </w:p>
    <w:p>
      <w:pPr>
        <w:jc w:val="center"/>
      </w:pPr>
      <w:r>
        <w:rPr>
          <w:rFonts w:ascii="Arial" w:cs="Arial" w:eastAsia="Arial" w:hAnsi="Arial"/>
          <w:color w:val="7F8C8D"/>
          <w:sz w:val="16"/>
          <w:szCs w:val="16"/>
        </w:rPr>
        <w:t xml:space="preserve">This document contains confidential and proprietary information. Unauthorized distribution is prohibited.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184" w:sz="4" w:space="4"/>
      </w:pBdr>
      <w:tabs>
        <w:tab w:val="right" w:pos="9360"/>
      </w:tabs>
    </w:pPr>
    <w:r>
      <w:rPr>
        <w:rFonts w:ascii="Arial" w:cs="Arial" w:eastAsia="Arial" w:hAnsi="Arial"/>
        <w:color w:val="7F8C8D"/>
        <w:sz w:val="16"/>
        <w:szCs w:val="16"/>
      </w:rPr>
      <w:t xml:space="preserve">Cerberus Security Group  |  Confidential  |  Not for Distribution</w:t>
    </w:r>
    <w:r>
      <w:rPr>
        <w:rFonts w:ascii="Arial" w:cs="Arial" w:eastAsia="Arial" w:hAnsi="Arial"/>
        <w:color w:val="7F8C8D"/>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184" w:sz="4" w:space="4"/>
      </w:pBdr>
    </w:pPr>
    <w:r>
      <w:rPr>
        <w:rFonts w:ascii="Arial" w:cs="Arial" w:eastAsia="Arial" w:hAnsi="Arial"/>
        <w:b/>
        <w:bCs/>
        <w:color w:val="7F8C8D"/>
        <w:sz w:val="18"/>
        <w:szCs w:val="18"/>
      </w:rPr>
      <w:t xml:space="preserve">CONFIDENTIAL  —  RED TEAM ASSESSMENT REPORT</w:t>
    </w:r>
    <w:r>
      <w:rPr>
        <w:rFonts w:ascii="Arial" w:cs="Arial" w:eastAsia="Arial" w:hAnsi="Arial"/>
        <w:color w:val="7F8C8D"/>
        <w:sz w:val="18"/>
        <w:szCs w:val="18"/>
      </w:rPr>
      <w:t xml:space="preserve">          Acme Financial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18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2026-05-26T14:08:51.329Z</dcterms:created>
  <dcterms:modified xsi:type="dcterms:W3CDTF">2026-05-26T14:08:51.343Z</dcterms:modified>
</cp:coreProperties>
</file>

<file path=docProps/custom.xml><?xml version="1.0" encoding="utf-8"?>
<Properties xmlns="http://schemas.openxmlformats.org/officeDocument/2006/custom-properties" xmlns:vt="http://schemas.openxmlformats.org/officeDocument/2006/docPropsVTypes"/>
</file>