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before="2880"/>
        <w:ind/>
        <w:jc w:val="center"/>
        <w:rPr/>
      </w:pPr>
      <w:r>
        <w:rPr>
          <w:b/>
          <w:bCs/>
          <w:sz w:val="36"/>
          <w:szCs w:val="36"/>
        </w:rPr>
        <w:t xml:space="preserve">Yasser Arafat: A Historical Overview and Activist Profile</w:t>
      </w:r>
      <w:r/>
    </w:p>
    <w:p>
      <w:pPr>
        <w:pBdr/>
        <w:spacing w:after="1440"/>
        <w:ind/>
        <w:jc w:val="center"/>
        <w:rPr/>
      </w:pPr>
      <w:r>
        <w:rPr>
          <w:color w:val="555555"/>
          <w:sz w:val="24"/>
          <w:szCs w:val="24"/>
        </w:rPr>
        <w:t xml:space="preserve">ANT 395 Final Project</w:t>
      </w:r>
      <w:r/>
    </w:p>
    <w:p>
      <w:pPr>
        <w:pBdr/>
        <w:spacing w:after="60"/>
        <w:ind/>
        <w:jc w:val="center"/>
        <w:rPr/>
      </w:pPr>
      <w:r>
        <w:rPr>
          <w:sz w:val="24"/>
          <w:szCs w:val="24"/>
        </w:rPr>
        <w:t xml:space="preserve">Hope Spence</w:t>
      </w:r>
      <w:r/>
    </w:p>
    <w:p>
      <w:pPr>
        <w:pBdr/>
        <w:spacing w:after="1440"/>
        <w:ind/>
        <w:jc w:val="center"/>
        <w:rPr/>
      </w:pPr>
      <w:r>
        <w:rPr>
          <w:color w:val="555555"/>
          <w:sz w:val="22"/>
          <w:szCs w:val="22"/>
        </w:rPr>
        <w:t xml:space="preserve">NCSU ANT 395</w:t>
      </w:r>
      <w:r/>
    </w:p>
    <w:p>
      <w:pPr>
        <w:pBdr/>
        <w:spacing w:after="60"/>
        <w:ind/>
        <w:jc w:val="center"/>
        <w:rPr/>
      </w:pPr>
      <w:r>
        <w:rPr>
          <w:sz w:val="22"/>
          <w:szCs w:val="22"/>
        </w:rPr>
        <w:t xml:space="preserve">Companion website:</w:t>
      </w:r>
      <w:r/>
    </w:p>
    <w:p>
      <w:pPr>
        <w:pBdr/>
        <w:spacing/>
        <w:ind/>
        <w:jc w:val="center"/>
        <w:rPr/>
      </w:pPr>
      <w:r/>
      <w:hyperlink r:id="rId11" w:tooltip="https://cyberhopedev.github.io/yasser-arafat-activist-project/" w:history="1">
        <w:r>
          <w:rPr>
            <w:color w:val="0563c1"/>
            <w:sz w:val="22"/>
            <w:szCs w:val="22"/>
            <w:u w:val="single"/>
          </w:rPr>
          <w:t xml:space="preserve">https://cyberhopedev.github.io/yasser-arafat-activist-project/</w:t>
        </w:r>
      </w:hyperlink>
      <w:r/>
      <w:r/>
    </w:p>
    <w:p>
      <w:pPr>
        <w:pBdr/>
        <w:spacing/>
        <w:ind/>
        <w:rPr/>
      </w:pPr>
      <w:r>
        <w:br w:type="page" w:clear="all"/>
      </w:r>
      <w:r/>
    </w:p>
    <w:p>
      <w:pPr>
        <w:pStyle w:val="742"/>
        <w:pBdr/>
        <w:spacing w:after="180" w:before="360"/>
        <w:ind/>
        <w:rPr/>
      </w:pPr>
      <w:r>
        <w:t xml:space="preserve">Part 1: Historical Overview</w:t>
      </w:r>
      <w:r/>
    </w:p>
    <w:p>
      <w:pPr>
        <w:pStyle w:val="743"/>
        <w:pBdr/>
        <w:spacing w:after="140" w:before="280"/>
        <w:ind/>
        <w:rPr/>
      </w:pPr>
      <w:r>
        <w:t xml:space="preserve">Q1. Broader National &amp; International Events That Shaped Arafat</w:t>
      </w:r>
      <w:r/>
    </w:p>
    <w:p>
      <w:pPr>
        <w:pBdr>
          <w:left w:val="single" w:color="3a6bc8" w:sz="12" w:space="8"/>
        </w:pBdr>
        <w:spacing w:after="120" w:before="120"/>
        <w:ind w:left="360"/>
        <w:rPr/>
      </w:pPr>
      <w:r>
        <w:rPr>
          <w:i/>
          <w:iCs/>
          <w:color w:val="444444"/>
        </w:rPr>
        <w:t xml:space="preserve">What broader national and international events have informed this person’s life? How does this inform how they understand race?</w:t>
      </w:r>
      <w:r/>
    </w:p>
    <w:p>
      <w:pPr>
        <w:pBdr/>
        <w:spacing w:after="160" w:line="300" w:lineRule="auto"/>
        <w:ind/>
        <w:jc w:val="both"/>
        <w:rPr/>
      </w:pPr>
      <w:r>
        <w:t xml:space="preserve">Yasser Arafat always persisted that he was Palestinian in both birth and nationality, eve</w:t>
      </w:r>
      <w:r>
        <w:t xml:space="preserve">n though he was born in Egypt and was part Egyptian from his mother’s side. Due to the historical context he was raised in, to be “truly Palestinian” you would have to have been both born in Jerusalem and had two parents who were fully Palestinian as well.</w:t>
      </w:r>
      <w:r/>
    </w:p>
    <w:p>
      <w:pPr>
        <w:pBdr/>
        <w:spacing w:after="160" w:line="300" w:lineRule="auto"/>
        <w:ind/>
        <w:jc w:val="both"/>
        <w:rPr/>
      </w:pPr>
      <w:r>
        <w:t xml:space="preserve">Arafat was born in 1929 in Cairo to a Palestinian father and a mother of partial Egyptian descent, yet he always insisted he was Palestinian, born in Jerusalem, of fully Palestinian lineage. His Egyptian accent, acquired during his Cairo childhood, </w:t>
      </w:r>
      <w:r>
        <w:t xml:space="preserve">“marked him out as an ostensible outsider, an unlikely contender for the leadership of an often fiercely insular national movement”</w:t>
      </w:r>
      <w:r>
        <w:t xml:space="preserve"> (Agha &amp; Khalidi 2014). His persistent claim of full Palestinian identity reveals how Palestinian identity was actively constructed and asserted, especially by those whose biographical facts placed them at the margins of that definition.</w:t>
      </w:r>
      <w:r/>
    </w:p>
    <w:p>
      <w:pPr>
        <w:pBdr/>
        <w:spacing w:after="160" w:line="300" w:lineRule="auto"/>
        <w:ind/>
        <w:jc w:val="both"/>
        <w:rPr/>
      </w:pPr>
      <w:r>
        <w:t xml:space="preserve">Arafat’s political formation was rooted in the catastrophe of 1948. Agha &amp; Khalidi (2014) argue that his most enduring legacy </w:t>
      </w:r>
      <w:r>
        <w:t xml:space="preserve">“was to lead the Palestinians out of the material, political and moral devastation of the 1948 Nakba,”</w:t>
      </w:r>
      <w:r>
        <w:t xml:space="preserve"> the catastrophe that saw more than 700,000 Palestinians lose their homes. Fatah itself, as they note, </w:t>
      </w:r>
      <w:r>
        <w:t xml:space="preserve">“was born from the debris of 1948 and the fertile soil of Gaza, where dispossession, dispersal and statelessness provided determined recruits.”</w:t>
      </w:r>
      <w:r>
        <w:t xml:space="preserve"> It was the experience of statelessness that built Arafat’s movement from the ground up.</w:t>
      </w:r>
      <w:r/>
    </w:p>
    <w:p>
      <w:pPr>
        <w:pBdr/>
        <w:spacing w:after="160" w:line="300" w:lineRule="auto"/>
        <w:ind/>
        <w:jc w:val="both"/>
        <w:rPr/>
      </w:pPr>
      <w:r>
        <w:t xml:space="preserve">As anthropologist Julie Peteet (2016) argues, the founding of Israel initiated a settler colonial project built on </w:t>
      </w:r>
      <w:r>
        <w:t xml:space="preserve">“classification, distinction, and privilege.”</w:t>
      </w:r>
      <w:r>
        <w:t xml:space="preserve"> On the eve of the 1948–1949 war, Jews owned only six to</w:t>
      </w:r>
      <w:r>
        <w:t xml:space="preserve"> seven percent of the land; the subsequent Absentee Property Law (1950) became the primary mechanism by which Palestinian land was transferred to the state. This foundational dispossession structured the entire political world Arafat would organize within.</w:t>
      </w:r>
      <w:r/>
    </w:p>
    <w:p>
      <w:pPr>
        <w:pBdr/>
        <w:spacing w:after="160" w:line="300" w:lineRule="auto"/>
        <w:ind/>
        <w:jc w:val="both"/>
        <w:rPr/>
      </w:pPr>
      <w:r>
        <w:t xml:space="preserve">The Cold War provided the international architecture of Arafat’s career. US-supplied military hardware, including the F-15s and F-16s documented by American minister Donald Wagner (1983) during the 1982 Israeli invasion of Lebanon, shaped t</w:t>
      </w:r>
      <w:r>
        <w:t xml:space="preserve">he material conditions of Palestinian resistance. Wagner witnessed firsthand how US weapons were used against Palestinian civilian infrastructure: hospitals, clinics, schools, and refugee camps. Defense Minister Ariel Sharon framed PLO terrorism as one of </w:t>
      </w:r>
      <w:r>
        <w:t xml:space="preserve">“the main means by which the Soviets are preparing the ground for further expansion in the Middle East”</w:t>
      </w:r>
      <w:r>
        <w:t xml:space="preserve"> (Wagner 1983), a Cold War framing that ensured US silence and continued arms resupply throughout the offensive.</w:t>
      </w:r>
      <w:r/>
    </w:p>
    <w:p>
      <w:pPr>
        <w:pBdr/>
        <w:spacing w:after="160" w:line="300" w:lineRule="auto"/>
        <w:ind/>
        <w:jc w:val="both"/>
        <w:rPr/>
      </w:pPr>
      <w:r>
        <w:t xml:space="preserve">The 1967 Six-Day War was </w:t>
      </w:r>
      <w:r>
        <w:t xml:space="preserve">equally formative. Israel’s swift military victory discredited Arab nationalist governments. The occupation of the West Bank, Gaza Strip, and East Jerusalem that followed created conditions under which, as Peteet (2016, 248) describes, Israeli policies of </w:t>
      </w:r>
      <w:r>
        <w:t xml:space="preserve">“separation and closure”</w:t>
      </w:r>
      <w:r>
        <w:t xml:space="preserve"> produced a </w:t>
      </w:r>
      <w:r>
        <w:t xml:space="preserve">“spatially concentrated, confined, and immobilized Palestinian population, ruled by a state in which they are not citizens.”</w:t>
      </w:r>
      <w:r>
        <w:t xml:space="preserve"> It was in opposition to this administrative racialization that Palestinian national identity under Arafat’s PLO took its clearest political form.</w:t>
      </w:r>
      <w:r/>
    </w:p>
    <w:p>
      <w:pPr>
        <w:pStyle w:val="743"/>
        <w:pBdr/>
        <w:spacing w:after="140" w:before="280"/>
        <w:ind/>
        <w:rPr/>
      </w:pPr>
      <w:r>
        <w:t xml:space="preserve">Q2. Key Moments to Know</w:t>
      </w:r>
      <w:r/>
    </w:p>
    <w:p>
      <w:pPr>
        <w:pBdr>
          <w:left w:val="single" w:color="3a6bc8" w:sz="12" w:space="8"/>
        </w:pBdr>
        <w:spacing w:after="120" w:before="120"/>
        <w:ind w:left="360"/>
        <w:rPr/>
      </w:pPr>
      <w:r>
        <w:rPr>
          <w:i/>
          <w:iCs/>
          <w:color w:val="444444"/>
        </w:rPr>
        <w:t xml:space="preserve">What are key moments that are important to know?</w:t>
      </w:r>
      <w:r/>
    </w:p>
    <w:p>
      <w:pPr>
        <w:pBdr/>
        <w:spacing w:after="160" w:line="300" w:lineRule="auto"/>
        <w:ind/>
        <w:jc w:val="both"/>
        <w:rPr/>
      </w:pPr>
      <w:r>
        <w:t xml:space="preserve">He founded the Fatah movement and became chairman of the Palestine Liberation Organization (PLO) in 1969.</w:t>
      </w:r>
      <w:r/>
    </w:p>
    <w:p>
      <w:pPr>
        <w:pBdr/>
        <w:spacing w:after="160" w:line="300" w:lineRule="auto"/>
        <w:ind/>
        <w:jc w:val="both"/>
        <w:rPr/>
      </w:pPr>
      <w:r>
        <w:t xml:space="preserve">A condensed timeline of Arafat’s career anchors the analysis. Each entry is given fuller historical significance on the companion website.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400"/>
        <w:gridCol w:w="6060"/>
      </w:tblGrid>
      <w:tr>
        <w:trPr/>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bCs/>
                <w:sz w:val="20"/>
                <w:szCs w:val="20"/>
              </w:rPr>
              <w:t xml:space="preserve">Year</w:t>
            </w:r>
            <w:r/>
          </w:p>
        </w:tc>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bCs/>
                <w:sz w:val="20"/>
                <w:szCs w:val="20"/>
              </w:rPr>
              <w:t xml:space="preserve">Event</w:t>
            </w:r>
            <w:r/>
          </w:p>
        </w:tc>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bCs/>
                <w:sz w:val="20"/>
                <w:szCs w:val="20"/>
              </w:rPr>
              <w:t xml:space="preserve">Significance</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1929</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Born in Cairo</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Mixed Palestinian/Egyptian heritage; insisted on Palestinian identity despite biographical evidence to the contrary (Agha &amp; Khalidi 2014).</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1948</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Al-Nakba</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Over 700,000 Palestinians displaced; the Absentee Property Law (1950) transferred most Palestinian land to the Israeli state (Peteet 2016).</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1959</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Co-founds Fatah</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Structured as a haraka (national movement) rather than hizb (political party), enabling broad coalition-building (Agha &amp; Khalidi 2014).</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1967</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Six-Day War</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Failure of Arab states discredited their nationalism; Palestinians concluded they could not rely on neighbors. Identity-card system imposed on the occupied territories (Peteet 2016).</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1969</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Becomes PLO Chairman</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PLO shifts from tool of Arab governments to independent Palestinian institution. Solidarity ties with the ANC begin (Peteet 2016).</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1974</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Addresses UN General Assembly</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First non-state leader to address the UNGA; Arab League declares the PLO sole legitimate representative of the Palestinian people (Peteet 2016, 257).</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1982</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Israeli invasion of Lebanon; PLO expelled from Beirut</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Wagner (1983, 407) documents the looting of the Palestine Research Centre; PLO relocates to Tunis and accelerates diplomatic strategy.</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1987</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First Intifada</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Grassroots uprising that caught Arafat off-guard; he moved to bring it under PLO leadership, opening the path to Oslo.</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1988</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Declaration of Independence; PLO accepts UN Resolution 242</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Formal acceptance of a two-state framework; PLO concedes the original demand for full liberation of historical Palestine (Peteet 2016, 258).</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1993</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Oslo Accords signed</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Mutual recognition with Israel; Peteet (2016, 251) argues Oslo “formalized separation,” producing non-contiguous Palestinian entities while Israel retained real sovereignty.</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1994</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Nobel Peace Prize (with Rabin and Peres)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Newman (1999) treats the Rabin–Arafat handshake as the iconic image of the conflict’s ambiguities. Contested among Palestinians.</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900" w:type="dxa"/>
            <w:textDirection w:val="lrTb"/>
            <w:noWrap w:val="false"/>
          </w:tcPr>
          <w:p>
            <w:pPr>
              <w:pBdr/>
              <w:spacing w:after="0"/>
              <w:ind/>
              <w:rPr/>
            </w:pPr>
            <w:r>
              <w:rPr>
                <w:b w:val="0"/>
                <w:bCs w:val="0"/>
                <w:sz w:val="20"/>
                <w:szCs w:val="20"/>
              </w:rPr>
              <w:t xml:space="preserve">2004</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400" w:type="dxa"/>
            <w:textDirection w:val="lrTb"/>
            <w:noWrap w:val="false"/>
          </w:tcPr>
          <w:p>
            <w:pPr>
              <w:pBdr/>
              <w:spacing w:after="0"/>
              <w:ind/>
              <w:rPr/>
            </w:pPr>
            <w:r>
              <w:rPr>
                <w:b w:val="0"/>
                <w:bCs w:val="0"/>
                <w:sz w:val="20"/>
                <w:szCs w:val="20"/>
              </w:rPr>
              <w:t xml:space="preserve">Dies in Paris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6060" w:type="dxa"/>
            <w:textDirection w:val="lrTb"/>
            <w:noWrap w:val="false"/>
          </w:tcPr>
          <w:p>
            <w:pPr>
              <w:pBdr/>
              <w:spacing w:after="0"/>
              <w:ind/>
              <w:rPr/>
            </w:pPr>
            <w:r>
              <w:rPr>
                <w:b w:val="0"/>
                <w:bCs w:val="0"/>
                <w:sz w:val="20"/>
                <w:szCs w:val="20"/>
              </w:rPr>
              <w:t xml:space="preserve">Agha &amp; Khalidi (2014) identify three legacies: restoring Palestinian political agency, laying groundwork for peace, and returning the movement to Palestinian soil. The first is most enduring; the others remain unfinished.</w:t>
            </w:r>
            <w:r/>
          </w:p>
        </w:tc>
      </w:tr>
    </w:tbl>
    <w:p>
      <w:pPr>
        <w:pStyle w:val="743"/>
        <w:pBdr/>
        <w:spacing w:after="140" w:before="280"/>
        <w:ind/>
        <w:rPr/>
      </w:pPr>
      <w:r>
        <w:t xml:space="preserve">Q3. Race Co-Constructed with Other Historical Factors</w:t>
      </w:r>
      <w:r/>
    </w:p>
    <w:p>
      <w:pPr>
        <w:pBdr>
          <w:left w:val="single" w:color="3a6bc8" w:sz="12" w:space="8"/>
        </w:pBdr>
        <w:spacing w:after="120" w:before="120"/>
        <w:ind w:left="360"/>
        <w:rPr/>
      </w:pPr>
      <w:r>
        <w:rPr>
          <w:i/>
          <w:iCs/>
          <w:color w:val="444444"/>
        </w:rPr>
        <w:t xml:space="preserve">How has the category of race been co-constructed with other relevant historical factors?</w:t>
      </w:r>
      <w:r/>
    </w:p>
    <w:p>
      <w:pPr>
        <w:pBdr/>
        <w:spacing w:after="160" w:line="300" w:lineRule="auto"/>
        <w:ind/>
        <w:jc w:val="both"/>
        <w:rPr/>
      </w:pPr>
      <w:r>
        <w:t xml:space="preserve">Peteet (2016) argues that both Israe</w:t>
      </w:r>
      <w:r>
        <w:t xml:space="preserve">l and South Africa were states constructed around classificatory systems that produced racial hierarchy. The broad categories Arab/Jew — like Black/white in South Africa — were not descriptions of pre-existing natural groups but the scaffolding upon which </w:t>
      </w:r>
      <w:r>
        <w:t xml:space="preserve">“inequality and a hierarchical social order rested”</w:t>
      </w:r>
      <w:r>
        <w:t xml:space="preserve"> (Peteet 2016, 249). For Palestinians, this classification was physically inscribed: color-coded Israeli identity cards, a permit system governing movement, and separate road networks divided the occupied population into multiple legal sub-categories.</w:t>
      </w:r>
      <w:r/>
    </w:p>
    <w:p>
      <w:pPr>
        <w:pBdr/>
        <w:spacing w:after="160" w:line="300" w:lineRule="auto"/>
        <w:ind/>
        <w:jc w:val="both"/>
        <w:rPr/>
      </w:pPr>
      <w:r>
        <w:t xml:space="preserve">Being “Palestinian” under Israeli occupation was therefore not just an ethnic or cultural identity — it was a legally imposed administrative category that determined the conditions of daily life. As Peteet (2016, 264) notes, </w:t>
      </w:r>
      <w:r>
        <w:t xml:space="preserve">“the occupation divided and hierarchized Palestinians into multiple categories which were then inscribed on their identity cards”:</w:t>
      </w:r>
      <w:r>
        <w:t xml:space="preserve"> Jerusalem residency holders, West Bank residents, Gaza residents, and Jordanian passport holders all occupied distinct legal positions with distinct rights to mobility, employment, and family unification.</w:t>
      </w:r>
      <w:r/>
    </w:p>
    <w:p>
      <w:pPr>
        <w:pBdr/>
        <w:spacing w:after="160" w:line="300" w:lineRule="auto"/>
        <w:ind/>
        <w:jc w:val="both"/>
        <w:rPr/>
      </w:pPr>
      <w:r>
        <w:t xml:space="preserve">Palestinian identity was also co-constructed with religion, though within a secular nationalist framework. Arafat’s PLO was explicitly secular — Agha &amp; Khalidi (2014) note that he </w:t>
      </w:r>
      <w:r>
        <w:t xml:space="preserve">“</w:t>
      </w:r>
      <w:r>
        <w:t xml:space="preserve">moulded Fatah not as a political party (hizb) with strict dogmas, but as an all-encompassing national movement (haraka) within which different political beliefs, competing ideologies and clashing agendas could jostle and compete, but nevertheless coexist.”</w:t>
      </w:r>
      <w:r>
        <w:t xml:space="preserve"> Yet the Israeli legal framework categorized Palestinians partly through religion — Peteet (2016) notes Palestini</w:t>
      </w:r>
      <w:r>
        <w:t xml:space="preserve">an citizens of Israel were divided into Muslim, Druze, Christian, and Bedouin categories with varying rights. Religious differentiation was a tool of administrative classification serving the colonial state’s interest in subdividing the subject population.</w:t>
      </w:r>
      <w:r/>
    </w:p>
    <w:p>
      <w:pPr>
        <w:pBdr/>
        <w:spacing w:after="160" w:line="300" w:lineRule="auto"/>
        <w:ind/>
        <w:jc w:val="both"/>
        <w:rPr/>
      </w:pPr>
      <w:r>
        <w:t xml:space="preserve">Finally, Palestinian identity was co-constructed with diaspora geography. The mass refugee population scattered across Jordan, Lebanon, Syria, and beyond was legally stateless, yet understood itself as Palestini</w:t>
      </w:r>
      <w:r>
        <w:t xml:space="preserve">an. The tension at the heart of Arafat’s own biography — born in Cairo, of mixed heritage, yet claiming Jerusalem — mirrors the larger tension between territorial belonging and political solidarity. Arafat resolved this politically rather than biologically</w:t>
      </w:r>
      <w:r>
        <w:t xml:space="preserve">, which is why the PLO consistently defined Palestinian identity through the right of return and political aspiration rather than pure genealogy. Newman (1999) adds the methodological observation that competing national groups construct identities through </w:t>
      </w:r>
      <w:r>
        <w:t xml:space="preserve">“exclusive interpretation of territorial texts”</w:t>
      </w:r>
      <w:r>
        <w:t xml:space="preserve"> — maps, place names, spatial myths — making it genuinely hard for participants to read the other’s narrative as legitimate.</w:t>
      </w:r>
      <w:r/>
    </w:p>
    <w:p>
      <w:pPr>
        <w:pBdr/>
        <w:spacing/>
        <w:ind/>
        <w:rPr/>
      </w:pPr>
      <w:r>
        <w:br w:type="page" w:clear="all"/>
      </w:r>
      <w:r/>
    </w:p>
    <w:p>
      <w:pPr>
        <w:pStyle w:val="742"/>
        <w:pBdr/>
        <w:spacing w:after="180" w:before="360"/>
        <w:ind/>
        <w:rPr/>
      </w:pPr>
      <w:r>
        <w:t xml:space="preserve">Part 2: Repertoire of Contention</w:t>
      </w:r>
      <w:r/>
    </w:p>
    <w:p>
      <w:pPr>
        <w:pBdr/>
        <w:spacing w:after="160" w:line="300" w:lineRule="auto"/>
        <w:ind/>
        <w:jc w:val="both"/>
        <w:rPr/>
      </w:pPr>
      <w:r>
        <w:t xml:space="preserve">Charles Tilly’s concept of </w:t>
      </w:r>
      <w:r>
        <w:rPr>
          <w:i/>
          <w:iCs/>
        </w:rPr>
        <w:t xml:space="preserve">“repertoire of contention”</w:t>
      </w:r>
      <w:r>
        <w:t xml:space="preserve"> describes the full toolkit of tactics a movement uses to pursue change. Arafat’s political programme evolved from </w:t>
      </w:r>
      <w:r>
        <w:t xml:space="preserve">“an emphasis on armed action as the sole means of struggle in 1968 to its eventual disappearance from the PLO’s political programme altogether after 1990”</w:t>
      </w:r>
      <w:r>
        <w:t xml:space="preserve"> (Agha &amp; Khalidi 2014).</w:t>
      </w:r>
      <w:r/>
    </w:p>
    <w:p>
      <w:pPr>
        <w:pStyle w:val="743"/>
        <w:pBdr/>
        <w:spacing w:after="140" w:before="280"/>
        <w:ind/>
        <w:rPr/>
      </w:pPr>
      <w:r>
        <w:t xml:space="preserve">Q1. Does Change Come from the Grassroots?</w:t>
      </w:r>
      <w:r/>
    </w:p>
    <w:p>
      <w:pPr>
        <w:pBdr>
          <w:left w:val="single" w:color="3a6bc8" w:sz="12" w:space="8"/>
        </w:pBdr>
        <w:spacing w:after="120" w:before="120"/>
        <w:ind w:left="360"/>
        <w:rPr/>
      </w:pPr>
      <w:r>
        <w:rPr>
          <w:i/>
          <w:iCs/>
          <w:color w:val="444444"/>
        </w:rPr>
        <w:t xml:space="preserve">Do they believe change comes from the grassroots?</w:t>
      </w:r>
      <w:r/>
    </w:p>
    <w:p>
      <w:pPr>
        <w:pBdr/>
        <w:spacing w:after="160" w:line="300" w:lineRule="auto"/>
        <w:ind/>
        <w:jc w:val="both"/>
        <w:rPr/>
      </w:pPr>
      <w:r>
        <w:t xml:space="preserve">Arafat’s approach was simultaneously grassroots and elite-driven. In the early years, Fatah’s fedayeen operations built Palestinian national consciousness from the refugee camps outward. Agha &amp; Khalidi (2014) argue that </w:t>
      </w:r>
      <w:r>
        <w:t xml:space="preserve">“without armed struggle, the Palestinian issue would have remained no more than yet another refugee problem alongside the many other displacements lingering on the periphery of the world’s conscience.”</w:t>
      </w:r>
      <w:r>
        <w:t xml:space="preserve"> Armed struggle was the movement’s raison d’être — the tool that forced the Palestinian cause onto the global political map.</w:t>
      </w:r>
      <w:r/>
    </w:p>
    <w:p>
      <w:pPr>
        <w:pBdr/>
        <w:spacing w:after="160" w:line="300" w:lineRule="auto"/>
        <w:ind/>
        <w:jc w:val="both"/>
        <w:rPr/>
      </w:pPr>
      <w:r>
        <w:t xml:space="preserve">The 1982 Israeli invasion of Lebanon, documented in Wagner’s eyewitness account, tested the limits of this approach. Wagner (1983, 405) describes the scale of destruction: </w:t>
      </w:r>
      <w:r>
        <w:t xml:space="preserve">“massive air, sea and land bombardments had destroyed much of the cities and camps.”</w:t>
      </w:r>
      <w:r>
        <w:t xml:space="preserve"> The Palestine Research Centre — the repository of documents on pre-1948 Palestinian life — was emptied by Israeli soldiers (Wagner 1983, 407). This destruction of Palestinian institutional memory was a deliberate strategic act, not collateral damage.</w:t>
      </w:r>
      <w:r/>
    </w:p>
    <w:p>
      <w:pPr>
        <w:pBdr/>
        <w:spacing w:after="160" w:line="300" w:lineRule="auto"/>
        <w:ind/>
        <w:jc w:val="both"/>
        <w:rPr/>
      </w:pPr>
      <w:r>
        <w:t xml:space="preserve">The First Intifada (1987–91) was a genuine grassroots uprising that caught Arafat</w:t>
      </w:r>
      <w:r>
        <w:t xml:space="preserve"> off-guard while he was in Tunis; he moved quickly to bring it under PLO leadership. By the 1990s, the balance shifted decisively toward top-level diplomacy: Oslo was negotiated entirely at the leadership level. Agha &amp; Khalidi (2014) note that for Arafat, </w:t>
      </w:r>
      <w:r>
        <w:t xml:space="preserve">“Oslo represented the prospect of relocating the Palestinian national movement back to its own soil and putting it on the path to statehood; the detailed text was irrelevant.”</w:t>
      </w:r>
      <w:r>
        <w:t xml:space="preserve"> His senior associates insist he never fully read the 1993 accords — he operated on strategic instinct rather than textual precision.</w:t>
      </w:r>
      <w:r/>
    </w:p>
    <w:p>
      <w:pPr>
        <w:pStyle w:val="743"/>
        <w:pBdr/>
        <w:spacing w:after="140" w:before="280"/>
        <w:ind/>
        <w:rPr/>
      </w:pPr>
      <w:r>
        <w:t xml:space="preserve">Q2. Advocacy to the State</w:t>
      </w:r>
      <w:r/>
    </w:p>
    <w:p>
      <w:pPr>
        <w:pBdr>
          <w:left w:val="single" w:color="3a6bc8" w:sz="12" w:space="8"/>
        </w:pBdr>
        <w:spacing w:after="120" w:before="120"/>
        <w:ind w:left="360"/>
        <w:rPr/>
      </w:pPr>
      <w:r>
        <w:rPr>
          <w:i/>
          <w:iCs/>
          <w:color w:val="444444"/>
        </w:rPr>
        <w:t xml:space="preserve">Are they advocating to the State?</w:t>
      </w:r>
      <w:r/>
    </w:p>
    <w:p>
      <w:pPr>
        <w:pBdr/>
        <w:spacing w:after="160" w:line="300" w:lineRule="auto"/>
        <w:ind/>
        <w:jc w:val="both"/>
        <w:rPr/>
      </w:pPr>
      <w:r>
        <w:t xml:space="preserve">Arafat pursued state-level advocacy through the UN, the Arab League, and bilateral negotiations with Israel. His 1974 UN General Assembly address — the first ever by a non-state leader — was a landmark moment. Peteet (2016, 257) notes that by this point </w:t>
      </w:r>
      <w:r>
        <w:t xml:space="preserve">“the comparison between occupation and apartheid had garnered broad reach”</w:t>
      </w:r>
      <w:r>
        <w:t xml:space="preserve"> internationally, and the PLO was simultaneously recognized as sole legitimate representative of the Palestinian people by the Arab League.</w:t>
      </w:r>
      <w:r/>
    </w:p>
    <w:p>
      <w:pPr>
        <w:pBdr/>
        <w:spacing w:after="160" w:line="300" w:lineRule="auto"/>
        <w:ind/>
        <w:jc w:val="both"/>
        <w:rPr/>
      </w:pPr>
      <w:r>
        <w:t xml:space="preserve">Advocacy to the state had a structural ceiling imposed by US power. Wagner (1983) documents how US Ambassador Dillon in Beirut could not even visit the Red Crescent hospital </w:t>
      </w:r>
      <w:r>
        <w:t xml:space="preserve">“because of US restrictions on meeting with the PLO.”</w:t>
      </w:r>
      <w:r>
        <w:t xml:space="preserve"> Wagner (1983, 409) observes that </w:t>
      </w:r>
      <w:r>
        <w:t xml:space="preserve">“Israel receives more economic and military aid from the US than any other nation in the world”</w:t>
      </w:r>
      <w:r>
        <w:t xml:space="preserve"> — a condition that severely constrained what Palestinian diplomatic advocacy could achieve. Agha &amp; Khalidi (2014) describe how Arafat navigated this pragmatically: he </w:t>
      </w:r>
      <w:r>
        <w:t xml:space="preserve">“remained open to dealing with even the most hardline elements in Israel,”</w:t>
      </w:r>
      <w:r>
        <w:t xml:space="preserve"> preferring Israeli hawks because he believed they, unlike moderates, could actually carry out the necessary difficult decisions.</w:t>
      </w:r>
      <w:r/>
    </w:p>
    <w:p>
      <w:pPr>
        <w:pStyle w:val="743"/>
        <w:pBdr/>
        <w:spacing w:after="140" w:before="280"/>
        <w:ind/>
        <w:rPr/>
      </w:pPr>
      <w:r>
        <w:t xml:space="preserve">Q3 &amp; Q4. Tactics Used and Their Results</w:t>
      </w:r>
      <w:r/>
    </w:p>
    <w:p>
      <w:pPr>
        <w:pBdr>
          <w:left w:val="single" w:color="3a6bc8" w:sz="12" w:space="8"/>
        </w:pBdr>
        <w:spacing w:after="120" w:before="120"/>
        <w:ind w:left="360"/>
        <w:rPr/>
      </w:pPr>
      <w:r>
        <w:rPr>
          <w:i/>
          <w:iCs/>
          <w:color w:val="444444"/>
        </w:rPr>
        <w:t xml:space="preserve">What tactics do they use? What were the results?</w:t>
      </w:r>
      <w:r/>
    </w:p>
    <w:p>
      <w:pPr>
        <w:pBdr/>
        <w:spacing w:after="160" w:line="300" w:lineRule="auto"/>
        <w:ind/>
        <w:jc w:val="both"/>
        <w:rPr/>
      </w:pPr>
      <w:r>
        <w:t xml:space="preserve">The table below summarizes Arafat’s major tactical phases, the period in which each was deployed, the strategic logic behind it, and its concrete result.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1200"/>
        <w:gridCol w:w="3130"/>
        <w:gridCol w:w="3130"/>
      </w:tblGrid>
      <w:tr>
        <w:trPr/>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900" w:type="dxa"/>
            <w:textDirection w:val="lrTb"/>
            <w:noWrap w:val="false"/>
          </w:tcPr>
          <w:p>
            <w:pPr>
              <w:pBdr/>
              <w:spacing w:after="0"/>
              <w:ind/>
              <w:rPr/>
            </w:pPr>
            <w:r>
              <w:rPr>
                <w:b/>
                <w:bCs/>
                <w:sz w:val="20"/>
                <w:szCs w:val="20"/>
              </w:rPr>
              <w:t xml:space="preserve">Tactic</w:t>
            </w:r>
            <w:r/>
          </w:p>
        </w:tc>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200" w:type="dxa"/>
            <w:textDirection w:val="lrTb"/>
            <w:noWrap w:val="false"/>
          </w:tcPr>
          <w:p>
            <w:pPr>
              <w:pBdr/>
              <w:spacing w:after="0"/>
              <w:ind/>
              <w:rPr/>
            </w:pPr>
            <w:r>
              <w:rPr>
                <w:b/>
                <w:bCs/>
                <w:sz w:val="20"/>
                <w:szCs w:val="20"/>
              </w:rPr>
              <w:t xml:space="preserve">Period</w:t>
            </w:r>
            <w:r/>
          </w:p>
        </w:tc>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bCs/>
                <w:sz w:val="20"/>
                <w:szCs w:val="20"/>
              </w:rPr>
              <w:t xml:space="preserve">Description</w:t>
            </w:r>
            <w:r/>
          </w:p>
        </w:tc>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bCs/>
                <w:sz w:val="20"/>
                <w:szCs w:val="20"/>
              </w:rPr>
              <w:t xml:space="preserve">Result</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900" w:type="dxa"/>
            <w:textDirection w:val="lrTb"/>
            <w:noWrap w:val="false"/>
          </w:tcPr>
          <w:p>
            <w:pPr>
              <w:pBdr/>
              <w:spacing w:after="0"/>
              <w:ind/>
              <w:rPr/>
            </w:pPr>
            <w:r>
              <w:rPr>
                <w:b w:val="0"/>
                <w:bCs w:val="0"/>
                <w:sz w:val="20"/>
                <w:szCs w:val="20"/>
              </w:rPr>
              <w:t xml:space="preserve">Armed resistance (fedayeen)</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200" w:type="dxa"/>
            <w:textDirection w:val="lrTb"/>
            <w:noWrap w:val="false"/>
          </w:tcPr>
          <w:p>
            <w:pPr>
              <w:pBdr/>
              <w:spacing w:after="0"/>
              <w:ind/>
              <w:rPr/>
            </w:pPr>
            <w:r>
              <w:rPr>
                <w:b w:val="0"/>
                <w:bCs w:val="0"/>
                <w:sz w:val="20"/>
                <w:szCs w:val="20"/>
              </w:rPr>
              <w:t xml:space="preserve">1960s–70s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Fatah-led guerrilla raids from Jordan and Lebanon. Agha &amp; Khalidi (2014) argue armed struggle was the movement’s most powerful appeal.</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Built Palestinian national consciousness but led to expulsion from Jordan (1971) and Lebanon (1982). Eventually disappeared from the PLO’s political programme after 1990.</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900" w:type="dxa"/>
            <w:textDirection w:val="lrTb"/>
            <w:noWrap w:val="false"/>
          </w:tcPr>
          <w:p>
            <w:pPr>
              <w:pBdr/>
              <w:spacing w:after="0"/>
              <w:ind/>
              <w:rPr/>
            </w:pPr>
            <w:r>
              <w:rPr>
                <w:b w:val="0"/>
                <w:bCs w:val="0"/>
                <w:sz w:val="20"/>
                <w:szCs w:val="20"/>
              </w:rPr>
              <w:t xml:space="preserve">UN General Assembly address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200" w:type="dxa"/>
            <w:textDirection w:val="lrTb"/>
            <w:noWrap w:val="false"/>
          </w:tcPr>
          <w:p>
            <w:pPr>
              <w:pBdr/>
              <w:spacing w:after="0"/>
              <w:ind/>
              <w:rPr/>
            </w:pPr>
            <w:r>
              <w:rPr>
                <w:b w:val="0"/>
                <w:bCs w:val="0"/>
                <w:sz w:val="20"/>
                <w:szCs w:val="20"/>
              </w:rPr>
              <w:t xml:space="preserve">1974</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First non-state leader to address the UNGA. Pursued formal recognition for the PLO and the Palestinian cause on the world stage.</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PLO granted UN observer status; Arab League declared the PLO sole legitimate representative of the Palestinian people.</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900" w:type="dxa"/>
            <w:textDirection w:val="lrTb"/>
            <w:noWrap w:val="false"/>
          </w:tcPr>
          <w:p>
            <w:pPr>
              <w:pBdr/>
              <w:spacing w:after="0"/>
              <w:ind/>
              <w:rPr/>
            </w:pPr>
            <w:r>
              <w:rPr>
                <w:b w:val="0"/>
                <w:bCs w:val="0"/>
                <w:sz w:val="20"/>
                <w:szCs w:val="20"/>
              </w:rPr>
              <w:t xml:space="preserve">International diplomatic campaigns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200" w:type="dxa"/>
            <w:textDirection w:val="lrTb"/>
            <w:noWrap w:val="false"/>
          </w:tcPr>
          <w:p>
            <w:pPr>
              <w:pBdr/>
              <w:spacing w:after="0"/>
              <w:ind/>
              <w:rPr/>
            </w:pPr>
            <w:r>
              <w:rPr>
                <w:b w:val="0"/>
                <w:bCs w:val="0"/>
                <w:sz w:val="20"/>
                <w:szCs w:val="20"/>
              </w:rPr>
              <w:t xml:space="preserve">1970s–80s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Pursued Non-Aligned Movement membership and solidarity with Third World liberation movements; Fatah hosted revolutionary movements from Africa, Latin America, and Iran (Agha &amp; Khalidi 2014).</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By the mid-1970s, over 100 states recognized the PLO. The PLO–ANC solidarity connection later inspired the BDS movement (Peteet 2016).</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900" w:type="dxa"/>
            <w:textDirection w:val="lrTb"/>
            <w:noWrap w:val="false"/>
          </w:tcPr>
          <w:p>
            <w:pPr>
              <w:pBdr/>
              <w:spacing w:after="0"/>
              <w:ind/>
              <w:rPr/>
            </w:pPr>
            <w:r>
              <w:rPr>
                <w:b w:val="0"/>
                <w:bCs w:val="0"/>
                <w:sz w:val="20"/>
                <w:szCs w:val="20"/>
              </w:rPr>
              <w:t xml:space="preserve">Declaration of Independence</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200" w:type="dxa"/>
            <w:textDirection w:val="lrTb"/>
            <w:noWrap w:val="false"/>
          </w:tcPr>
          <w:p>
            <w:pPr>
              <w:pBdr/>
              <w:spacing w:after="0"/>
              <w:ind/>
              <w:rPr/>
            </w:pPr>
            <w:r>
              <w:rPr>
                <w:b w:val="0"/>
                <w:bCs w:val="0"/>
                <w:sz w:val="20"/>
                <w:szCs w:val="20"/>
              </w:rPr>
              <w:t xml:space="preserve">1988</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Proclaimed a Palestinian state and formally accepted a two-state framework, implicitly recognizing Israel within pre-1967 borders.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Over 100 states recognized the State of Palestine within months. Opened US–PLO dialogue. Represented the PLO’s most significant strategic concession.</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900" w:type="dxa"/>
            <w:textDirection w:val="lrTb"/>
            <w:noWrap w:val="false"/>
          </w:tcPr>
          <w:p>
            <w:pPr>
              <w:pBdr/>
              <w:spacing w:after="0"/>
              <w:ind/>
              <w:rPr/>
            </w:pPr>
            <w:r>
              <w:rPr>
                <w:b w:val="0"/>
                <w:bCs w:val="0"/>
                <w:sz w:val="20"/>
                <w:szCs w:val="20"/>
              </w:rPr>
              <w:t xml:space="preserve">Oslo Peace Negotiations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200" w:type="dxa"/>
            <w:textDirection w:val="lrTb"/>
            <w:noWrap w:val="false"/>
          </w:tcPr>
          <w:p>
            <w:pPr>
              <w:pBdr/>
              <w:spacing w:after="0"/>
              <w:ind/>
              <w:rPr/>
            </w:pPr>
            <w:r>
              <w:rPr>
                <w:b w:val="0"/>
                <w:bCs w:val="0"/>
                <w:sz w:val="20"/>
                <w:szCs w:val="20"/>
              </w:rPr>
              <w:t xml:space="preserve">1993</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Secret back-channel talks led to mutual recognition between Israel and the PLO and creation of the Palestinian Authority.</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Peteet (2016, 251) argues Oslo “formalized separation,” producing “quasi-autonomous, non-contiguous Palestinian entities” while Israel retained control of borders, security, land, water, currency, and airspace.</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900" w:type="dxa"/>
            <w:textDirection w:val="lrTb"/>
            <w:noWrap w:val="false"/>
          </w:tcPr>
          <w:p>
            <w:pPr>
              <w:pBdr/>
              <w:spacing w:after="0"/>
              <w:ind/>
              <w:rPr/>
            </w:pPr>
            <w:r>
              <w:rPr>
                <w:b w:val="0"/>
                <w:bCs w:val="0"/>
                <w:sz w:val="20"/>
                <w:szCs w:val="20"/>
              </w:rPr>
              <w:t xml:space="preserve">Palestinian Authority governance</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1200" w:type="dxa"/>
            <w:textDirection w:val="lrTb"/>
            <w:noWrap w:val="false"/>
          </w:tcPr>
          <w:p>
            <w:pPr>
              <w:pBdr/>
              <w:spacing w:after="0"/>
              <w:ind/>
              <w:rPr/>
            </w:pPr>
            <w:r>
              <w:rPr>
                <w:b w:val="0"/>
                <w:bCs w:val="0"/>
                <w:sz w:val="20"/>
                <w:szCs w:val="20"/>
              </w:rPr>
              <w:t xml:space="preserve">1994–2004</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Arafat led the PA as its first president, attempting to build state institutions while managing internal factions and continuing negotiations.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130" w:type="dxa"/>
            <w:textDirection w:val="lrTb"/>
            <w:noWrap w:val="false"/>
          </w:tcPr>
          <w:p>
            <w:pPr>
              <w:pBdr/>
              <w:spacing w:after="0"/>
              <w:ind/>
              <w:rPr/>
            </w:pPr>
            <w:r>
              <w:rPr>
                <w:b w:val="0"/>
                <w:bCs w:val="0"/>
                <w:sz w:val="20"/>
                <w:szCs w:val="20"/>
              </w:rPr>
              <w:t xml:space="preserve">Peteet (2016) notes policing was effectively outsourced to the PA, making it partly an instrument of security management. Agha &amp; Khalidi (2014) describe the PA’s post-Arafat future as “bleak.”</w:t>
            </w:r>
            <w:r/>
          </w:p>
        </w:tc>
      </w:tr>
    </w:tbl>
    <w:p>
      <w:pPr>
        <w:pStyle w:val="743"/>
        <w:pBdr/>
        <w:spacing w:after="140" w:before="280"/>
        <w:ind/>
        <w:rPr/>
      </w:pPr>
      <w:r>
        <w:t xml:space="preserve">Q5. International Connections</w:t>
      </w:r>
      <w:r/>
    </w:p>
    <w:p>
      <w:pPr>
        <w:pBdr>
          <w:left w:val="single" w:color="3a6bc8" w:sz="12" w:space="8"/>
        </w:pBdr>
        <w:spacing w:after="120" w:before="120"/>
        <w:ind w:left="360"/>
        <w:rPr/>
      </w:pPr>
      <w:r>
        <w:rPr>
          <w:i/>
          <w:iCs/>
          <w:color w:val="444444"/>
        </w:rPr>
        <w:t xml:space="preserve">Does the campaign make international connections? If not, how does this impact its demands?</w:t>
      </w:r>
      <w:r/>
    </w:p>
    <w:p>
      <w:pPr>
        <w:pBdr/>
        <w:spacing w:after="160" w:line="300" w:lineRule="auto"/>
        <w:ind/>
        <w:jc w:val="both"/>
        <w:rPr/>
      </w:pPr>
      <w:r>
        <w:t xml:space="preserve">Agha &amp; Khalidi (2014) describe the breadth of Arafat’s international revolutionary network: </w:t>
      </w:r>
      <w:r>
        <w:t xml:space="preserve">“He saw himself as part of a global movement and as a member of an international revolutionary fraternity against injustice, part of the global struggle of oppressed peoples for freedom and liberation.”</w:t>
      </w:r>
      <w:r>
        <w:t xml:space="preserve"> Fatah hosted revolutionary movements from across Africa, Latin America, and Iran, </w:t>
      </w:r>
      <w:r>
        <w:t xml:space="preserve">“offering them refuge, military training, political support, and moral succour.”</w:t>
      </w:r>
      <w:r>
        <w:t xml:space="preserve"> The keffiyeh Arafat wore </w:t>
      </w:r>
      <w:r>
        <w:t xml:space="preserve">“came to symbolise revolution, not just the Palestinian struggle.”</w:t>
      </w:r>
      <w:r>
        <w:t xml:space="preserve"> Most significantly, Peteet (2016, 251) documents that the PLO and the African National Congress established direct ties of solidarity — a connection that would later inspire the Palestinian BDS movement.</w:t>
      </w:r>
      <w:r/>
    </w:p>
    <w:p>
      <w:pPr>
        <w:pBdr/>
        <w:spacing w:after="160" w:line="300" w:lineRule="auto"/>
        <w:ind/>
        <w:jc w:val="both"/>
        <w:rPr/>
      </w:pPr>
      <w:r>
        <w:t xml:space="preserve">However, Wagner (1983) documents in real time what happened when these international connections ran up against US power. During the 1982 invasion, the PLO’s ceasefire with Israel had been holding; UN observers recorded 2,125 violations of</w:t>
      </w:r>
      <w:r>
        <w:t xml:space="preserve"> Lebanese airspace and 652 violations of Lebanon’s territorial waters by Israel after the ceasefire, yet the US took no action (Wagner 1983, 401). The PLO had immediately and categorically denied involvement in the attack on Israeli diplomat Shlomo Argov, </w:t>
      </w:r>
      <w:r>
        <w:t xml:space="preserve">“a fact soon confirmed by Scotland Yard and United Kingdom Prime Minister Thatcher”</w:t>
      </w:r>
      <w:r>
        <w:t xml:space="preserve"> (Wagner 1983, 403), yet Israel used it as a pretext for the full invasion.</w:t>
      </w:r>
      <w:r/>
    </w:p>
    <w:p>
      <w:pPr>
        <w:pBdr/>
        <w:spacing w:after="160" w:line="300" w:lineRule="auto"/>
        <w:ind/>
        <w:jc w:val="both"/>
        <w:rPr/>
      </w:pPr>
      <w:r>
        <w:t xml:space="preserve">The Palestinian BDS movement that emerged decades later drew explicitly on the South African model. As Peteet (2016, 258) notes, </w:t>
      </w:r>
      <w:r>
        <w:t xml:space="preserve">“the 2005 launch of the Palestinian BDS campaign, a South African-derived model, aimed to compel Israeli compliance with international law.”</w:t>
      </w:r>
      <w:r>
        <w:t xml:space="preserve"> The comparison was deliberate: Palestinian activists recognized that international solidarity — economic</w:t>
      </w:r>
      <w:r>
        <w:t xml:space="preserve"> boycotts, divestment, cultural isolation — had been the key tool that finally ended apartheid. Whether that model could work against Israeli occupation, given continued US support for Israel, remained an open question that Arafat’s own era never resolved.</w:t>
      </w:r>
      <w:r/>
    </w:p>
    <w:p>
      <w:pPr>
        <w:pBdr/>
        <w:spacing/>
        <w:ind/>
        <w:rPr/>
      </w:pPr>
      <w:r>
        <w:br w:type="page" w:clear="all"/>
      </w:r>
      <w:r/>
    </w:p>
    <w:p>
      <w:pPr>
        <w:pStyle w:val="742"/>
        <w:pBdr/>
        <w:spacing w:after="180" w:before="360"/>
        <w:ind/>
        <w:rPr/>
      </w:pPr>
      <w:r>
        <w:t xml:space="preserve">Part 3: Connection to Class Material</w:t>
      </w:r>
      <w:r/>
    </w:p>
    <w:p>
      <w:pPr>
        <w:pStyle w:val="743"/>
        <w:pBdr/>
        <w:spacing w:after="140" w:before="280"/>
        <w:ind/>
        <w:rPr/>
      </w:pPr>
      <w:r>
        <w:t xml:space="preserve">Q1. Definition of Race — Biological or Cultural Essentialism?</w:t>
      </w:r>
      <w:r/>
    </w:p>
    <w:p>
      <w:pPr>
        <w:pBdr>
          <w:left w:val="single" w:color="3a6bc8" w:sz="12" w:space="8"/>
        </w:pBdr>
        <w:spacing w:after="120" w:before="120"/>
        <w:ind w:left="360"/>
        <w:rPr/>
      </w:pPr>
      <w:r>
        <w:rPr>
          <w:i/>
          <w:iCs/>
          <w:color w:val="444444"/>
        </w:rPr>
        <w:t xml:space="preserve">How does this relate to our definition of race? In the context of the struggle is it constructed as biological or culturally essentialist?</w:t>
      </w:r>
      <w:r/>
    </w:p>
    <w:p>
      <w:pPr>
        <w:pBdr/>
        <w:spacing w:after="160" w:line="300" w:lineRule="auto"/>
        <w:ind/>
        <w:jc w:val="both"/>
        <w:rPr/>
      </w:pPr>
      <w:r>
        <w:t xml:space="preserve">Palestinian identity as constructed and contested in Arafat’s era d</w:t>
      </w:r>
      <w:r>
        <w:t xml:space="preserve">oes not fit neatly into either biological or cultural essentialism — it challenges both categories while drawing on elements of each. Peteet (2016) provides the key anthropological framework: she argues that both the Zionist and apartheid projects drew on </w:t>
      </w:r>
      <w:r>
        <w:t xml:space="preserve">“19th century formulas of peoplehood, nationalism, culture, and race,”</w:t>
      </w:r>
      <w:r>
        <w:t xml:space="preserve"> and that </w:t>
      </w:r>
      <w:r>
        <w:t xml:space="preserve">“Zionist discourse cast Palestinians as culturally irredeemable non-natives who belonged elsewhere.”</w:t>
      </w:r>
      <w:r>
        <w:t xml:space="preserve"> This is cultural essentialism — Palestinians were denied rights through an ideological insistence that they did not culturally or historically belong to the land. Yet biological elements were also present: Peteet (2016, 265) notes that race had become </w:t>
      </w:r>
      <w:r>
        <w:t xml:space="preserve">“common-sensical for many Jewish nationalists, and, in significant ways, it framed membership and shaped the contours of national belonging in the Jewish state.”</w:t>
      </w:r>
      <w:r/>
    </w:p>
    <w:p>
      <w:pPr>
        <w:pBdr/>
        <w:spacing w:after="160" w:line="300" w:lineRule="auto"/>
        <w:ind/>
        <w:jc w:val="both"/>
        <w:rPr/>
      </w:pPr>
      <w:r>
        <w:t xml:space="preserve">From the Palestinian side, Arafat’s PLO defined Palestinian identity primarily as a political solidarity category. Agha &amp; Khalidi (2014) describe how Arafat built Fatah as a haraka — </w:t>
      </w:r>
      <w:r>
        <w:t xml:space="preserve">“an all-encompassing national movement within which different political beliefs, competing ideologies and clashing agendas could jostle and compete, but nevertheless coexist.”</w:t>
      </w:r>
      <w:r>
        <w:t xml:space="preserve"> This secular, inclusive organizational form resisted essentialist definitions: Christians, Muslims, Marxists, and nationalists w</w:t>
      </w:r>
      <w:r>
        <w:t xml:space="preserve">ere all Palestinian. Yet the right of return — the PLO’s central demand — is grounded in genealogy: in being descended from someone displaced from a specific place in 1948. This gives Palestinian identity a hereditary dimension alongside its political one.</w:t>
      </w:r>
      <w:r/>
    </w:p>
    <w:p>
      <w:pPr>
        <w:pBdr/>
        <w:spacing w:after="160" w:line="300" w:lineRule="auto"/>
        <w:ind/>
        <w:jc w:val="both"/>
        <w:rPr/>
      </w:pPr>
      <w:r>
        <w:t xml:space="preserve">The most important analytical point is what Peteet (2016, 249) calls the </w:t>
      </w:r>
      <w:r>
        <w:t xml:space="preserve">“work”</w:t>
      </w:r>
      <w:r>
        <w:t xml:space="preserve"> of racial classification: </w:t>
      </w:r>
      <w:r>
        <w:t xml:space="preserve">“Distilling social complexity into the categories Arab/Jew and Black/white/colored was the scaffolding upon which inequality and a hierarchical social order rested.”</w:t>
      </w:r>
      <w:r>
        <w:t xml:space="preserve"> Palestinian identity became a racial category not because Palestinianism has fixed biological or cultural content, but because the Israe</w:t>
      </w:r>
      <w:r>
        <w:t xml:space="preserve">li state’s classification system produced it as a category of legal subordination. Race here is constructed relationally — through the encounter with state power — which aligns with the constructivist definition of race central to anthropological analysis.</w:t>
      </w:r>
      <w:r/>
    </w:p>
    <w:p>
      <w:pPr>
        <w:pBdr/>
        <w:spacing w:after="160" w:line="300" w:lineRule="auto"/>
        <w:ind/>
        <w:jc w:val="both"/>
        <w:rPr/>
      </w:pPr>
      <w:r>
        <w:t xml:space="preserve">Peteet (2016, 265) makes a further distinction: </w:t>
      </w:r>
      <w:r>
        <w:t xml:space="preserve">“Ultimately, the Zionist construction of difference codes the racial as cultural, which can be as pernicious as race in elaborating difference.”</w:t>
      </w:r>
      <w:r>
        <w:t xml:space="preserve"> Coding difference as cultural — rather than biological — allows for a discourse of “irreconcilable cultural difference” that pr</w:t>
      </w:r>
      <w:r>
        <w:t xml:space="preserve">oduces the same effects of exclusion and dispossession without the explicit language of race. This is exactly what cultural essentialism means in practice, and it maps directly onto the framework the course uses to distinguish types of racial construction.</w:t>
      </w:r>
      <w:r/>
    </w:p>
    <w:p>
      <w:pPr>
        <w:pStyle w:val="743"/>
        <w:pBdr/>
        <w:spacing w:after="140" w:before="280"/>
        <w:ind/>
        <w:rPr/>
      </w:pPr>
      <w:r>
        <w:t xml:space="preserve">Q2. Comparisons to Other Cases from Class</w:t>
      </w:r>
      <w:r/>
    </w:p>
    <w:p>
      <w:pPr>
        <w:pBdr>
          <w:left w:val="single" w:color="3a6bc8" w:sz="12" w:space="8"/>
        </w:pBdr>
        <w:spacing w:after="120" w:before="120"/>
        <w:ind w:left="360"/>
        <w:rPr/>
      </w:pPr>
      <w:r>
        <w:rPr>
          <w:i/>
          <w:iCs/>
          <w:color w:val="444444"/>
        </w:rPr>
        <w:t xml:space="preserve">Include a discussion of other relevant material and the similarities that exist between your case and others discussed in class.</w:t>
      </w:r>
      <w:r/>
    </w:p>
    <w:p>
      <w:pPr>
        <w:pBdr/>
        <w:spacing w:after="160" w:line="300" w:lineRule="auto"/>
        <w:ind/>
        <w:jc w:val="both"/>
        <w:rPr/>
      </w:pPr>
      <w:r>
        <w:t xml:space="preserve">Petee</w:t>
      </w:r>
      <w:r>
        <w:t xml:space="preserve">t’s (2016) article is itself an explicitly comparative study of Israel/Palestine and apartheid South Africa as settler colonial formations. It is the strongest comparison for this analysis because the connection is built directly into the scholarly source.</w:t>
      </w:r>
      <w:r/>
    </w:p>
    <w:p>
      <w:pPr>
        <w:pBdr/>
        <w:spacing w:after="160" w:line="300" w:lineRule="auto"/>
        <w:ind/>
        <w:jc w:val="both"/>
        <w:rPr/>
      </w:pPr>
      <w:r>
        <w:rPr>
          <w:b/>
          <w:bCs/>
        </w:rPr>
        <w:t xml:space="preserve">Israel/Palestine and Apartheid South Africa.</w:t>
      </w:r>
      <w:r/>
    </w:p>
    <w:p>
      <w:pPr>
        <w:pBdr/>
        <w:spacing w:after="160" w:line="300" w:lineRule="auto"/>
        <w:ind/>
        <w:jc w:val="both"/>
        <w:rPr/>
      </w:pPr>
      <w:r>
        <w:t xml:space="preserve">Peteet (2016, 250) argues both states were </w:t>
      </w:r>
      <w:r>
        <w:t xml:space="preserve">“settler colonial states and societies once supported by imperial Britain, constituted by immigrants, and animated by ideologies of separation and exclusivism that resulted in indigenous displacement and dispossession.”</w:t>
      </w:r>
      <w:r>
        <w:t xml:space="preserve"> Key structural similarities include: racialized classi</w:t>
      </w:r>
      <w:r>
        <w:t xml:space="preserve">fication systems (Arab/Jew and Black/white), land law that transferred approximately 87% of indigenous land to settlers, and mobility control systems (Israel’s permit system vs. South Africa’s passbook). South African observers have argued Israel’s system </w:t>
      </w:r>
      <w:r>
        <w:t xml:space="preserve">“in severity go[es] well beyond apartheid’s pass system”</w:t>
      </w:r>
      <w:r>
        <w:t xml:space="preserve"> (Peteet 2016, 270). The PLO and ANC established direct ties of solidarity, and the Palestinian BDS campaign was explicitl</w:t>
      </w:r>
      <w:r>
        <w:t xml:space="preserve">y modeled on the anti-apartheid movement. The key difference: South Africa needed Black labor and therefore incorporated the indigenous population economically while maintaining racial hierarchy. Israel aimed at demographic dilution through displacement — </w:t>
      </w:r>
      <w:r>
        <w:t xml:space="preserve">“maximum territory with a minimum number of Arabs.”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580"/>
        <w:gridCol w:w="3580"/>
      </w:tblGrid>
      <w:tr>
        <w:trPr/>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200" w:type="dxa"/>
            <w:textDirection w:val="lrTb"/>
            <w:noWrap w:val="false"/>
          </w:tcPr>
          <w:p>
            <w:pPr>
              <w:pBdr/>
              <w:spacing w:after="0"/>
              <w:ind/>
              <w:rPr/>
            </w:pPr>
            <w:r>
              <w:rPr>
                <w:b/>
                <w:bCs/>
                <w:sz w:val="20"/>
                <w:szCs w:val="20"/>
              </w:rPr>
              <w:t xml:space="preserve">Case (from class)</w:t>
            </w:r>
            <w:r/>
          </w:p>
        </w:tc>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580" w:type="dxa"/>
            <w:textDirection w:val="lrTb"/>
            <w:noWrap w:val="false"/>
          </w:tcPr>
          <w:p>
            <w:pPr>
              <w:pBdr/>
              <w:spacing w:after="0"/>
              <w:ind/>
              <w:rPr/>
            </w:pPr>
            <w:r>
              <w:rPr>
                <w:b/>
                <w:bCs/>
                <w:sz w:val="20"/>
                <w:szCs w:val="20"/>
              </w:rPr>
              <w:t xml:space="preserve">Similarity to Arafat / PLO</w:t>
            </w:r>
            <w:r/>
          </w:p>
        </w:tc>
        <w:tc>
          <w:tcPr>
            <w:shd w:val="clear" w:color="auto" w:fill="d5e8f0"/>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580" w:type="dxa"/>
            <w:textDirection w:val="lrTb"/>
            <w:noWrap w:val="false"/>
          </w:tcPr>
          <w:p>
            <w:pPr>
              <w:pBdr/>
              <w:spacing w:after="0"/>
              <w:ind/>
              <w:rPr/>
            </w:pPr>
            <w:r>
              <w:rPr>
                <w:b/>
                <w:bCs/>
                <w:sz w:val="20"/>
                <w:szCs w:val="20"/>
              </w:rPr>
              <w:t xml:space="preserve">Key Difference</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200" w:type="dxa"/>
            <w:textDirection w:val="lrTb"/>
            <w:noWrap w:val="false"/>
          </w:tcPr>
          <w:p>
            <w:pPr>
              <w:pBdr/>
              <w:spacing w:after="0"/>
              <w:ind/>
              <w:rPr/>
            </w:pPr>
            <w:r>
              <w:rPr>
                <w:b w:val="0"/>
                <w:bCs w:val="0"/>
                <w:sz w:val="20"/>
                <w:szCs w:val="20"/>
              </w:rPr>
              <w:t xml:space="preserve">South Africa / ANC (Peteet 2016)</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580" w:type="dxa"/>
            <w:textDirection w:val="lrTb"/>
            <w:noWrap w:val="false"/>
          </w:tcPr>
          <w:p>
            <w:pPr>
              <w:pBdr/>
              <w:spacing w:after="0"/>
              <w:ind/>
              <w:rPr/>
            </w:pPr>
            <w:r>
              <w:rPr>
                <w:b w:val="0"/>
                <w:bCs w:val="0"/>
                <w:sz w:val="20"/>
                <w:szCs w:val="20"/>
              </w:rPr>
              <w:t xml:space="preserve">Both settler colonial states built on racialized</w:t>
            </w:r>
            <w:r>
              <w:rPr>
                <w:b w:val="0"/>
                <w:bCs w:val="0"/>
                <w:sz w:val="20"/>
                <w:szCs w:val="20"/>
              </w:rPr>
              <w:t xml:space="preserve"> classification, land expropriation (~87%), mobility control, and security repression. Both PLO and ANC initially advocated democratic secular states and established direct solidarity ties. Palestinian BDS explicitly modeled on the anti-apartheid campaign.</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580" w:type="dxa"/>
            <w:textDirection w:val="lrTb"/>
            <w:noWrap w:val="false"/>
          </w:tcPr>
          <w:p>
            <w:pPr>
              <w:pBdr/>
              <w:spacing w:after="0"/>
              <w:ind/>
              <w:rPr/>
            </w:pPr>
            <w:r>
              <w:rPr>
                <w:b w:val="0"/>
                <w:bCs w:val="0"/>
                <w:sz w:val="20"/>
                <w:szCs w:val="20"/>
              </w:rPr>
              <w:t xml:space="preserve">South Africa needed Black labor and incorporated the indigenous population economically while maintaining hierarchy. Israel aims at demographic dilution through displacement. Apartheid was dismantled; Palestinian occupation continues.</w:t>
            </w:r>
            <w:r/>
          </w:p>
        </w:tc>
      </w:tr>
      <w:tr>
        <w:trPr/>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2200" w:type="dxa"/>
            <w:textDirection w:val="lrTb"/>
            <w:noWrap w:val="false"/>
          </w:tcPr>
          <w:p>
            <w:pPr>
              <w:pBdr/>
              <w:spacing w:after="0"/>
              <w:ind/>
              <w:rPr/>
            </w:pPr>
            <w:r>
              <w:rPr>
                <w:b w:val="0"/>
                <w:bCs w:val="0"/>
                <w:sz w:val="20"/>
                <w:szCs w:val="20"/>
              </w:rPr>
              <w:t xml:space="preserve">Rwanda</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580" w:type="dxa"/>
            <w:textDirection w:val="lrTb"/>
            <w:noWrap w:val="false"/>
          </w:tcPr>
          <w:p>
            <w:pPr>
              <w:pBdr/>
              <w:spacing w:after="0"/>
              <w:ind/>
              <w:rPr/>
            </w:pPr>
            <w:r>
              <w:rPr>
                <w:b w:val="0"/>
                <w:bCs w:val="0"/>
                <w:sz w:val="20"/>
                <w:szCs w:val="20"/>
              </w:rPr>
              <w:t xml:space="preserve">Before colonial intervention, Hutu a</w:t>
            </w:r>
            <w:r>
              <w:rPr>
                <w:b w:val="0"/>
                <w:bCs w:val="0"/>
                <w:sz w:val="20"/>
                <w:szCs w:val="20"/>
              </w:rPr>
              <w:t xml:space="preserve">nd Tutsi lived in shared communities; identity became rigid only after early-1900s colonial classification. Identity cards were used in both cases. Parallels how Jewish and Arab populations coexisted before the Zionist project intensified ethnic divisions.</w:t>
            </w:r>
            <w:r/>
          </w:p>
        </w:tc>
        <w:tc>
          <w:tcPr>
            <w:tcBorders>
              <w:top w:val="single" w:color="bbbbbb" w:sz="4" w:space="0"/>
              <w:left w:val="single" w:color="bbbbbb" w:sz="4" w:space="0"/>
              <w:bottom w:val="single" w:color="bbbbbb" w:sz="4" w:space="0"/>
              <w:right w:val="single" w:color="bbbbbb" w:sz="4" w:space="0"/>
            </w:tcBorders>
            <w:tcMar>
              <w:left w:w="140" w:type="dxa"/>
              <w:top w:w="100" w:type="dxa"/>
              <w:right w:w="140" w:type="dxa"/>
              <w:bottom w:w="100" w:type="dxa"/>
            </w:tcMar>
            <w:tcW w:w="3580" w:type="dxa"/>
            <w:textDirection w:val="lrTb"/>
            <w:noWrap w:val="false"/>
          </w:tcPr>
          <w:p>
            <w:pPr>
              <w:pBdr/>
              <w:spacing w:after="0"/>
              <w:ind/>
              <w:rPr/>
            </w:pPr>
            <w:r>
              <w:rPr>
                <w:b w:val="0"/>
                <w:bCs w:val="0"/>
                <w:sz w:val="20"/>
                <w:szCs w:val="20"/>
              </w:rPr>
              <w:t xml:space="preserve">Rwanda’s division was framed primarily as ethnic. In Palestine, the division began with religion before evolving into a difference articulated through race and ethnicity. The mass-violence outcome differs in scale and form.</w:t>
            </w:r>
            <w:r/>
          </w:p>
        </w:tc>
      </w:tr>
    </w:tbl>
    <w:p>
      <w:pPr>
        <w:pStyle w:val="743"/>
        <w:pBdr/>
        <w:spacing w:after="140" w:before="280"/>
        <w:ind/>
        <w:rPr/>
      </w:pPr>
      <w:r>
        <w:t xml:space="preserve">Q3. Final Thoughts</w:t>
      </w:r>
      <w:r/>
    </w:p>
    <w:p>
      <w:pPr>
        <w:pBdr>
          <w:left w:val="single" w:color="3a6bc8" w:sz="12" w:space="8"/>
        </w:pBdr>
        <w:spacing w:after="120" w:before="120"/>
        <w:ind w:left="360"/>
        <w:rPr/>
      </w:pPr>
      <w:r>
        <w:rPr>
          <w:i/>
          <w:iCs/>
          <w:color w:val="444444"/>
        </w:rPr>
        <w:t xml:space="preserve">What are your final thoughts after learning about this person/campaign?</w:t>
      </w:r>
      <w:r/>
    </w:p>
    <w:p>
      <w:pPr>
        <w:pBdr/>
        <w:spacing w:after="160" w:line="300" w:lineRule="auto"/>
        <w:ind/>
        <w:jc w:val="both"/>
        <w:rPr/>
      </w:pPr>
      <w:r>
        <w:t xml:space="preserve">Agha &amp; Khalidi (2014) identify three legacies that frame how Arafat should be evaluated: </w:t>
      </w:r>
      <w:r>
        <w:t xml:space="preserve">“First, to lead the Palestinian people out of the state of political concussion that befell them after the loss of their homelan</w:t>
      </w:r>
      <w:r>
        <w:t xml:space="preserve">d in 1948 and to put them and their cause back on the political map. Second, to lay the foundations for a potential resolution of the conflict with Israel. And third, to grasp the moment and relocate the Palestinian national movement back to its own soil.”</w:t>
      </w:r>
      <w:r>
        <w:t xml:space="preserve"> By their assessment, the first may be his most enduring legacy, the second remains </w:t>
      </w:r>
      <w:r>
        <w:t xml:space="preserve">“a tenuous and uncertain prospect at best,”</w:t>
      </w:r>
      <w:r>
        <w:t xml:space="preserve"> and the third </w:t>
      </w:r>
      <w:r>
        <w:t xml:space="preserve">“has yet to yield significant fruit.”</w:t>
      </w:r>
      <w:r>
        <w:t xml:space="preserve"> This three-part framework is a useful structure for an honest evaluation of a leader whose achievements and failures are deeply intertwined.</w:t>
      </w:r>
      <w:r/>
    </w:p>
    <w:p>
      <w:pPr>
        <w:pBdr/>
        <w:spacing w:after="160" w:line="300" w:lineRule="auto"/>
        <w:ind/>
        <w:jc w:val="both"/>
        <w:rPr/>
      </w:pPr>
      <w:r>
        <w:t xml:space="preserve">Wagner’s (1983) eyewitness account of the 1982 Lebanon war makes viscerally clear what political abstractions miss: Palestinian civilians bore</w:t>
      </w:r>
      <w:r>
        <w:t xml:space="preserve"> the direct cost of the struggle. Wagner (1983, 407) describes Israeli soldiers emptying the Palestine Research Centre, which held photographs and diaries Palestinians had given for safekeeping; an Israeli soldier explained the seized documents would show </w:t>
      </w:r>
      <w:r>
        <w:t xml:space="preserve">“how these terrorists think.”</w:t>
      </w:r>
      <w:r>
        <w:t xml:space="preserve"> The destruction of Palestinian institutional memory was strategic, aimed at severing the docu</w:t>
      </w:r>
      <w:r>
        <w:t xml:space="preserve">mentary basis of Palestinian national identity. Reading Wagner alongside Peteet’s structural analysis shows how the macro-level comparison (settler colonialism as a system) and the micro-level account (specific acts of dispossession) illuminate each other.</w:t>
      </w:r>
      <w:r/>
    </w:p>
    <w:p>
      <w:pPr>
        <w:pBdr/>
        <w:spacing w:after="160" w:line="300" w:lineRule="auto"/>
        <w:ind/>
        <w:jc w:val="both"/>
        <w:rPr/>
      </w:pPr>
      <w:r>
        <w:t xml:space="preserve">Newman (1999) offers a methodological lesson that applies directly here: the </w:t>
      </w:r>
      <w:r>
        <w:t xml:space="preserve">“ingrained positioning”</w:t>
      </w:r>
      <w:r>
        <w:t xml:space="preserve"> of each side in a conflict makes it genuinely hard to read the other’s narrative as legitimate. Newman uses the Rabin–Arafat handshake as his central example, an event that </w:t>
      </w:r>
      <w:r>
        <w:t xml:space="preserve">“readers, with diverse political persuasions and cultural backgrounds, immediately read their own subtexts into.”</w:t>
      </w:r>
      <w:r>
        <w:t xml:space="preserve"> Th</w:t>
      </w:r>
      <w:r>
        <w:t xml:space="preserve">is is why Peteet’s comparative method matters: by placing Israel/Palestine within the broader category of settler colonial formations, comparison can de-exceptionalize the case and make structural patterns visible that a purely internal account would miss.</w:t>
      </w:r>
      <w:r/>
    </w:p>
    <w:p>
      <w:pPr>
        <w:pBdr/>
        <w:spacing w:after="160" w:line="300" w:lineRule="auto"/>
        <w:ind/>
        <w:jc w:val="both"/>
        <w:rPr/>
      </w:pPr>
      <w:r>
        <w:t xml:space="preserve">What Arafat’s case ultimately teaches about race is that racial categories are produced through political and legal processes, no</w:t>
      </w:r>
      <w:r>
        <w:t xml:space="preserve">t discovered in nature. Palestinian identity became a racial category in the sociological sense not because it has fixed biological or cultural content, but because the Israeli state’s classification system — its identity cards, permits, checkpoints, and l</w:t>
      </w:r>
      <w:r>
        <w:t xml:space="preserve">aws — produced it as a category of legal subordination. Arafat’s career was, in large part, an effort to transform that imposed category of subordination into a positive category of national belonging and political aspiration. That he achieved internationa</w:t>
      </w:r>
      <w:r>
        <w:t xml:space="preserve">l recognition for the Palestinian people while failing to deliver a Palestinian state is the central paradox of his legacy, and a reminder that the outcome of political struggle is shaped as much by structural power as by the choices of individual leaders.</w:t>
      </w:r>
      <w:r/>
    </w:p>
    <w:p>
      <w:pPr>
        <w:pBdr/>
        <w:spacing/>
        <w:ind/>
        <w:rPr/>
      </w:pPr>
      <w:r>
        <w:br w:type="page" w:clear="all"/>
      </w:r>
      <w:r/>
    </w:p>
    <w:p>
      <w:pPr>
        <w:pStyle w:val="742"/>
        <w:pBdr/>
        <w:spacing w:after="180" w:before="360"/>
        <w:ind/>
        <w:rPr/>
      </w:pPr>
      <w:r>
        <w:t xml:space="preserve">Bibliography</w:t>
      </w:r>
      <w:r/>
    </w:p>
    <w:p>
      <w:pPr>
        <w:pBdr/>
        <w:spacing w:after="60"/>
        <w:ind w:hanging="360" w:left="360"/>
        <w:rPr/>
      </w:pPr>
      <w:r>
        <w:rPr>
          <w:sz w:val="22"/>
          <w:szCs w:val="22"/>
        </w:rPr>
        <w:t xml:space="preserve">Agha, Hussein, and Ahmad Samih Khalidi. “Yasser Arafat: Why He Still Matters.” The Guardian, November 13, 2014.</w:t>
      </w:r>
      <w:r/>
    </w:p>
    <w:p>
      <w:pPr>
        <w:pBdr/>
        <w:spacing w:after="200"/>
        <w:ind w:left="360"/>
        <w:rPr/>
      </w:pPr>
      <w:r/>
      <w:hyperlink r:id="rId12" w:tooltip="https://www.palestine-studies.org/en/node/1648850" w:history="1">
        <w:r>
          <w:rPr>
            <w:color w:val="0563c1"/>
            <w:sz w:val="20"/>
            <w:szCs w:val="20"/>
            <w:u w:val="single"/>
          </w:rPr>
          <w:t xml:space="preserve">https://www.palestine-studies.org/en/node/1648850</w:t>
        </w:r>
      </w:hyperlink>
      <w:r/>
      <w:r/>
    </w:p>
    <w:p>
      <w:pPr>
        <w:pBdr/>
        <w:spacing w:after="60"/>
        <w:ind w:hanging="360" w:left="360"/>
        <w:rPr/>
      </w:pPr>
      <w:r>
        <w:rPr>
          <w:sz w:val="22"/>
          <w:szCs w:val="22"/>
        </w:rPr>
        <w:t xml:space="preserve">Newman, David. “Compare and Contrast.” Progress in Human Geography 23, no. 1 (1999): 1–5.</w:t>
      </w:r>
      <w:r/>
    </w:p>
    <w:p>
      <w:pPr>
        <w:pBdr/>
        <w:spacing w:after="200"/>
        <w:ind w:left="360"/>
        <w:rPr/>
      </w:pPr>
      <w:r/>
      <w:hyperlink r:id="rId13" w:tooltip="https://www.proquest.com/docview/230737140?pq-origsite=summon&amp;sourcetype=Scholarly%20Journals" w:history="1">
        <w:r>
          <w:rPr>
            <w:color w:val="0563c1"/>
            <w:sz w:val="20"/>
            <w:szCs w:val="20"/>
            <w:u w:val="single"/>
          </w:rPr>
          <w:t xml:space="preserve">https://www.proquest.com/docview/230737140?pq-origsite=summon&amp;sourcetype=Scholarly%20Journals</w:t>
        </w:r>
      </w:hyperlink>
      <w:r/>
      <w:r/>
    </w:p>
    <w:p>
      <w:pPr>
        <w:pBdr/>
        <w:spacing w:after="60"/>
        <w:ind w:hanging="360" w:left="360"/>
        <w:rPr/>
      </w:pPr>
      <w:r>
        <w:rPr>
          <w:sz w:val="22"/>
          <w:szCs w:val="22"/>
        </w:rPr>
        <w:t xml:space="preserve">Peteet, Julie. “The Work of Comparison: Israel/Palestine and Apartheid.” Anthropological Quarterly 89, no. 1 (2016): 247–281.</w:t>
      </w:r>
      <w:r/>
    </w:p>
    <w:p>
      <w:pPr>
        <w:pBdr/>
        <w:spacing w:after="200"/>
        <w:ind w:left="360"/>
        <w:rPr/>
      </w:pPr>
      <w:r/>
      <w:hyperlink r:id="rId14" w:tooltip="https://muse.jhu.edu/article/613680" w:history="1">
        <w:r>
          <w:rPr>
            <w:color w:val="0563c1"/>
            <w:sz w:val="20"/>
            <w:szCs w:val="20"/>
            <w:u w:val="single"/>
          </w:rPr>
          <w:t xml:space="preserve">https://muse.jhu.edu/article/613680</w:t>
        </w:r>
      </w:hyperlink>
      <w:r/>
      <w:r/>
    </w:p>
    <w:p>
      <w:pPr>
        <w:pBdr/>
        <w:spacing w:after="60"/>
        <w:ind w:hanging="360" w:left="360"/>
        <w:rPr/>
      </w:pPr>
      <w:r>
        <w:rPr>
          <w:sz w:val="22"/>
          <w:szCs w:val="22"/>
        </w:rPr>
        <w:t xml:space="preserve">Wagner, Donald. “Lebanon: An American’s View.” Race &amp; Class 24, no. 4 (1983): 401–409.</w:t>
      </w:r>
      <w:r/>
    </w:p>
    <w:p>
      <w:pPr>
        <w:pBdr/>
        <w:spacing w:after="200"/>
        <w:ind w:left="360"/>
        <w:rPr/>
      </w:pPr>
      <w:r/>
      <w:hyperlink r:id="rId15" w:tooltip="https://journals.sagepub.com/doi/abs/10.1177/030639688302400409" w:history="1">
        <w:r>
          <w:rPr>
            <w:color w:val="0563c1"/>
            <w:sz w:val="20"/>
            <w:szCs w:val="20"/>
            <w:u w:val="single"/>
          </w:rPr>
          <w:t xml:space="preserve">https://journals.sagepub.com/doi/abs/10.1177/030639688302400409</w:t>
        </w:r>
      </w:hyperlink>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66666"/>
        <w:sz w:val="18"/>
        <w:szCs w:val="18"/>
      </w:rPr>
      <w:t xml:space="preserve">Page </w:t>
    </w:r>
    <w:r>
      <w:rPr>
        <w:color w:val="666666"/>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i/>
        <w:iCs/>
        <w:color w:val="666666"/>
        <w:sz w:val="18"/>
        <w:szCs w:val="18"/>
      </w:rPr>
      <w:t xml:space="preserve">Yasser Arafat — Activist Profile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0"/>
    <w:uiPriority w:val="9"/>
    <w:pPr>
      <w:pBdr/>
      <w:spacing/>
      <w:ind/>
    </w:pPr>
    <w:rPr>
      <w:rFonts w:ascii="Arial" w:hAnsi="Arial" w:eastAsia="Arial" w:cs="Arial"/>
      <w:i/>
      <w:iCs/>
      <w:color w:val="0f4761" w:themeColor="accent1" w:themeShade="BF"/>
    </w:rPr>
  </w:style>
  <w:style w:type="character" w:styleId="154">
    <w:name w:val="Heading 5 Char"/>
    <w:basedOn w:val="148"/>
    <w:link w:val="731"/>
    <w:uiPriority w:val="9"/>
    <w:pPr>
      <w:pBdr/>
      <w:spacing/>
      <w:ind/>
    </w:pPr>
    <w:rPr>
      <w:rFonts w:ascii="Arial" w:hAnsi="Arial" w:eastAsia="Arial" w:cs="Arial"/>
      <w:color w:val="0f4761" w:themeColor="accent1" w:themeShade="BF"/>
    </w:rPr>
  </w:style>
  <w:style w:type="character" w:styleId="155">
    <w:name w:val="Heading 6 Char"/>
    <w:basedOn w:val="148"/>
    <w:link w:val="73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6"/>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6">
    <w:name w:val="Title"/>
    <w:qFormat/>
    <w:pPr>
      <w:pBdr/>
      <w:spacing/>
      <w:ind/>
    </w:pPr>
    <w:rPr>
      <w:sz w:val="56"/>
      <w:szCs w:val="56"/>
    </w:rPr>
  </w:style>
  <w:style w:type="paragraph" w:styleId="729">
    <w:name w:val="Heading 3"/>
    <w:qFormat/>
    <w:pPr>
      <w:pBdr/>
      <w:spacing/>
      <w:ind/>
    </w:pPr>
    <w:rPr>
      <w:color w:val="1f4d78"/>
      <w:sz w:val="24"/>
      <w:szCs w:val="24"/>
    </w:rPr>
  </w:style>
  <w:style w:type="paragraph" w:styleId="730">
    <w:name w:val="Heading 4"/>
    <w:qFormat/>
    <w:pPr>
      <w:pBdr/>
      <w:spacing/>
      <w:ind/>
    </w:pPr>
    <w:rPr>
      <w:i/>
      <w:iCs/>
      <w:color w:val="2e74b5"/>
    </w:rPr>
  </w:style>
  <w:style w:type="paragraph" w:styleId="731">
    <w:name w:val="Heading 5"/>
    <w:qFormat/>
    <w:pPr>
      <w:pBdr/>
      <w:spacing/>
      <w:ind/>
    </w:pPr>
    <w:rPr>
      <w:color w:val="2e74b5"/>
    </w:rPr>
  </w:style>
  <w:style w:type="paragraph" w:styleId="732">
    <w:name w:val="Heading 6"/>
    <w:qFormat/>
    <w:pPr>
      <w:pBdr/>
      <w:spacing/>
      <w:ind/>
    </w:pPr>
    <w:rPr>
      <w:color w:val="1f4d78"/>
    </w:rPr>
  </w:style>
  <w:style w:type="paragraph" w:styleId="733">
    <w:name w:val="Strong"/>
    <w:qFormat/>
    <w:pPr>
      <w:pBdr/>
      <w:spacing/>
      <w:ind/>
    </w:pPr>
    <w:rPr>
      <w:b/>
      <w:bCs/>
    </w:rPr>
  </w:style>
  <w:style w:type="paragraph" w:styleId="734">
    <w:name w:val="List Paragraph"/>
    <w:qFormat/>
    <w:pPr>
      <w:pBdr/>
      <w:spacing/>
      <w:ind/>
    </w:pPr>
  </w:style>
  <w:style w:type="character" w:styleId="735">
    <w:name w:val="Hyperlink"/>
    <w:uiPriority w:val="99"/>
    <w:unhideWhenUsed/>
    <w:pPr>
      <w:pBdr/>
      <w:spacing/>
      <w:ind/>
    </w:pPr>
    <w:rPr>
      <w:color w:val="0563c1"/>
      <w:u w:val="single"/>
    </w:rPr>
  </w:style>
  <w:style w:type="character" w:styleId="736">
    <w:name w:val="footnote reference"/>
    <w:uiPriority w:val="99"/>
    <w:semiHidden/>
    <w:unhideWhenUsed/>
    <w:pPr>
      <w:pBdr/>
      <w:spacing/>
      <w:ind/>
    </w:pPr>
    <w:rPr>
      <w:vertAlign w:val="superscript"/>
    </w:rPr>
  </w:style>
  <w:style w:type="paragraph" w:styleId="737">
    <w:name w:val="footnote text"/>
    <w:link w:val="738"/>
    <w:uiPriority w:val="99"/>
    <w:semiHidden/>
    <w:unhideWhenUsed/>
    <w:pPr>
      <w:pBdr/>
      <w:spacing w:after="0" w:line="240" w:lineRule="auto"/>
      <w:ind/>
    </w:pPr>
    <w:rPr>
      <w:sz w:val="20"/>
      <w:szCs w:val="20"/>
    </w:rPr>
  </w:style>
  <w:style w:type="character" w:styleId="738">
    <w:name w:val="Footnote Text Char"/>
    <w:link w:val="737"/>
    <w:uiPriority w:val="99"/>
    <w:semiHidden/>
    <w:unhideWhenUsed/>
    <w:pPr>
      <w:pBdr/>
      <w:spacing/>
      <w:ind/>
    </w:pPr>
    <w:rPr>
      <w:sz w:val="20"/>
      <w:szCs w:val="20"/>
    </w:rPr>
  </w:style>
  <w:style w:type="character" w:styleId="739">
    <w:name w:val="endnote reference"/>
    <w:uiPriority w:val="99"/>
    <w:semiHidden/>
    <w:unhideWhenUsed/>
    <w:pPr>
      <w:pBdr/>
      <w:spacing/>
      <w:ind/>
    </w:pPr>
    <w:rPr>
      <w:vertAlign w:val="superscript"/>
    </w:rPr>
  </w:style>
  <w:style w:type="paragraph" w:styleId="740">
    <w:name w:val="endnote text"/>
    <w:link w:val="741"/>
    <w:uiPriority w:val="99"/>
    <w:semiHidden/>
    <w:unhideWhenUsed/>
    <w:pPr>
      <w:pBdr/>
      <w:spacing w:after="0" w:line="240" w:lineRule="auto"/>
      <w:ind/>
    </w:pPr>
    <w:rPr>
      <w:sz w:val="20"/>
      <w:szCs w:val="20"/>
    </w:rPr>
  </w:style>
  <w:style w:type="character" w:styleId="741">
    <w:name w:val="Endnote Text Char"/>
    <w:link w:val="740"/>
    <w:uiPriority w:val="99"/>
    <w:semiHidden/>
    <w:unhideWhenUsed/>
    <w:pPr>
      <w:pBdr/>
      <w:spacing/>
      <w:ind/>
    </w:pPr>
    <w:rPr>
      <w:sz w:val="20"/>
      <w:szCs w:val="20"/>
    </w:rPr>
  </w:style>
  <w:style w:type="paragraph" w:styleId="742">
    <w:name w:val="Heading 1"/>
    <w:qFormat/>
    <w:pPr>
      <w:pBdr/>
      <w:spacing w:after="180" w:before="360"/>
      <w:ind/>
      <w:outlineLvl w:val="0"/>
    </w:pPr>
    <w:rPr>
      <w:rFonts w:ascii="Calibri" w:hAnsi="Calibri" w:eastAsia="Calibri" w:cs="Calibri"/>
      <w:b/>
      <w:bCs/>
      <w:color w:val="1a3f8f"/>
      <w:sz w:val="32"/>
      <w:szCs w:val="32"/>
    </w:rPr>
  </w:style>
  <w:style w:type="paragraph" w:styleId="743">
    <w:name w:val="Heading 2"/>
    <w:qFormat/>
    <w:pPr>
      <w:pBdr/>
      <w:spacing w:after="140" w:before="280"/>
      <w:ind/>
      <w:outlineLvl w:val="1"/>
    </w:pPr>
    <w:rPr>
      <w:rFonts w:ascii="Calibri" w:hAnsi="Calibri" w:eastAsia="Calibri" w:cs="Calibri"/>
      <w:b/>
      <w:bCs/>
      <w:color w:val="0a246a"/>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cyberhopedev.github.io/yasser-arafat-activist-project/" TargetMode="External"/><Relationship Id="rId12" Type="http://schemas.openxmlformats.org/officeDocument/2006/relationships/hyperlink" Target="https://www.palestine-studies.org/en/node/1648850" TargetMode="External"/><Relationship Id="rId13" Type="http://schemas.openxmlformats.org/officeDocument/2006/relationships/hyperlink" Target="https://www.proquest.com/docview/230737140?pq-origsite=summon&amp;sourcetype=Scholarly%20Journals" TargetMode="External"/><Relationship Id="rId14" Type="http://schemas.openxmlformats.org/officeDocument/2006/relationships/hyperlink" Target="https://muse.jhu.edu/article/613680" TargetMode="External"/><Relationship Id="rId15" Type="http://schemas.openxmlformats.org/officeDocument/2006/relationships/hyperlink" Target="https://journals.sagepub.com/doi/abs/10.1177/030639688302400409"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Yasser Arafat: A Historical Overview and Activist Profile</dc:title>
  <dc:creator>Hope Spence</dc:creator>
  <dc:description>ANT 395 Final Project: Yasser Arafat</dc:description>
  <cp:revision>2</cp:revision>
  <dcterms:created xsi:type="dcterms:W3CDTF">2026-05-04T17:20:39Z</dcterms:created>
  <dcterms:modified xsi:type="dcterms:W3CDTF">2026-05-04T17:38:26Z</dcterms:modified>
</cp:coreProperties>
</file>