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API</w:t>
      </w:r>
      <w:r>
        <w:rPr>
          <w:rFonts w:hint="eastAsia"/>
          <w:lang w:val="en-US" w:eastAsia="zh-CN"/>
        </w:rPr>
        <w:t>注册流程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点击“添加API”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点进用户申请的API所对应的交易所，如T8ex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填写用于识别的名称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填写申请时的API KEY与SECRET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点击“录入”即录入成功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网格策略是目前比较主流的交易策略之一，就好像渔夫捕鱼一样，在不同价位上设置好网，以逸待劳，等待捕鱼，下跌买入，上涨卖出。只要价格在一定范围内波动，每买卖一次就能赚到钱，特别适用于震荡市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参数介绍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网格策略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1.API：用户下拉框选择已录入的API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2.手续费：由于网格是预先挂单，这里填挂单手续费率，默认0.002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3.交易对：交易币与计价币的组合，如BTC_USDT，BTC为交易币，USDT为计价币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4.初始交易币数量：用户初始投入的交易币数量，由于该策略不会在开启时立即买入一定仓位的交易币，需开启前用户自行买入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5.初始计价币数量，用户用于后续补仓挂网格单的计价币数量，每个网格会依据此参数、与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下述网格间距，止盈止损价设置下单数量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6.入场价：初始买单价格，默认为开启时行情价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7.止盈价：当行情到达止盈价时，策略会强制终止，默认为行情价*110%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8.止损价：当行情到达止损价时，策略会强制终止，默认为行情价*90%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9.网格间距：两个网格之间的价差，如一个网格委托价为100U，间距设为10U，则相邻网格委托价为110，90U，参考值&gt;入场价*挂单手续费*2，如入场价30000，手续费0.002，则应该大于120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智能追踪策略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追踪的思想就是当用户想买入、卖出时候，预先设置一个买入或卖出的激活价，当行情价触发激活价时，并不会立即买入卖出，而是持续追踪最低价与最高价，只有行情价从最低价反弹一定的回调比例时，才会买入，或者从最高价回调一定比例后卖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API账户、手续费、交易对参考上述，此处不再赘述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交易方向：当用户想抄底买入时，填买，当用户想止盈卖出时，填卖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数量：当选买时，此处时计价币数量，当选卖时，此处是交易币数量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初始价：策略开始运行时的行情价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激活价：用户想买入时或卖出时的价格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回调幅度：市场从最高价或最低价回调的幅度，默认为1%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动态平衡策略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平衡策略顾名思义就是动态维持一定币种市值（以BTC为例），当BTC行情上涨时，市值也会增加，为了保持一定市值，会获利卖出一部分BTC，同理，当BTC行情下跌时，市值会减少，为了保持一定市值，会补仓买入一部分BTC。类似于网格高抛低吸，但不会处于满仓状态。适用于震荡行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API账户、手续费、交易对参考上述，此处不再赘述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智能人工网格策略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介绍一下赌场中的马丁策略，马丁策略是当每一次下注失败后，会在下一次下注时赌注翻倍，只要有一次赌赢，就能回本且获利，此策略与马丁略有不同，第一，下一次补仓时用户可自行选择赌注规模，如不翻倍、增量增加、或者翻倍，第二，补仓方式不同，类似于上述智能追踪策略，补仓时会依据最低价与回调比例在各档位补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API账户、手续费、交易对参考上述，此处不再赘述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④首单额度：首次开仓投入的金额，如20usdt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⑤做单数量：补仓次数，比如设置为7，那么策略会在补仓7次后暂停新的买入，直至止盈卖出后才会触发新一轮的买入操作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补仓类型选择：用于控制补仓的类型，填写0是不开启增量补仓；填写1是倍数补仓，填写2则是在上次加仓的基础上增加固定金额进行补仓，比如固定金额20，首单买入100，则第二单买入120，第三单买入140以此类推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⑦补仓倍数：用来控制下跌补仓的金额比例，结合首单开单金额来计算，例如设置补仓比例为2倍，首单开仓为100，则补仓情况将是200,400,800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⑧倍投起始单：从补仓第几单开始执行倍投或固定金额加仓，比如首单开仓为100，起始单设置为2，则从第二次补仓开始执行倍投，补仓下单金额依次是100,200,400,800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⑨补仓增量金额：在上一单的基础上增加固定金额进行补仓，比如固定金额10，开单买入100，则第二单买入110，第三单买入120，以此类推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⑩止盈比例：做多时从买入均价上涨一定比例，如设置为1%，则只有在行情价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eastAsia" w:ascii="Arial" w:hAnsi="Arial" w:cs="Arial"/>
          <w:lang w:val="en-US" w:eastAsia="zh-CN"/>
        </w:rPr>
        <w:t>持仓均价*1.01时，才会追踪止盈，如果止盈回调设置为0，则会变成立即止盈卖出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⑪</w:t>
      </w:r>
      <w:r>
        <w:rPr>
          <w:rFonts w:hint="eastAsia"/>
          <w:lang w:val="en-US" w:eastAsia="zh-CN"/>
        </w:rPr>
        <w:t>止盈回调：做多时触发追踪止盈后从价格高点回落此比例后即卖出平仓</w:t>
      </w:r>
      <w:r>
        <w:rPr>
          <w:rFonts w:hint="eastAsia" w:ascii="Arial" w:hAnsi="Arial" w:cs="Arial"/>
          <w:lang w:val="en-US" w:eastAsia="zh-CN"/>
        </w:rPr>
        <w:t>，如果止盈回调设置为0，则会变成立即止盈卖出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⑫</w:t>
      </w:r>
      <w:r>
        <w:rPr>
          <w:rFonts w:hint="eastAsia"/>
          <w:lang w:val="en-US" w:eastAsia="zh-CN"/>
        </w:rPr>
        <w:t>补仓跌幅：依据做单数量N，分别设置第N次补仓跌幅，如做单数量为7，设置补仓跌幅：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首次补仓 2%，第2次补仓 3%，第3次补仓 4%，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第4次补仓 5%，第5次补仓6%，第6次补仓 7%，第7次补仓 8%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193040</wp:posOffset>
                </wp:positionV>
                <wp:extent cx="780415" cy="294005"/>
                <wp:effectExtent l="6350" t="6350" r="13335" b="137795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2280" y="2495550"/>
                          <a:ext cx="780415" cy="294005"/>
                        </a:xfrm>
                        <a:prstGeom prst="wedgeRoundRectCallout">
                          <a:avLst>
                            <a:gd name="adj1" fmla="val -16242"/>
                            <a:gd name="adj2" fmla="val 886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举例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0.6pt;margin-top:15.2pt;height:23.15pt;width:61.45pt;z-index:251659264;v-text-anchor:middle;mso-width-relative:page;mso-height-relative:page;" fillcolor="#5B9BD5 [3204]" filled="t" stroked="t" coordsize="21600,21600" o:gfxdata="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EFvPTXXAAAACAEAAA8AAAAAAAAAAQAgAAAAIgAAAGRycy9kb3du&#10;cmV2LnhtbFBLAQIUABQAAAAIAIdO4kCHlDzz5AIAAL4FAAAOAAAAAAAAAAEAIAAAACYBAABkcnMv&#10;ZTJvRG9jLnhtbFBLBQYAAAAABgAGAFkBAAB8BgAAAAA=&#10;" adj="7292,29951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举例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⑬</w:t>
      </w:r>
      <w:r>
        <w:rPr>
          <w:rFonts w:hint="eastAsia"/>
          <w:lang w:val="en-US" w:eastAsia="zh-CN"/>
        </w:rPr>
        <w:t>补仓回调：做多时触发低位补仓价格后从价格低点反弹此比例时立即补仓买入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当用户首单额度填100usdt,做单数量填3次，补仓类型选择1（倍数补仓），补仓倍数选择2，倍投起始单选择1，则策略开首单金额为100美元，后续补仓金额依次为：一档200美元，二挡400美元，三挡800美元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当用户首单额度填200usdt,做单数量填4次，补仓类型选择2（增加固定金额补仓），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补仓增量金额填30，倍投起始单选择2，则策略开首单金额为200美元，后续补仓金额依次为：一档200美元，二挡230美元，三挡260美元，四挡290美元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5.暴跌反弹策略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暴跌反弹会同时监控多个币种，当一个币种暴跌，成交量急增，均线金叉后买入，当行情价从最高价回落一定比例后卖出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1.做单数量：同时持仓最大交易对数量，如设置为5，则只允许最多持仓5个交易对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2.金额：单个交易对一次买入金额，如设置为20，则一次买进20美元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3.止盈/止损比例：当设置为2时，当单个交易对进场后，行情价＜20小时内最高价-2*ATR时，该交易对止盈或者强制止损卖出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ATR的含义：TR为今日振幅、今日最高与昨收差价,今日最低与昨收差价中的最大值,为真实波幅，ATR为周期内TR的均值，一般为14个周期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6.自适应均线策略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先介绍一下自适应均线，它相比传统均线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增加了平滑系数，并自适应动态调整均线的灵敏度，可以在慢速趋势和快速趋势之间自我调整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从而反应市场真实的趋势，便于快速抓住趋势性上涨和下跌的时机，同时规避市场来回震荡的影响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。此策略监控多个币种的快慢两根自适应均线，当快速（10日）金叉慢速（100日）时进场买入，当行情价到达吊灯止损价时卖出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1.API账户：用户选择已对接好的交易所与API，下拉框选择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2.做单数量：同时持仓最大交易对数量，如设置为5，则只允许最多持仓5个交易对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3.金额：单个交易对一次买入金额，如设置为20，则一次买进20美元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4.止盈/止损比例：当设置为2时，单个交易对进场后，行情价＜20日内最高价-2*ATR时，该交易对止盈或者强制止损卖出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03866"/>
    <w:multiLevelType w:val="singleLevel"/>
    <w:tmpl w:val="8E1038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774C85"/>
    <w:multiLevelType w:val="singleLevel"/>
    <w:tmpl w:val="00774C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C59E77E"/>
    <w:multiLevelType w:val="singleLevel"/>
    <w:tmpl w:val="7C59E7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817E2"/>
    <w:rsid w:val="0C103CA5"/>
    <w:rsid w:val="22262576"/>
    <w:rsid w:val="3E42451B"/>
    <w:rsid w:val="450817E2"/>
    <w:rsid w:val="47F65592"/>
    <w:rsid w:val="59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2021-07-04T03:58:00Z</dcterms:created>
  <dc:creator>DELL</dc:creator>
  <cp:lastModifiedBy>Administrator</cp:lastModifiedBy>
  <dcterms:modified xsi:type="dcterms:W3CDTF">2021-07-05T01:42:35Z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1311D8B6209F4E94A2C3F0EF6A4F0E0A</vt:lpwstr>
  </property>
</Properties>
</file>