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5"/>
        <w:tblpPr w:leftFromText="180" w:rightFromText="180" w:vertAnchor="page" w:horzAnchor="page" w:tblpX="1426" w:tblpY="3446"/>
        <w:tblOverlap w:val="never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7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0" w:hRule="atLeast"/>
        </w:trPr>
        <w:tc>
          <w:tcPr>
            <w:tcW w:w="9177" w:type="dxa"/>
            <w:tcBorders>
              <w:tl2br w:val="nil"/>
              <w:tr2bl w:val="nil"/>
            </w:tcBorders>
          </w:tcPr>
          <w:p>
            <w:pPr>
              <w:pStyle w:val="3"/>
              <w:jc w:val="center"/>
            </w:pPr>
            <w:bookmarkStart w:id="0" w:name="_Toc15561"/>
            <w:r>
              <w:rPr>
                <w:rFonts w:hint="eastAsia"/>
                <w:lang w:val="en-US" w:eastAsia="zh-CN"/>
              </w:rPr>
              <w:t>Lista演示</w:t>
            </w:r>
            <w:r>
              <w:rPr>
                <w:rFonts w:hint="eastAsia"/>
              </w:rPr>
              <w:t>项目软件蓝图确认书</w:t>
            </w:r>
            <w:bookmarkEnd w:id="0"/>
          </w:p>
        </w:tc>
      </w:tr>
    </w:tbl>
    <w:tbl>
      <w:tblPr>
        <w:tblStyle w:val="16"/>
        <w:tblpPr w:leftFromText="180" w:rightFromText="180" w:vertAnchor="text" w:horzAnchor="page" w:tblpX="1577" w:tblpY="12033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>
            <w:pPr>
              <w:jc w:val="center"/>
            </w:pPr>
            <w:r>
              <w:rPr>
                <w:rFonts w:hint="eastAsia" w:ascii="黑体" w:hAnsi="黑体" w:eastAsia="黑体" w:cs="黑体"/>
                <w:b/>
                <w:bCs/>
                <w:sz w:val="44"/>
                <w:szCs w:val="44"/>
              </w:rPr>
              <w:t>浙江国自机器人技术有限公司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>
            <w:pPr>
              <w:jc w:val="center"/>
            </w:pPr>
            <w:r>
              <w:rPr>
                <w:rFonts w:hint="eastAsia" w:ascii="黑体" w:hAnsi="黑体" w:eastAsia="黑体" w:cs="黑体"/>
                <w:sz w:val="32"/>
                <w:szCs w:val="32"/>
              </w:rPr>
              <w:t>二〇二一年</w:t>
            </w:r>
            <w:r>
              <w:rPr>
                <w:rFonts w:hint="eastAsia" w:ascii="黑体" w:hAnsi="黑体" w:eastAsia="黑体" w:cs="黑体"/>
                <w:sz w:val="32"/>
                <w:szCs w:val="32"/>
                <w:lang w:val="en-US" w:eastAsia="zh-CN"/>
              </w:rPr>
              <w:t>十二</w:t>
            </w:r>
            <w:r>
              <w:rPr>
                <w:rFonts w:hint="eastAsia" w:ascii="黑体" w:hAnsi="黑体" w:eastAsia="黑体" w:cs="黑体"/>
                <w:sz w:val="32"/>
                <w:szCs w:val="32"/>
              </w:rPr>
              <w:t>月</w:t>
            </w:r>
          </w:p>
        </w:tc>
      </w:tr>
    </w:tbl>
    <w:p/>
    <w:p>
      <w:pPr>
        <w:tabs>
          <w:tab w:val="left" w:pos="8170"/>
        </w:tabs>
      </w:pPr>
      <w:r>
        <w:rPr>
          <w:rFonts w:hint="eastAsia"/>
        </w:rPr>
        <w:tab/>
      </w:r>
    </w:p>
    <w:p/>
    <w:p/>
    <w:p/>
    <w:p/>
    <w:p/>
    <w:p/>
    <w:p/>
    <w:p/>
    <w:p/>
    <w:p/>
    <w:p/>
    <w:p/>
    <w:p/>
    <w:p/>
    <w:p/>
    <w:p/>
    <w:p>
      <w:pPr>
        <w:jc w:val="left"/>
      </w:pPr>
      <w:r>
        <w:rPr>
          <w:rFonts w:hint="eastAsi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-127000</wp:posOffset>
            </wp:positionH>
            <wp:positionV relativeFrom="page">
              <wp:posOffset>6397625</wp:posOffset>
            </wp:positionV>
            <wp:extent cx="7712710" cy="1689100"/>
            <wp:effectExtent l="0" t="0" r="2540" b="6350"/>
            <wp:wrapNone/>
            <wp:docPr id="10" name="图片 9" descr="H:\360data\重要数据\桌面\图片ROBOT.png图片ROB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H:\360data\重要数据\桌面\图片ROBOT.png图片ROBOT"/>
                    <pic:cNvPicPr>
                      <a:picLocks noChangeAspect="1"/>
                    </pic:cNvPicPr>
                  </pic:nvPicPr>
                  <pic:blipFill>
                    <a:blip r:embed="rId6"/>
                    <a:srcRect r="1047"/>
                    <a:stretch>
                      <a:fillRect/>
                    </a:stretch>
                  </pic:blipFill>
                  <pic:spPr>
                    <a:xfrm>
                      <a:off x="0" y="0"/>
                      <a:ext cx="7500620" cy="164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center"/>
        <w:rPr>
          <w:rFonts w:ascii="宋体" w:hAnsi="宋体"/>
          <w:b/>
          <w:bCs/>
          <w:sz w:val="48"/>
          <w:szCs w:val="48"/>
        </w:rPr>
      </w:pPr>
      <w:bookmarkStart w:id="1" w:name="_Toc26852"/>
      <w:bookmarkStart w:id="2" w:name="_Toc424907092"/>
    </w:p>
    <w:p>
      <w:pPr>
        <w:jc w:val="center"/>
        <w:rPr>
          <w:rFonts w:ascii="宋体" w:hAnsi="宋体"/>
          <w:b/>
          <w:bCs/>
          <w:sz w:val="48"/>
          <w:szCs w:val="48"/>
        </w:rPr>
      </w:pPr>
    </w:p>
    <w:p>
      <w:pPr>
        <w:jc w:val="center"/>
        <w:rPr>
          <w:rFonts w:ascii="宋体" w:hAnsi="宋体"/>
          <w:b/>
          <w:bCs/>
          <w:sz w:val="48"/>
          <w:szCs w:val="48"/>
        </w:rPr>
      </w:pPr>
    </w:p>
    <w:p>
      <w:pPr>
        <w:jc w:val="center"/>
        <w:rPr>
          <w:b/>
          <w:bCs/>
          <w:sz w:val="48"/>
          <w:szCs w:val="48"/>
        </w:rPr>
      </w:pPr>
      <w:r>
        <w:rPr>
          <w:rFonts w:ascii="宋体" w:hAnsi="宋体"/>
          <w:b/>
          <w:bCs/>
          <w:sz w:val="48"/>
          <w:szCs w:val="48"/>
        </w:rPr>
        <w:t>目录</w:t>
      </w:r>
    </w:p>
    <w:p>
      <w:pPr>
        <w:pStyle w:val="1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"1-2"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_Toc15561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Lista演示</w:t>
      </w:r>
      <w:r>
        <w:rPr>
          <w:rFonts w:hint="eastAsia"/>
        </w:rPr>
        <w:t>项目软件蓝图确认书</w:t>
      </w:r>
      <w:r>
        <w:tab/>
      </w:r>
      <w:r>
        <w:fldChar w:fldCharType="begin"/>
      </w:r>
      <w:r>
        <w:instrText xml:space="preserve"> PAGEREF _Toc15561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_Toc19313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  <w:lang w:val="en-US" w:eastAsia="zh-CN"/>
        </w:rPr>
        <w:t>项目概况</w:t>
      </w:r>
      <w:r>
        <w:tab/>
      </w:r>
      <w:r>
        <w:fldChar w:fldCharType="begin"/>
      </w:r>
      <w:r>
        <w:instrText xml:space="preserve"> PAGEREF _Toc19313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_Toc2272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  <w:lang w:val="en-US" w:eastAsia="zh-CN"/>
        </w:rPr>
        <w:t>车型及数量</w:t>
      </w:r>
      <w:r>
        <w:tab/>
      </w:r>
      <w:r>
        <w:fldChar w:fldCharType="begin"/>
      </w:r>
      <w:r>
        <w:instrText xml:space="preserve"> PAGEREF _Toc2272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_Toc30794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调度</w:t>
      </w:r>
      <w:r>
        <w:rPr>
          <w:rFonts w:hint="eastAsia"/>
        </w:rPr>
        <w:softHyphen/>
      </w:r>
      <w:r>
        <w:rPr>
          <w:rFonts w:hint="eastAsia"/>
        </w:rPr>
        <w:t>流程</w:t>
      </w:r>
      <w:r>
        <w:tab/>
      </w:r>
      <w:r>
        <w:fldChar w:fldCharType="begin"/>
      </w:r>
      <w:r>
        <w:instrText xml:space="preserve"> PAGEREF _Toc30794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8306"/>
          <w:tab w:val="clear" w:pos="426"/>
          <w:tab w:val="clear" w:pos="82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_Toc18198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3.1. </w:t>
      </w:r>
      <w:r>
        <w:rPr>
          <w:rFonts w:hint="eastAsia"/>
        </w:rPr>
        <w:t>整体流程</w:t>
      </w:r>
      <w:r>
        <w:tab/>
      </w:r>
      <w:r>
        <w:fldChar w:fldCharType="begin"/>
      </w:r>
      <w:r>
        <w:instrText xml:space="preserve"> PAGEREF _Toc18198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8306"/>
          <w:tab w:val="clear" w:pos="426"/>
          <w:tab w:val="clear" w:pos="82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_Toc1797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3.2. </w:t>
      </w:r>
      <w:r>
        <w:rPr>
          <w:rFonts w:hint="eastAsia"/>
        </w:rPr>
        <w:t>模块流程</w:t>
      </w:r>
      <w:r>
        <w:tab/>
      </w:r>
      <w:r>
        <w:fldChar w:fldCharType="begin"/>
      </w:r>
      <w:r>
        <w:instrText xml:space="preserve"> PAGEREF _Toc1797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8306"/>
          <w:tab w:val="clear" w:pos="426"/>
          <w:tab w:val="clear" w:pos="82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_Toc30708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3.3. </w:t>
      </w:r>
      <w:r>
        <w:rPr>
          <w:rFonts w:hint="eastAsia"/>
        </w:rPr>
        <w:t>定制流程</w:t>
      </w:r>
      <w:r>
        <w:tab/>
      </w:r>
      <w:r>
        <w:fldChar w:fldCharType="begin"/>
      </w:r>
      <w:r>
        <w:instrText xml:space="preserve"> PAGEREF _Toc30708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_Toc12773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系统对接</w:t>
      </w:r>
      <w:r>
        <w:tab/>
      </w:r>
      <w:r>
        <w:fldChar w:fldCharType="begin"/>
      </w:r>
      <w:r>
        <w:instrText xml:space="preserve"> PAGEREF _Toc12773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8306"/>
          <w:tab w:val="clear" w:pos="426"/>
          <w:tab w:val="clear" w:pos="82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_Toc16644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4.1. </w:t>
      </w:r>
      <w:r>
        <w:rPr>
          <w:rFonts w:hint="eastAsia"/>
        </w:rPr>
        <w:t>系统框图</w:t>
      </w:r>
      <w:r>
        <w:tab/>
      </w:r>
      <w:r>
        <w:fldChar w:fldCharType="begin"/>
      </w:r>
      <w:r>
        <w:instrText xml:space="preserve"> PAGEREF _Toc16644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8306"/>
          <w:tab w:val="clear" w:pos="426"/>
          <w:tab w:val="clear" w:pos="82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_Toc29504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4.2. </w:t>
      </w:r>
      <w:r>
        <w:rPr>
          <w:rFonts w:hint="eastAsia"/>
        </w:rPr>
        <w:t>系统对接协议</w:t>
      </w:r>
      <w:r>
        <w:tab/>
      </w:r>
      <w:r>
        <w:fldChar w:fldCharType="begin"/>
      </w:r>
      <w:r>
        <w:instrText xml:space="preserve"> PAGEREF _Toc29504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8306"/>
          <w:tab w:val="clear" w:pos="426"/>
          <w:tab w:val="clear" w:pos="82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_Toc14964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4.3. </w:t>
      </w:r>
      <w:r>
        <w:rPr>
          <w:rFonts w:hint="eastAsia"/>
        </w:rPr>
        <w:t>外设对接协议</w:t>
      </w:r>
      <w:r>
        <w:tab/>
      </w:r>
      <w:r>
        <w:fldChar w:fldCharType="begin"/>
      </w:r>
      <w:r>
        <w:instrText xml:space="preserve"> PAGEREF _Toc14964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_Toc5387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5. </w:t>
      </w:r>
      <w:r>
        <w:rPr>
          <w:rFonts w:hint="eastAsia"/>
          <w:lang w:val="en-US" w:eastAsia="zh-CN"/>
        </w:rPr>
        <w:t>服务器配置</w:t>
      </w:r>
      <w:r>
        <w:tab/>
      </w:r>
      <w:r>
        <w:fldChar w:fldCharType="begin"/>
      </w:r>
      <w:r>
        <w:instrText xml:space="preserve"> PAGEREF _Toc5387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_Toc22238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 </w:t>
      </w:r>
      <w:r>
        <w:rPr>
          <w:rFonts w:hint="eastAsia"/>
          <w:lang w:val="en-US" w:eastAsia="zh-CN"/>
        </w:rPr>
        <w:t>节拍计算</w:t>
      </w:r>
      <w:r>
        <w:tab/>
      </w:r>
      <w:r>
        <w:fldChar w:fldCharType="begin"/>
      </w:r>
      <w:r>
        <w:instrText xml:space="preserve"> PAGEREF _Toc22238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_Toc13839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 </w:t>
      </w:r>
      <w:r>
        <w:rPr>
          <w:rFonts w:hint="eastAsia"/>
          <w:lang w:val="en-US" w:eastAsia="zh-CN"/>
        </w:rPr>
        <w:t>异常处理</w:t>
      </w:r>
      <w:r>
        <w:tab/>
      </w:r>
      <w:r>
        <w:fldChar w:fldCharType="begin"/>
      </w:r>
      <w:r>
        <w:instrText xml:space="preserve"> PAGEREF _Toc13839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_Toc7729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8. </w:t>
      </w:r>
      <w:r>
        <w:rPr>
          <w:rFonts w:hint="eastAsia"/>
        </w:rPr>
        <w:t>客户确认</w:t>
      </w:r>
      <w:r>
        <w:tab/>
      </w:r>
      <w:r>
        <w:fldChar w:fldCharType="begin"/>
      </w:r>
      <w:r>
        <w:instrText xml:space="preserve"> PAGEREF _Toc7729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r>
        <w:rPr>
          <w:rFonts w:hint="eastAsia"/>
        </w:rPr>
        <w:fldChar w:fldCharType="end"/>
      </w:r>
    </w:p>
    <w:p/>
    <w:p/>
    <w:p/>
    <w:p/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bookmarkEnd w:id="1"/>
    <w:p>
      <w:pPr>
        <w:pStyle w:val="3"/>
        <w:numPr>
          <w:ilvl w:val="0"/>
          <w:numId w:val="1"/>
        </w:numPr>
      </w:pPr>
      <w:bookmarkStart w:id="3" w:name="_Toc19313"/>
      <w:bookmarkStart w:id="4" w:name="_Toc20377"/>
      <w:r>
        <w:rPr>
          <w:rFonts w:hint="eastAsia"/>
          <w:lang w:val="en-US" w:eastAsia="zh-CN"/>
        </w:rPr>
        <w:t>项目概况</w:t>
      </w:r>
      <w:bookmarkEnd w:id="3"/>
    </w:p>
    <w:p>
      <w:pPr>
        <w:ind w:firstLine="560" w:firstLineChars="200"/>
        <w:jc w:val="lef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本设计是</w:t>
      </w:r>
      <w:r>
        <w:rPr>
          <w:rFonts w:hint="eastAsia" w:ascii="宋体" w:hAnsi="宋体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Lista演示项目</w:t>
      </w:r>
      <w:r>
        <w:rPr>
          <w:rFonts w:hint="eastAsia" w:ascii="宋体" w:hAnsi="宋体"/>
          <w:sz w:val="28"/>
          <w:szCs w:val="28"/>
        </w:rPr>
        <w:t xml:space="preserve">蓝图设计确认书，也是后续开发和实施阶段工作展开的基础性文档。 </w:t>
      </w:r>
    </w:p>
    <w:p>
      <w:pPr>
        <w:ind w:firstLine="560" w:firstLineChars="200"/>
        <w:jc w:val="left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本设计是在双方充分沟通后，针对现场流程中存在的问题进行了分析、诊断，并提出相应的改进意见与建议；对以上业务活动中关键业务流程进行优化设计；提出与未来流程相适应的解决方案。整个蓝图设计模型如下：</w:t>
      </w:r>
    </w:p>
    <w:tbl>
      <w:tblPr>
        <w:tblStyle w:val="16"/>
        <w:tblW w:w="0" w:type="auto"/>
        <w:tblInd w:w="1496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5"/>
        <w:gridCol w:w="241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</w:tblPrEx>
        <w:tc>
          <w:tcPr>
            <w:tcW w:w="4830" w:type="dxa"/>
            <w:gridSpan w:val="2"/>
            <w:tcBorders>
              <w:tl2br w:val="nil"/>
              <w:tr2bl w:val="nil"/>
            </w:tcBorders>
          </w:tcPr>
          <w:p>
            <w:pPr>
              <w:pStyle w:val="2"/>
              <w:ind w:firstLine="1446" w:firstLineChars="400"/>
              <w:rPr>
                <w:rFonts w:hint="default" w:eastAsia="宋体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6"/>
                <w:szCs w:val="36"/>
                <w:vertAlign w:val="baseline"/>
                <w:lang w:val="en-US" w:eastAsia="zh-CN"/>
              </w:rPr>
              <w:t>分流程功能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  <w:tcBorders>
              <w:tl2br w:val="nil"/>
              <w:tr2bl w:val="nil"/>
            </w:tcBorders>
          </w:tcPr>
          <w:p>
            <w:pPr>
              <w:pStyle w:val="2"/>
              <w:rPr>
                <w:rFonts w:hint="default" w:eastAsia="宋体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6"/>
                <w:szCs w:val="36"/>
                <w:vertAlign w:val="baseline"/>
                <w:lang w:val="en-US" w:eastAsia="zh-CN"/>
              </w:rPr>
              <w:t>出库流程</w:t>
            </w:r>
          </w:p>
        </w:tc>
        <w:tc>
          <w:tcPr>
            <w:tcW w:w="2415" w:type="dxa"/>
            <w:tcBorders>
              <w:tl2br w:val="nil"/>
              <w:tr2bl w:val="nil"/>
            </w:tcBorders>
          </w:tcPr>
          <w:p>
            <w:pPr>
              <w:pStyle w:val="2"/>
              <w:rPr>
                <w:rFonts w:hint="default" w:eastAsia="宋体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6"/>
                <w:szCs w:val="36"/>
                <w:vertAlign w:val="baseline"/>
                <w:lang w:val="en-US" w:eastAsia="zh-CN"/>
              </w:rPr>
              <w:t>入库流程</w:t>
            </w:r>
          </w:p>
        </w:tc>
      </w:tr>
    </w:tbl>
    <w:p/>
    <w:bookmarkEnd w:id="4"/>
    <w:p>
      <w:pPr>
        <w:pStyle w:val="3"/>
        <w:numPr>
          <w:ilvl w:val="0"/>
          <w:numId w:val="1"/>
        </w:numPr>
      </w:pPr>
      <w:bookmarkStart w:id="5" w:name="_Toc2272"/>
      <w:r>
        <w:rPr>
          <w:rFonts w:hint="eastAsia"/>
          <w:lang w:val="en-US" w:eastAsia="zh-CN"/>
        </w:rPr>
        <w:t>车型及数量</w:t>
      </w:r>
      <w:bookmarkEnd w:id="5"/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0"/>
        <w:gridCol w:w="2066"/>
        <w:gridCol w:w="3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2700" w:type="dxa"/>
            <w:vAlign w:val="center"/>
          </w:tcPr>
          <w:p>
            <w:pPr>
              <w:jc w:val="center"/>
              <w:rPr>
                <w:rFonts w:hint="eastAsia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szCs w:val="24"/>
                <w:vertAlign w:val="baseline"/>
                <w:lang w:val="en-US" w:eastAsia="zh-CN"/>
              </w:rPr>
              <w:t>车型</w:t>
            </w:r>
          </w:p>
        </w:tc>
        <w:tc>
          <w:tcPr>
            <w:tcW w:w="2066" w:type="dxa"/>
            <w:vAlign w:val="center"/>
          </w:tcPr>
          <w:p>
            <w:pPr>
              <w:jc w:val="center"/>
              <w:rPr>
                <w:rFonts w:hint="eastAsia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szCs w:val="24"/>
                <w:vertAlign w:val="baseline"/>
                <w:lang w:val="en-US" w:eastAsia="zh-CN"/>
              </w:rPr>
              <w:t>数量</w:t>
            </w:r>
          </w:p>
        </w:tc>
        <w:tc>
          <w:tcPr>
            <w:tcW w:w="3334" w:type="dxa"/>
            <w:vAlign w:val="center"/>
          </w:tcPr>
          <w:p>
            <w:pPr>
              <w:jc w:val="center"/>
              <w:rPr>
                <w:rFonts w:hint="eastAsia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szCs w:val="24"/>
                <w:vertAlign w:val="baseline"/>
                <w:lang w:val="en-US" w:eastAsia="zh-CN"/>
              </w:rPr>
              <w:t>定制化需求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2700" w:type="dxa"/>
            <w:vAlign w:val="center"/>
          </w:tcPr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szCs w:val="24"/>
                <w:vertAlign w:val="baseline"/>
                <w:lang w:val="en-US" w:eastAsia="zh-CN"/>
              </w:rPr>
              <w:t>Picking</w:t>
            </w:r>
          </w:p>
        </w:tc>
        <w:tc>
          <w:tcPr>
            <w:tcW w:w="2066" w:type="dxa"/>
            <w:vAlign w:val="center"/>
          </w:tcPr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333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  <w:vertAlign w:val="baseline"/>
              </w:rPr>
            </w:pPr>
          </w:p>
        </w:tc>
      </w:tr>
    </w:tbl>
    <w:p>
      <w:pPr>
        <w:ind w:firstLine="560" w:firstLineChars="200"/>
        <w:jc w:val="center"/>
        <w:rPr>
          <w:rFonts w:ascii="宋体" w:hAnsi="宋体"/>
          <w:sz w:val="28"/>
          <w:szCs w:val="28"/>
        </w:rPr>
      </w:pPr>
    </w:p>
    <w:p>
      <w:pPr>
        <w:ind w:firstLine="560" w:firstLineChars="200"/>
        <w:jc w:val="center"/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</w:p>
    <w:p>
      <w:pPr>
        <w:rPr>
          <w:iCs/>
          <w:color w:val="0000FF"/>
          <w:sz w:val="24"/>
          <w:szCs w:val="24"/>
        </w:rPr>
      </w:pPr>
    </w:p>
    <w:p>
      <w:pPr>
        <w:pStyle w:val="3"/>
        <w:numPr>
          <w:ilvl w:val="0"/>
          <w:numId w:val="1"/>
        </w:numPr>
      </w:pPr>
      <w:bookmarkStart w:id="6" w:name="_Toc15013"/>
      <w:bookmarkStart w:id="7" w:name="_Toc7314"/>
      <w:bookmarkStart w:id="8" w:name="_Toc30794"/>
      <w:r>
        <w:rPr>
          <w:rFonts w:hint="eastAsia"/>
        </w:rPr>
        <w:t>调度</w:t>
      </w:r>
      <w:r>
        <w:rPr>
          <w:rFonts w:hint="eastAsia"/>
        </w:rPr>
        <w:softHyphen/>
      </w:r>
      <w:r>
        <w:rPr>
          <w:rFonts w:hint="eastAsia"/>
        </w:rPr>
        <w:t>流程</w:t>
      </w:r>
      <w:bookmarkEnd w:id="6"/>
      <w:bookmarkEnd w:id="7"/>
      <w:bookmarkEnd w:id="8"/>
    </w:p>
    <w:p>
      <w:pPr>
        <w:rPr>
          <w:rFonts w:ascii="宋体" w:hAnsi="宋体"/>
          <w:color w:val="0000FF"/>
          <w:sz w:val="24"/>
        </w:rPr>
      </w:pPr>
      <w:r>
        <w:rPr>
          <w:rFonts w:hint="eastAsia" w:ascii="宋体" w:hAnsi="宋体"/>
          <w:color w:val="0000FF"/>
          <w:sz w:val="24"/>
        </w:rPr>
        <w:t>【本部分需求主要对AGV系统运行过程的各个流程进行详细分析，包含流程的整体介绍和各个流程的细节说明，该部分需求体现了AGV调度的订单管理模块的需求】</w:t>
      </w:r>
    </w:p>
    <w:p>
      <w:pPr>
        <w:rPr>
          <w:rFonts w:ascii="宋体" w:hAnsi="宋体"/>
          <w:color w:val="0000FF"/>
          <w:sz w:val="24"/>
        </w:rPr>
      </w:pPr>
    </w:p>
    <w:p>
      <w:pPr>
        <w:pStyle w:val="4"/>
        <w:numPr>
          <w:ilvl w:val="1"/>
          <w:numId w:val="1"/>
        </w:numPr>
      </w:pPr>
      <w:bookmarkStart w:id="9" w:name="_Toc7343"/>
      <w:bookmarkStart w:id="10" w:name="_Toc18198"/>
      <w:bookmarkStart w:id="11" w:name="_Toc6145"/>
      <w:r>
        <w:rPr>
          <w:rFonts w:hint="eastAsia"/>
        </w:rPr>
        <w:t>整体流程</w:t>
      </w:r>
      <w:bookmarkEnd w:id="9"/>
      <w:bookmarkEnd w:id="10"/>
      <w:bookmarkEnd w:id="11"/>
    </w:p>
    <w:p>
      <w:pPr>
        <w:rPr>
          <w:rFonts w:ascii="宋体" w:hAnsi="宋体"/>
          <w:color w:val="0000FF"/>
          <w:sz w:val="24"/>
        </w:rPr>
      </w:pPr>
      <w:r>
        <w:rPr>
          <w:rFonts w:hint="eastAsia" w:ascii="宋体" w:hAnsi="宋体"/>
          <w:color w:val="0000FF"/>
          <w:sz w:val="24"/>
        </w:rPr>
        <w:t>【介绍整个项目流程分类，各个流程主要步骤有哪些，要通过一张全场的流程分布图进行体现】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cs="Arial"/>
          <w:kern w:val="0"/>
          <w:sz w:val="24"/>
        </w:rPr>
      </w:pPr>
      <w:r>
        <w:rPr>
          <w:rFonts w:hint="eastAsia" w:ascii="Arial" w:hAnsi="Arial" w:cs="Arial"/>
          <w:kern w:val="0"/>
          <w:sz w:val="24"/>
        </w:rPr>
        <w:t>示例：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67305" cy="3629025"/>
            <wp:effectExtent l="0" t="0" r="4445" b="9525"/>
            <wp:docPr id="2" name="图片 2" descr="5701c6511e8ee63921d8814fc2ef8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701c6511e8ee63921d8814fc2ef8c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color w:val="0000FF"/>
          <w:sz w:val="24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ascii="Arial" w:hAnsi="Arial" w:cs="Arial"/>
          <w:kern w:val="0"/>
          <w:sz w:val="24"/>
          <w:szCs w:val="24"/>
          <w:lang w:val="en-US" w:eastAsia="zh-CN"/>
        </w:rPr>
        <w:t>入库流程：</w:t>
      </w:r>
      <w:r>
        <w:rPr>
          <w:rFonts w:hint="eastAsia"/>
          <w:sz w:val="24"/>
          <w:szCs w:val="24"/>
          <w:lang w:val="en-US" w:eastAsia="zh-CN"/>
        </w:rPr>
        <w:t>货架→智能货柜</w:t>
      </w:r>
    </w:p>
    <w:p>
      <w:pPr>
        <w:rPr>
          <w:rFonts w:hint="default"/>
          <w:lang w:val="en-US" w:eastAsia="zh-CN"/>
        </w:rPr>
      </w:pPr>
      <w:r>
        <w:rPr>
          <w:rFonts w:hint="eastAsia" w:ascii="Arial" w:hAnsi="Arial" w:cs="Arial"/>
          <w:kern w:val="0"/>
          <w:sz w:val="24"/>
          <w:szCs w:val="24"/>
          <w:lang w:val="en-US" w:eastAsia="zh-CN"/>
        </w:rPr>
        <w:t>出库流程：</w:t>
      </w:r>
      <w:r>
        <w:rPr>
          <w:rFonts w:hint="eastAsia"/>
          <w:sz w:val="24"/>
          <w:szCs w:val="24"/>
          <w:lang w:val="en-US" w:eastAsia="zh-CN"/>
        </w:rPr>
        <w:t>智能货柜→货架</w:t>
      </w:r>
    </w:p>
    <w:p>
      <w:pPr>
        <w:rPr>
          <w:rFonts w:ascii="Arial" w:hAnsi="Arial" w:cs="Arial"/>
          <w:kern w:val="0"/>
          <w:sz w:val="24"/>
        </w:rPr>
      </w:pPr>
    </w:p>
    <w:p>
      <w:pPr>
        <w:pStyle w:val="4"/>
        <w:numPr>
          <w:ilvl w:val="1"/>
          <w:numId w:val="1"/>
        </w:numPr>
      </w:pPr>
      <w:bookmarkStart w:id="12" w:name="_Toc1797"/>
      <w:bookmarkStart w:id="13" w:name="_Toc18417"/>
      <w:r>
        <w:rPr>
          <w:rFonts w:hint="eastAsia"/>
        </w:rPr>
        <w:t>模块流程</w:t>
      </w:r>
      <w:bookmarkEnd w:id="12"/>
      <w:bookmarkEnd w:id="13"/>
      <w:bookmarkStart w:id="14" w:name="_Toc62"/>
    </w:p>
    <w:p>
      <w:pPr>
        <w:rPr>
          <w:rFonts w:ascii="宋体" w:hAnsi="宋体"/>
          <w:color w:val="0000FF"/>
          <w:sz w:val="24"/>
        </w:rPr>
      </w:pPr>
      <w:r>
        <w:rPr>
          <w:rFonts w:hint="eastAsia" w:ascii="宋体" w:hAnsi="宋体"/>
          <w:color w:val="0000FF"/>
          <w:sz w:val="24"/>
        </w:rPr>
        <w:t>【</w:t>
      </w:r>
    </w:p>
    <w:p>
      <w:pPr>
        <w:rPr>
          <w:rFonts w:ascii="宋体" w:hAnsi="宋体"/>
          <w:color w:val="0000FF"/>
          <w:sz w:val="24"/>
        </w:rPr>
      </w:pPr>
      <w:r>
        <w:rPr>
          <w:rFonts w:hint="eastAsia" w:ascii="宋体" w:hAnsi="宋体"/>
          <w:color w:val="0000FF"/>
          <w:sz w:val="24"/>
        </w:rPr>
        <w:t>介绍各个</w:t>
      </w:r>
      <w:r>
        <w:rPr>
          <w:rFonts w:hint="eastAsia" w:ascii="宋体" w:hAnsi="宋体"/>
          <w:b/>
          <w:bCs/>
          <w:color w:val="0000FF"/>
          <w:sz w:val="24"/>
        </w:rPr>
        <w:t>模块流程</w:t>
      </w:r>
      <w:r>
        <w:rPr>
          <w:rFonts w:hint="eastAsia" w:ascii="宋体" w:hAnsi="宋体"/>
          <w:color w:val="0000FF"/>
          <w:sz w:val="24"/>
        </w:rPr>
        <w:t>是如何发起的（发起的条件、输入的参数），流程中会涉及哪些软硬件系统，系统之间是如何交互，流程是如何结束的，每个流程需要有流程示意图进行说明。</w:t>
      </w:r>
    </w:p>
    <w:p>
      <w:pPr>
        <w:rPr>
          <w:rFonts w:ascii="宋体" w:hAnsi="宋体"/>
          <w:b/>
          <w:bCs/>
          <w:color w:val="0000FF"/>
          <w:sz w:val="24"/>
        </w:rPr>
      </w:pPr>
      <w:r>
        <w:rPr>
          <w:rFonts w:hint="eastAsia" w:ascii="宋体" w:hAnsi="宋体"/>
          <w:b/>
          <w:bCs/>
          <w:color w:val="0000FF"/>
          <w:sz w:val="24"/>
        </w:rPr>
        <w:t>流程描述过程需要结合前一章节的技术协议进行表示，即尽量体现系统间的参数交互。</w:t>
      </w:r>
    </w:p>
    <w:p>
      <w:pPr>
        <w:rPr>
          <w:rFonts w:hint="eastAsia" w:ascii="宋体" w:hAnsi="宋体"/>
          <w:color w:val="0000FF"/>
          <w:sz w:val="24"/>
        </w:rPr>
      </w:pPr>
      <w:r>
        <w:rPr>
          <w:rFonts w:hint="eastAsia" w:ascii="宋体" w:hAnsi="宋体"/>
          <w:color w:val="0000FF"/>
          <w:sz w:val="24"/>
        </w:rPr>
        <w:t>】</w:t>
      </w:r>
    </w:p>
    <w:p>
      <w:pPr>
        <w:pStyle w:val="2"/>
        <w:rPr>
          <w:rFonts w:hint="eastAsia" w:eastAsia="宋体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default"/>
          <w:lang w:val="en-US" w:eastAsia="zh-CN"/>
        </w:rPr>
      </w:pPr>
    </w:p>
    <w:p>
      <w:pPr>
        <w:pStyle w:val="5"/>
        <w:numPr>
          <w:ilvl w:val="2"/>
          <w:numId w:val="1"/>
        </w:numPr>
      </w:pPr>
      <w:r>
        <w:rPr>
          <w:rFonts w:hint="eastAsia"/>
          <w:lang w:val="en-US" w:eastAsia="zh-CN"/>
        </w:rPr>
        <w:t>入库流程</w:t>
      </w:r>
    </w:p>
    <w:p>
      <w:pPr>
        <w:pStyle w:val="2"/>
        <w:ind w:firstLine="0"/>
      </w:pPr>
      <w:r>
        <w:object>
          <v:shape id="_x0000_i1025" o:spt="75" type="#_x0000_t75" style="height:523.6pt;width:414.75pt;" o:ole="t" filled="f" o:preferrelative="t" stroked="f" coordsize="21600,21600">
            <v:path/>
            <v:fill on="f" focussize="0,0"/>
            <v:stroke on="f"/>
            <v:imagedata r:id="rId9" cropbottom="11047f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8">
            <o:LockedField>false</o:LockedField>
          </o:OLEObject>
        </w:object>
      </w:r>
    </w:p>
    <w:p>
      <w:pPr>
        <w:pStyle w:val="2"/>
        <w:ind w:firstLine="0"/>
      </w:pPr>
    </w:p>
    <w:p>
      <w:pPr>
        <w:pStyle w:val="5"/>
        <w:numPr>
          <w:ilvl w:val="2"/>
          <w:numId w:val="1"/>
        </w:numPr>
      </w:pPr>
      <w:r>
        <w:rPr>
          <w:rFonts w:hint="eastAsia"/>
          <w:lang w:val="en-US" w:eastAsia="zh-CN"/>
        </w:rPr>
        <w:t>出库流程</w:t>
      </w:r>
    </w:p>
    <w:p>
      <w:r>
        <w:object>
          <v:shape id="_x0000_i1026" o:spt="75" type="#_x0000_t75" style="height:537.8pt;width:414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10">
            <o:LockedField>false</o:LockedField>
          </o:OLEObject>
        </w:object>
      </w:r>
    </w:p>
    <w:p>
      <w:pPr>
        <w:pStyle w:val="2"/>
        <w:rPr>
          <w:b/>
        </w:rPr>
      </w:pPr>
    </w:p>
    <w:p>
      <w:pPr>
        <w:pStyle w:val="2"/>
        <w:rPr>
          <w:b/>
        </w:rPr>
      </w:pPr>
    </w:p>
    <w:p>
      <w:pPr>
        <w:pStyle w:val="2"/>
        <w:rPr>
          <w:b/>
        </w:rPr>
      </w:pPr>
    </w:p>
    <w:p>
      <w:pPr>
        <w:pStyle w:val="2"/>
        <w:rPr>
          <w:b/>
        </w:rPr>
      </w:pPr>
    </w:p>
    <w:p/>
    <w:bookmarkEnd w:id="14"/>
    <w:p>
      <w:pPr>
        <w:pStyle w:val="4"/>
        <w:numPr>
          <w:ilvl w:val="1"/>
          <w:numId w:val="1"/>
        </w:numPr>
      </w:pPr>
      <w:bookmarkStart w:id="15" w:name="_Toc30708"/>
      <w:bookmarkStart w:id="16" w:name="_Toc27424"/>
      <w:bookmarkStart w:id="17" w:name="_Toc21776"/>
      <w:r>
        <w:rPr>
          <w:rFonts w:hint="eastAsia"/>
        </w:rPr>
        <w:t>定制流程</w:t>
      </w:r>
      <w:bookmarkEnd w:id="15"/>
      <w:bookmarkEnd w:id="16"/>
      <w:bookmarkEnd w:id="17"/>
    </w:p>
    <w:p>
      <w:pPr>
        <w:pStyle w:val="5"/>
        <w:numPr>
          <w:ilvl w:val="2"/>
          <w:numId w:val="1"/>
        </w:numPr>
      </w:pPr>
      <w:bookmarkStart w:id="18" w:name="_Toc27591"/>
      <w:bookmarkStart w:id="19" w:name="_Toc10213"/>
      <w:r>
        <w:rPr>
          <w:rFonts w:hint="eastAsia"/>
        </w:rPr>
        <w:t>库位管理</w:t>
      </w:r>
      <w:bookmarkEnd w:id="18"/>
    </w:p>
    <w:bookmarkEnd w:id="19"/>
    <w:p>
      <w:pPr>
        <w:rPr>
          <w:rFonts w:hint="default" w:ascii="宋体" w:hAnsi="宋体"/>
          <w:color w:val="0000FF"/>
          <w:lang w:val="en-US"/>
        </w:rPr>
      </w:pPr>
      <w:bookmarkStart w:id="20" w:name="_Toc12515"/>
      <w:r>
        <w:rPr>
          <w:rFonts w:hint="eastAsia" w:ascii="宋体" w:hAnsi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货架区域的库位管理</w:t>
      </w:r>
    </w:p>
    <w:p>
      <w:pPr>
        <w:pStyle w:val="5"/>
        <w:numPr>
          <w:ilvl w:val="2"/>
          <w:numId w:val="1"/>
        </w:numPr>
      </w:pPr>
      <w:bookmarkStart w:id="21" w:name="_Toc3046"/>
      <w:r>
        <w:rPr>
          <w:rFonts w:hint="eastAsia"/>
          <w:lang w:val="en-US" w:eastAsia="zh-CN"/>
        </w:rPr>
        <w:t>UI</w:t>
      </w:r>
      <w:r>
        <w:rPr>
          <w:rFonts w:hint="eastAsia"/>
        </w:rPr>
        <w:t>呼叫界面</w:t>
      </w:r>
      <w:bookmarkEnd w:id="21"/>
    </w:p>
    <w:p>
      <w:pPr>
        <w:pStyle w:val="2"/>
        <w:ind w:left="0" w:leftChars="0" w:firstLine="0" w:firstLineChars="0"/>
        <w:rPr>
          <w:rFonts w:hint="eastAsia"/>
        </w:rPr>
      </w:pPr>
      <w:r>
        <w:rPr>
          <w:rFonts w:hint="eastAsia" w:ascii="宋体" w:hAnsi="宋体" w:cs="Times New Roman"/>
          <w:color w:val="000000" w:themeColor="text1"/>
          <w:kern w:val="2"/>
          <w:sz w:val="24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呼叫界面</w:t>
      </w:r>
      <w:r>
        <w:rPr>
          <w:rFonts w:hint="eastAsia" w:ascii="宋体" w:hAnsi="宋体" w:eastAsia="宋体" w:cs="Times New Roman"/>
          <w:color w:val="000000" w:themeColor="text1"/>
          <w:kern w:val="2"/>
          <w:sz w:val="24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需支持英语、德语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4578985" cy="3041650"/>
            <wp:effectExtent l="0" t="0" r="825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bookmarkStart w:id="35" w:name="_GoBack"/>
      <w:bookmarkEnd w:id="35"/>
    </w:p>
    <w:p>
      <w:pPr>
        <w:pStyle w:val="2"/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64380" cy="3032760"/>
            <wp:effectExtent l="0" t="0" r="762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</w:pPr>
      <w:bookmarkStart w:id="22" w:name="_Toc14067"/>
      <w:r>
        <w:rPr>
          <w:rFonts w:hint="eastAsia"/>
        </w:rPr>
        <w:t>Monitor</w:t>
      </w:r>
      <w:bookmarkEnd w:id="20"/>
      <w:bookmarkEnd w:id="22"/>
    </w:p>
    <w:p>
      <w:pPr>
        <w:rPr>
          <w:rFonts w:hint="default" w:ascii="宋体" w:hAnsi="宋体" w:eastAsia="宋体" w:cs="Times New Roman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标准web端Monitor。</w:t>
      </w:r>
    </w:p>
    <w:p>
      <w:pPr>
        <w:pStyle w:val="2"/>
        <w:rPr>
          <w:b/>
        </w:rPr>
      </w:pPr>
    </w:p>
    <w:p>
      <w:pPr>
        <w:pStyle w:val="24"/>
        <w:spacing w:after="156"/>
        <w:ind w:left="0" w:leftChars="0" w:firstLine="0" w:firstLineChars="0"/>
        <w:rPr>
          <w:rFonts w:ascii="宋体" w:hAnsi="宋体"/>
          <w:color w:val="0000FF"/>
          <w:sz w:val="24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5264150" cy="2591435"/>
            <wp:effectExtent l="0" t="0" r="12700" b="18415"/>
            <wp:docPr id="8" name="图片 8" descr="1631520816014_a3c46af14a81ad8940d356577765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31520816014_a3c46af14a81ad8940d3565777653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bookmarkStart w:id="23" w:name="_Toc10889"/>
      <w:bookmarkStart w:id="24" w:name="_Toc12773"/>
      <w:r>
        <w:rPr>
          <w:rFonts w:hint="eastAsia"/>
        </w:rPr>
        <w:t>系统</w:t>
      </w:r>
      <w:bookmarkEnd w:id="23"/>
      <w:r>
        <w:rPr>
          <w:rFonts w:hint="eastAsia"/>
        </w:rPr>
        <w:t>对接</w:t>
      </w:r>
      <w:bookmarkEnd w:id="24"/>
    </w:p>
    <w:p>
      <w:pPr>
        <w:pStyle w:val="4"/>
        <w:numPr>
          <w:ilvl w:val="1"/>
          <w:numId w:val="1"/>
        </w:numPr>
      </w:pPr>
      <w:bookmarkStart w:id="25" w:name="_Toc18049"/>
      <w:bookmarkStart w:id="26" w:name="_Toc16644"/>
      <w:bookmarkStart w:id="27" w:name="_Toc22742"/>
      <w:r>
        <w:rPr>
          <w:rFonts w:hint="eastAsia"/>
        </w:rPr>
        <w:t>系统</w:t>
      </w:r>
      <w:bookmarkEnd w:id="25"/>
      <w:r>
        <w:rPr>
          <w:rFonts w:hint="eastAsia"/>
        </w:rPr>
        <w:t>框图</w:t>
      </w:r>
      <w:bookmarkEnd w:id="26"/>
    </w:p>
    <w:p>
      <w:r>
        <w:drawing>
          <wp:inline distT="0" distB="0" distL="114300" distR="114300">
            <wp:extent cx="5270500" cy="2982595"/>
            <wp:effectExtent l="0" t="0" r="2540" b="444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</w:pPr>
      <w:bookmarkStart w:id="28" w:name="_Toc8124"/>
      <w:bookmarkStart w:id="29" w:name="_Toc29504"/>
      <w:r>
        <w:rPr>
          <w:rFonts w:hint="eastAsia"/>
        </w:rPr>
        <w:t>系统对接</w:t>
      </w:r>
      <w:bookmarkEnd w:id="28"/>
      <w:r>
        <w:rPr>
          <w:rFonts w:hint="eastAsia"/>
        </w:rPr>
        <w:t>协议</w:t>
      </w:r>
      <w:bookmarkEnd w:id="29"/>
    </w:p>
    <w:p>
      <w:pPr>
        <w:rPr>
          <w:rFonts w:ascii="宋体" w:hAnsi="宋体"/>
          <w:color w:val="0000FF"/>
          <w:sz w:val="24"/>
        </w:rPr>
      </w:pPr>
      <w:r>
        <w:rPr>
          <w:rFonts w:hint="eastAsia"/>
          <w:iCs/>
          <w:color w:val="0000FF"/>
          <w:sz w:val="24"/>
          <w:szCs w:val="24"/>
        </w:rPr>
        <w:t>【</w:t>
      </w:r>
      <w:r>
        <w:rPr>
          <w:rFonts w:hint="eastAsia" w:ascii="宋体" w:hAnsi="宋体"/>
          <w:color w:val="0000FF"/>
          <w:sz w:val="24"/>
        </w:rPr>
        <w:t>本章说明调度与外部系统对接方式，包含REX与项目现场软件或硬件的对接。</w:t>
      </w:r>
    </w:p>
    <w:p>
      <w:pPr>
        <w:rPr>
          <w:rFonts w:ascii="宋体" w:hAnsi="宋体"/>
          <w:color w:val="0000FF"/>
          <w:sz w:val="24"/>
        </w:rPr>
      </w:pPr>
      <w:r>
        <w:rPr>
          <w:rFonts w:hint="eastAsia" w:ascii="宋体" w:hAnsi="宋体"/>
          <w:color w:val="0000FF"/>
          <w:sz w:val="24"/>
        </w:rPr>
        <w:t>软件对接一般是REX与WMS/MES对接，需要说明</w:t>
      </w:r>
      <w:r>
        <w:rPr>
          <w:rFonts w:hint="eastAsia"/>
          <w:iCs/>
          <w:color w:val="0000FF"/>
          <w:sz w:val="24"/>
          <w:szCs w:val="24"/>
        </w:rPr>
        <w:t>系统对接的层次/模式、系统交互接口文档</w:t>
      </w:r>
      <w:r>
        <w:rPr>
          <w:rFonts w:hint="eastAsia" w:ascii="宋体" w:hAnsi="宋体"/>
          <w:color w:val="0000FF"/>
          <w:sz w:val="24"/>
        </w:rPr>
        <w:t>。</w:t>
      </w:r>
      <w:r>
        <w:rPr>
          <w:rFonts w:hint="eastAsia"/>
          <w:iCs/>
          <w:color w:val="0000FF"/>
          <w:sz w:val="24"/>
          <w:szCs w:val="24"/>
        </w:rPr>
        <w:t>】</w:t>
      </w:r>
    </w:p>
    <w:p>
      <w:pPr>
        <w:rPr>
          <w:rFonts w:hint="eastAsia"/>
          <w:iCs/>
          <w:color w:val="0000FF"/>
          <w:sz w:val="24"/>
          <w:szCs w:val="24"/>
        </w:rPr>
      </w:pPr>
      <w:r>
        <w:rPr>
          <w:rFonts w:hint="eastAsia"/>
          <w:iCs/>
          <w:color w:val="0000FF"/>
          <w:sz w:val="24"/>
          <w:szCs w:val="24"/>
        </w:rPr>
        <w:t>示例：</w:t>
      </w:r>
    </w:p>
    <w:p>
      <w:pPr>
        <w:pStyle w:val="2"/>
      </w:pPr>
    </w:p>
    <w:p>
      <w:pPr>
        <w:rPr>
          <w:rFonts w:hint="default" w:eastAsia="宋体"/>
          <w:b/>
          <w:bCs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智能货柜与调度系统之间的握手通讯采用http协议</w:t>
      </w:r>
    </w:p>
    <w:p>
      <w:pPr>
        <w:rPr>
          <w:iCs/>
          <w:color w:val="0000FF"/>
          <w:sz w:val="24"/>
          <w:szCs w:val="24"/>
        </w:rPr>
      </w:pPr>
    </w:p>
    <w:p>
      <w:pPr>
        <w:pStyle w:val="4"/>
        <w:numPr>
          <w:ilvl w:val="1"/>
          <w:numId w:val="1"/>
        </w:numPr>
      </w:pPr>
      <w:bookmarkStart w:id="30" w:name="_Toc14964"/>
      <w:r>
        <w:rPr>
          <w:rFonts w:hint="eastAsia"/>
        </w:rPr>
        <w:t>外设对接协议</w:t>
      </w:r>
      <w:bookmarkEnd w:id="30"/>
    </w:p>
    <w:p>
      <w:pPr>
        <w:rPr>
          <w:rFonts w:ascii="宋体" w:hAnsi="宋体"/>
          <w:color w:val="0000FF"/>
          <w:sz w:val="24"/>
        </w:rPr>
      </w:pPr>
      <w:r>
        <w:rPr>
          <w:rFonts w:hint="eastAsia"/>
          <w:iCs/>
          <w:color w:val="0000FF"/>
          <w:sz w:val="24"/>
          <w:szCs w:val="24"/>
        </w:rPr>
        <w:t>【</w:t>
      </w:r>
      <w:r>
        <w:rPr>
          <w:rFonts w:hint="eastAsia" w:ascii="宋体" w:hAnsi="宋体"/>
          <w:color w:val="0000FF"/>
          <w:sz w:val="24"/>
        </w:rPr>
        <w:t>硬件对接又可以称设备对接，例如与电动门、机械手等的对接，需要说明与设备的通信协议。</w:t>
      </w:r>
    </w:p>
    <w:p>
      <w:pPr>
        <w:rPr>
          <w:iCs/>
          <w:color w:val="0000FF"/>
          <w:sz w:val="24"/>
          <w:szCs w:val="24"/>
        </w:rPr>
      </w:pPr>
      <w:r>
        <w:rPr>
          <w:rFonts w:hint="eastAsia" w:ascii="宋体" w:hAnsi="宋体"/>
          <w:color w:val="0000FF"/>
          <w:sz w:val="24"/>
        </w:rPr>
        <w:t>接口文档和设备通信协议相关资料可以以附件形式附加。</w:t>
      </w:r>
      <w:r>
        <w:rPr>
          <w:rFonts w:hint="eastAsia"/>
          <w:iCs/>
          <w:color w:val="0000FF"/>
          <w:sz w:val="24"/>
          <w:szCs w:val="24"/>
        </w:rPr>
        <w:t>】</w:t>
      </w:r>
    </w:p>
    <w:p/>
    <w:bookmarkEnd w:id="2"/>
    <w:bookmarkEnd w:id="27"/>
    <w:p>
      <w:pPr>
        <w:rPr>
          <w:rFonts w:hint="default" w:ascii="宋体" w:hAnsi="宋体" w:eastAsia="宋体"/>
          <w:color w:val="0000FF"/>
          <w:lang w:val="en-US" w:eastAsia="zh-CN"/>
        </w:rPr>
      </w:pPr>
      <w:r>
        <w:rPr>
          <w:rFonts w:hint="eastAsia"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无</w:t>
      </w:r>
    </w:p>
    <w:p>
      <w:pPr>
        <w:pStyle w:val="3"/>
        <w:numPr>
          <w:ilvl w:val="0"/>
          <w:numId w:val="1"/>
        </w:numPr>
      </w:pPr>
      <w:bookmarkStart w:id="31" w:name="_Toc5387"/>
      <w:r>
        <w:rPr>
          <w:rFonts w:hint="eastAsia"/>
          <w:lang w:val="en-US" w:eastAsia="zh-CN"/>
        </w:rPr>
        <w:t>服务器配置</w:t>
      </w:r>
      <w:bookmarkEnd w:id="31"/>
    </w:p>
    <w:p>
      <w:pPr>
        <w:ind w:firstLine="420" w:firstLineChars="200"/>
        <w:rPr>
          <w:rFonts w:hint="default"/>
          <w:lang w:val="en-US"/>
        </w:rPr>
      </w:pPr>
      <w:r>
        <w:rPr>
          <w:rFonts w:hint="eastAsia"/>
          <w:lang w:val="en-US" w:eastAsia="zh-CN"/>
        </w:rPr>
        <w:t>Windows10系统，具体配置待确认</w:t>
      </w:r>
    </w:p>
    <w:p>
      <w:pPr>
        <w:pStyle w:val="3"/>
        <w:numPr>
          <w:ilvl w:val="0"/>
          <w:numId w:val="1"/>
        </w:numPr>
      </w:pPr>
      <w:bookmarkStart w:id="32" w:name="_Toc22238"/>
      <w:r>
        <w:rPr>
          <w:rFonts w:hint="eastAsia"/>
          <w:lang w:val="en-US" w:eastAsia="zh-CN"/>
        </w:rPr>
        <w:t>节拍计算</w:t>
      </w:r>
      <w:bookmarkEnd w:id="32"/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无此项目无节拍要求</w:t>
      </w:r>
    </w:p>
    <w:p>
      <w:pPr>
        <w:pStyle w:val="3"/>
        <w:numPr>
          <w:ilvl w:val="0"/>
          <w:numId w:val="1"/>
        </w:numPr>
      </w:pPr>
      <w:bookmarkStart w:id="33" w:name="_Toc13839"/>
      <w:r>
        <w:rPr>
          <w:rFonts w:hint="eastAsia"/>
          <w:lang w:val="en-US" w:eastAsia="zh-CN"/>
        </w:rPr>
        <w:t>异常处理</w:t>
      </w:r>
      <w:bookmarkEnd w:id="33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   暂无</w:t>
      </w:r>
    </w:p>
    <w:p>
      <w:pPr>
        <w:pStyle w:val="3"/>
        <w:numPr>
          <w:ilvl w:val="0"/>
          <w:numId w:val="1"/>
        </w:numPr>
      </w:pPr>
      <w:bookmarkStart w:id="34" w:name="_Toc7729"/>
      <w:r>
        <w:rPr>
          <w:rFonts w:hint="eastAsia"/>
        </w:rPr>
        <w:t>客户确认</w:t>
      </w:r>
      <w:bookmarkEnd w:id="34"/>
    </w:p>
    <w:p>
      <w:pPr>
        <w:ind w:right="26"/>
        <w:rPr>
          <w:rFonts w:ascii="Arial" w:hAnsi="Arial" w:cs="Arial"/>
          <w:sz w:val="24"/>
        </w:rPr>
      </w:pPr>
      <w:r>
        <w:rPr>
          <w:rFonts w:hint="eastAsia" w:ascii="Arial" w:hAnsi="Arial" w:cs="Arial"/>
          <w:b/>
          <w:bCs/>
          <w:sz w:val="28"/>
          <w:szCs w:val="28"/>
        </w:rPr>
        <w:t>买方（甲方）：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hint="eastAsia" w:ascii="Arial" w:hAnsi="Arial" w:cs="Arial"/>
          <w:b/>
          <w:bCs/>
          <w:sz w:val="28"/>
          <w:szCs w:val="28"/>
        </w:rPr>
        <w:t>卖方（乙方）：</w:t>
      </w:r>
    </w:p>
    <w:p>
      <w:pPr>
        <w:rPr>
          <w:rFonts w:hint="eastAsia" w:ascii="微软雅黑" w:hAnsi="微软雅黑" w:eastAsia="微软雅黑" w:cs="Arial"/>
          <w:color w:val="4A4A4A"/>
          <w:sz w:val="24"/>
          <w:szCs w:val="24"/>
        </w:rPr>
      </w:pPr>
      <w:r>
        <w:rPr>
          <w:rFonts w:hint="eastAsia" w:ascii="微软雅黑" w:hAnsi="微软雅黑" w:eastAsia="微软雅黑" w:cs="Arial"/>
          <w:color w:val="4A4A4A"/>
          <w:sz w:val="24"/>
          <w:szCs w:val="24"/>
        </w:rPr>
        <w:t>XX有限公司</w:t>
      </w:r>
      <w:r>
        <w:rPr>
          <w:rFonts w:ascii="微软雅黑" w:hAnsi="微软雅黑" w:eastAsia="微软雅黑" w:cs="Arial"/>
          <w:color w:val="4A4A4A"/>
          <w:sz w:val="24"/>
          <w:szCs w:val="24"/>
        </w:rPr>
        <w:tab/>
      </w:r>
      <w:r>
        <w:rPr>
          <w:rFonts w:ascii="微软雅黑" w:hAnsi="微软雅黑" w:eastAsia="微软雅黑" w:cs="Arial"/>
          <w:color w:val="4A4A4A"/>
          <w:szCs w:val="21"/>
        </w:rPr>
        <w:tab/>
      </w:r>
      <w:r>
        <w:rPr>
          <w:rFonts w:ascii="微软雅黑" w:hAnsi="微软雅黑" w:eastAsia="微软雅黑" w:cs="Arial"/>
          <w:color w:val="4A4A4A"/>
          <w:szCs w:val="21"/>
        </w:rPr>
        <w:tab/>
      </w:r>
      <w:r>
        <w:rPr>
          <w:rFonts w:hint="eastAsia" w:ascii="微软雅黑" w:hAnsi="微软雅黑" w:eastAsia="微软雅黑" w:cs="Arial"/>
          <w:color w:val="4A4A4A"/>
          <w:szCs w:val="21"/>
        </w:rPr>
        <w:t xml:space="preserve">            </w:t>
      </w:r>
      <w:r>
        <w:rPr>
          <w:rFonts w:ascii="微软雅黑" w:hAnsi="微软雅黑" w:eastAsia="微软雅黑" w:cs="Arial"/>
          <w:color w:val="4A4A4A"/>
          <w:szCs w:val="21"/>
        </w:rPr>
        <w:tab/>
      </w:r>
      <w:r>
        <w:rPr>
          <w:rFonts w:ascii="微软雅黑" w:hAnsi="微软雅黑" w:eastAsia="微软雅黑" w:cs="Arial"/>
          <w:color w:val="4A4A4A"/>
          <w:szCs w:val="21"/>
        </w:rPr>
        <w:tab/>
      </w:r>
      <w:r>
        <w:rPr>
          <w:rFonts w:hint="eastAsia" w:ascii="微软雅黑" w:hAnsi="微软雅黑" w:eastAsia="微软雅黑" w:cs="Arial"/>
          <w:color w:val="4A4A4A"/>
          <w:sz w:val="24"/>
          <w:szCs w:val="24"/>
        </w:rPr>
        <w:t>浙江国自机器人技术股份有限公司</w:t>
      </w:r>
    </w:p>
    <w:p>
      <w:pPr>
        <w:pStyle w:val="2"/>
        <w:rPr>
          <w:rFonts w:hint="eastAsia" w:ascii="微软雅黑" w:hAnsi="微软雅黑" w:eastAsia="微软雅黑" w:cs="Arial"/>
          <w:color w:val="4A4A4A"/>
          <w:sz w:val="24"/>
          <w:szCs w:val="24"/>
        </w:rPr>
      </w:pPr>
    </w:p>
    <w:p>
      <w:pPr>
        <w:pStyle w:val="2"/>
        <w:rPr>
          <w:rFonts w:hint="eastAsia" w:ascii="微软雅黑" w:hAnsi="微软雅黑" w:eastAsia="微软雅黑" w:cs="Arial"/>
          <w:color w:val="4A4A4A"/>
          <w:sz w:val="24"/>
          <w:szCs w:val="24"/>
        </w:rPr>
      </w:pPr>
    </w:p>
    <w:p>
      <w:pPr>
        <w:pStyle w:val="2"/>
        <w:ind w:left="0" w:leftChars="0" w:firstLine="0" w:firstLineChars="0"/>
        <w:rPr>
          <w:rFonts w:hint="default" w:ascii="微软雅黑" w:hAnsi="微软雅黑" w:eastAsia="微软雅黑" w:cs="Arial"/>
          <w:color w:val="4A4A4A"/>
          <w:sz w:val="24"/>
          <w:szCs w:val="24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 w:ascii="微软雅黑" w:hAnsi="微软雅黑" w:eastAsia="微软雅黑" w:cs="Arial"/>
          <w:color w:val="4A4A4A"/>
          <w:sz w:val="24"/>
          <w:szCs w:val="24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rPr>
        <w:rStyle w:val="18"/>
      </w:rPr>
    </w:pPr>
    <w:r>
      <w:fldChar w:fldCharType="begin"/>
    </w:r>
    <w:r>
      <w:rPr>
        <w:rStyle w:val="18"/>
      </w:rPr>
      <w:instrText xml:space="preserve">PAGE  </w:instrText>
    </w:r>
    <w:r>
      <w:fldChar w:fldCharType="separate"/>
    </w:r>
    <w:r>
      <w:rPr>
        <w:rStyle w:val="18"/>
      </w:rPr>
      <w:t>1</w:t>
    </w:r>
    <w:r>
      <w:fldChar w:fldCharType="end"/>
    </w:r>
  </w:p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  <w:r>
      <w:rPr>
        <w:rFonts w:hint="eastAsia"/>
      </w:rPr>
      <w:t>商密：</w:t>
    </w:r>
    <w:r>
      <w:rPr>
        <w:rFonts w:hint="eastAsia" w:hAnsi="宋体"/>
      </w:rPr>
      <w:t xml:space="preserve">□无  </w:t>
    </w:r>
    <w:r>
      <w:rPr>
        <w:rFonts w:hint="eastAsia" w:ascii="宋体" w:hAnsi="宋体"/>
      </w:rPr>
      <w:t>■</w:t>
    </w:r>
    <w:r>
      <w:rPr>
        <w:rFonts w:hint="eastAsia" w:hAnsi="宋体"/>
      </w:rPr>
      <w:t>一般</w:t>
    </w:r>
    <w:r>
      <w:rPr>
        <w:rFonts w:hint="eastAsia"/>
        <w:lang w:val="zh-CN"/>
      </w:rPr>
      <w:t>◆</w:t>
    </w:r>
    <w:r>
      <w:rPr>
        <w:rFonts w:hint="eastAsia"/>
        <w:u w:val="single"/>
      </w:rPr>
      <w:t xml:space="preserve"> 长期 </w:t>
    </w:r>
    <w:r>
      <w:rPr>
        <w:rFonts w:hint="eastAsia" w:hAnsi="宋体"/>
      </w:rPr>
      <w:t xml:space="preserve">  □核心</w:t>
    </w:r>
    <w:r>
      <w:rPr>
        <w:rFonts w:hint="eastAsia"/>
        <w:lang w:val="zh-CN"/>
      </w:rPr>
      <w:t>◆</w:t>
    </w:r>
    <w:r>
      <w:rPr>
        <w:rFonts w:hint="eastAsia"/>
        <w:u w:val="single"/>
        <w:lang w:val="zh-CN"/>
      </w:rPr>
      <w:t xml:space="preserve">  </w:t>
    </w:r>
    <w:r>
      <w:rPr>
        <w:rFonts w:hint="eastAsia"/>
        <w:lang w:val="zh-CN"/>
      </w:rPr>
      <w:t>年</w:t>
    </w:r>
    <w:r>
      <w:rPr>
        <w:rFonts w:hint="eastAsia"/>
      </w:rPr>
      <w:t xml:space="preserve">                             </w:t>
    </w:r>
    <w:r>
      <w:rPr>
        <w:rFonts w:hint="eastAsia"/>
      </w:rPr>
      <w:drawing>
        <wp:inline distT="0" distB="0" distL="114300" distR="114300">
          <wp:extent cx="1667510" cy="334645"/>
          <wp:effectExtent l="0" t="0" r="8890" b="8255"/>
          <wp:docPr id="12" name="图片 2" descr="C:\Work\AGV资料\1548725592(1).jpg1548725592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2" descr="C:\Work\AGV资料\1548725592(1).jpg1548725592(1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67510" cy="334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D93D78"/>
    <w:multiLevelType w:val="multilevel"/>
    <w:tmpl w:val="EBD93D7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115797"/>
    <w:rsid w:val="00020384"/>
    <w:rsid w:val="00050339"/>
    <w:rsid w:val="00197F82"/>
    <w:rsid w:val="0023433E"/>
    <w:rsid w:val="00264101"/>
    <w:rsid w:val="002B49CB"/>
    <w:rsid w:val="002D45BC"/>
    <w:rsid w:val="005715DC"/>
    <w:rsid w:val="005A0AFC"/>
    <w:rsid w:val="005E45FF"/>
    <w:rsid w:val="00635DC8"/>
    <w:rsid w:val="00636F2B"/>
    <w:rsid w:val="006B7D68"/>
    <w:rsid w:val="00887E75"/>
    <w:rsid w:val="009135E7"/>
    <w:rsid w:val="00965C71"/>
    <w:rsid w:val="00A863B7"/>
    <w:rsid w:val="00B261F0"/>
    <w:rsid w:val="00B64877"/>
    <w:rsid w:val="00EE0C8E"/>
    <w:rsid w:val="00FB049C"/>
    <w:rsid w:val="01EE2220"/>
    <w:rsid w:val="02143DB3"/>
    <w:rsid w:val="033E64D0"/>
    <w:rsid w:val="03A32310"/>
    <w:rsid w:val="03B2313E"/>
    <w:rsid w:val="06DC2725"/>
    <w:rsid w:val="07567C52"/>
    <w:rsid w:val="09265ED9"/>
    <w:rsid w:val="093157E2"/>
    <w:rsid w:val="09F40BB7"/>
    <w:rsid w:val="0B8D62C0"/>
    <w:rsid w:val="0CAE1B31"/>
    <w:rsid w:val="0CE23F96"/>
    <w:rsid w:val="0D8C2643"/>
    <w:rsid w:val="0DD405FA"/>
    <w:rsid w:val="0E3902BA"/>
    <w:rsid w:val="0FAD2592"/>
    <w:rsid w:val="0FD67538"/>
    <w:rsid w:val="10A1053B"/>
    <w:rsid w:val="13324147"/>
    <w:rsid w:val="137D3130"/>
    <w:rsid w:val="13A2774B"/>
    <w:rsid w:val="16621EAD"/>
    <w:rsid w:val="16B871F8"/>
    <w:rsid w:val="1AEF000C"/>
    <w:rsid w:val="23E34C9B"/>
    <w:rsid w:val="29AD5FEF"/>
    <w:rsid w:val="2BCE4167"/>
    <w:rsid w:val="2FAA1469"/>
    <w:rsid w:val="39205DA8"/>
    <w:rsid w:val="395C0531"/>
    <w:rsid w:val="3B6D246D"/>
    <w:rsid w:val="3BB06A3A"/>
    <w:rsid w:val="3C1D513B"/>
    <w:rsid w:val="3D1E6AA9"/>
    <w:rsid w:val="3D8D14E6"/>
    <w:rsid w:val="3DA00A1C"/>
    <w:rsid w:val="3F627AC7"/>
    <w:rsid w:val="41115797"/>
    <w:rsid w:val="44496945"/>
    <w:rsid w:val="447119F7"/>
    <w:rsid w:val="45743734"/>
    <w:rsid w:val="470F069C"/>
    <w:rsid w:val="47B52884"/>
    <w:rsid w:val="48990931"/>
    <w:rsid w:val="4A39002E"/>
    <w:rsid w:val="4B27777E"/>
    <w:rsid w:val="4C4A071D"/>
    <w:rsid w:val="4E5C673F"/>
    <w:rsid w:val="4E920EE8"/>
    <w:rsid w:val="549847E9"/>
    <w:rsid w:val="551D4AF3"/>
    <w:rsid w:val="56EE4427"/>
    <w:rsid w:val="59715EC6"/>
    <w:rsid w:val="598F04FE"/>
    <w:rsid w:val="5B4A7FC8"/>
    <w:rsid w:val="5B9D210D"/>
    <w:rsid w:val="5C084598"/>
    <w:rsid w:val="5CAB54B0"/>
    <w:rsid w:val="5DC464C0"/>
    <w:rsid w:val="5E577E03"/>
    <w:rsid w:val="61504FCA"/>
    <w:rsid w:val="61B65D1A"/>
    <w:rsid w:val="623B6EEE"/>
    <w:rsid w:val="64670CF6"/>
    <w:rsid w:val="69450BD9"/>
    <w:rsid w:val="6A8D6CDC"/>
    <w:rsid w:val="6AB57EB1"/>
    <w:rsid w:val="6B4C46A8"/>
    <w:rsid w:val="6C694789"/>
    <w:rsid w:val="6D5A77BC"/>
    <w:rsid w:val="6D983FAC"/>
    <w:rsid w:val="6E1040F6"/>
    <w:rsid w:val="6E951F84"/>
    <w:rsid w:val="708C4A7D"/>
    <w:rsid w:val="72015611"/>
    <w:rsid w:val="72850298"/>
    <w:rsid w:val="72EC4954"/>
    <w:rsid w:val="737E2DFA"/>
    <w:rsid w:val="75A512E3"/>
    <w:rsid w:val="77350EA1"/>
    <w:rsid w:val="7ADA5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qFormat="1" w:uiPriority="99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iPriority="99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iPriority="9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qFormat/>
    <w:uiPriority w:val="9"/>
    <w:pPr>
      <w:keepNext/>
      <w:keepLines/>
      <w:spacing w:before="340" w:after="330" w:line="578" w:lineRule="auto"/>
      <w:ind w:left="420" w:hanging="420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1"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</w:style>
  <w:style w:type="paragraph" w:styleId="6">
    <w:name w:val="annotation text"/>
    <w:basedOn w:val="1"/>
    <w:link w:val="25"/>
    <w:qFormat/>
    <w:uiPriority w:val="0"/>
    <w:rPr>
      <w:sz w:val="20"/>
      <w:szCs w:val="20"/>
    </w:rPr>
  </w:style>
  <w:style w:type="paragraph" w:styleId="7">
    <w:name w:val="Body Text Indent"/>
    <w:basedOn w:val="1"/>
    <w:unhideWhenUsed/>
    <w:qFormat/>
    <w:uiPriority w:val="99"/>
    <w:pPr>
      <w:spacing w:after="120" w:line="360" w:lineRule="auto"/>
      <w:ind w:left="480" w:hanging="480" w:hangingChars="200"/>
    </w:pPr>
  </w:style>
  <w:style w:type="paragraph" w:styleId="8">
    <w:name w:val="toc 3"/>
    <w:basedOn w:val="1"/>
    <w:next w:val="1"/>
    <w:unhideWhenUsed/>
    <w:qFormat/>
    <w:uiPriority w:val="39"/>
    <w:pPr>
      <w:tabs>
        <w:tab w:val="left" w:pos="851"/>
        <w:tab w:val="right" w:leader="dot" w:pos="8296"/>
      </w:tabs>
      <w:ind w:firstLine="105" w:firstLineChars="50"/>
    </w:pPr>
  </w:style>
  <w:style w:type="paragraph" w:styleId="9">
    <w:name w:val="Balloon Text"/>
    <w:basedOn w:val="1"/>
    <w:link w:val="27"/>
    <w:qFormat/>
    <w:uiPriority w:val="0"/>
    <w:rPr>
      <w:rFonts w:ascii="Segoe UI" w:hAnsi="Segoe UI" w:cs="Segoe UI"/>
      <w:sz w:val="18"/>
      <w:szCs w:val="18"/>
    </w:rPr>
  </w:style>
  <w:style w:type="paragraph" w:styleId="10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unhideWhenUsed/>
    <w:qFormat/>
    <w:uiPriority w:val="39"/>
    <w:pPr>
      <w:tabs>
        <w:tab w:val="left" w:pos="426"/>
        <w:tab w:val="right" w:leader="dot" w:pos="8296"/>
      </w:tabs>
    </w:pPr>
  </w:style>
  <w:style w:type="paragraph" w:styleId="13">
    <w:name w:val="annotation subject"/>
    <w:basedOn w:val="6"/>
    <w:next w:val="6"/>
    <w:link w:val="26"/>
    <w:qFormat/>
    <w:uiPriority w:val="0"/>
    <w:rPr>
      <w:b/>
      <w:bCs/>
    </w:rPr>
  </w:style>
  <w:style w:type="paragraph" w:styleId="14">
    <w:name w:val="Body Text First Indent 2"/>
    <w:basedOn w:val="7"/>
    <w:unhideWhenUsed/>
    <w:qFormat/>
    <w:uiPriority w:val="99"/>
    <w:pPr>
      <w:spacing w:after="60"/>
      <w:ind w:left="0" w:firstLine="880" w:firstLineChars="200"/>
      <w:jc w:val="left"/>
    </w:pPr>
  </w:style>
  <w:style w:type="table" w:styleId="16">
    <w:name w:val="Table Grid"/>
    <w:basedOn w:val="15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page number"/>
    <w:basedOn w:val="17"/>
    <w:qFormat/>
    <w:uiPriority w:val="0"/>
  </w:style>
  <w:style w:type="character" w:styleId="19">
    <w:name w:val="Hyperlink"/>
    <w:unhideWhenUsed/>
    <w:qFormat/>
    <w:uiPriority w:val="99"/>
    <w:rPr>
      <w:color w:val="0000FF"/>
      <w:u w:val="single"/>
    </w:rPr>
  </w:style>
  <w:style w:type="character" w:styleId="20">
    <w:name w:val="annotation reference"/>
    <w:basedOn w:val="17"/>
    <w:qFormat/>
    <w:uiPriority w:val="0"/>
    <w:rPr>
      <w:sz w:val="16"/>
      <w:szCs w:val="16"/>
    </w:rPr>
  </w:style>
  <w:style w:type="paragraph" w:customStyle="1" w:styleId="21">
    <w:name w:val="TOC 标题1"/>
    <w:basedOn w:val="3"/>
    <w:next w:val="1"/>
    <w:qFormat/>
    <w:uiPriority w:val="39"/>
    <w:pPr>
      <w:widowControl/>
      <w:spacing w:before="480" w:after="0" w:line="276" w:lineRule="auto"/>
      <w:ind w:left="0" w:firstLine="0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22">
    <w:name w:val="表格文字"/>
    <w:basedOn w:val="1"/>
    <w:qFormat/>
    <w:uiPriority w:val="0"/>
    <w:pPr>
      <w:jc w:val="left"/>
    </w:pPr>
  </w:style>
  <w:style w:type="paragraph" w:customStyle="1" w:styleId="23">
    <w:name w:val="样式1"/>
    <w:basedOn w:val="4"/>
    <w:next w:val="1"/>
    <w:qFormat/>
    <w:uiPriority w:val="0"/>
  </w:style>
  <w:style w:type="paragraph" w:styleId="24">
    <w:name w:val="List Paragraph"/>
    <w:basedOn w:val="1"/>
    <w:qFormat/>
    <w:uiPriority w:val="34"/>
    <w:pPr>
      <w:ind w:firstLine="420"/>
    </w:pPr>
  </w:style>
  <w:style w:type="character" w:customStyle="1" w:styleId="25">
    <w:name w:val="Comment Text Char"/>
    <w:basedOn w:val="17"/>
    <w:link w:val="6"/>
    <w:qFormat/>
    <w:uiPriority w:val="0"/>
    <w:rPr>
      <w:kern w:val="2"/>
    </w:rPr>
  </w:style>
  <w:style w:type="character" w:customStyle="1" w:styleId="26">
    <w:name w:val="Comment Subject Char"/>
    <w:basedOn w:val="25"/>
    <w:link w:val="13"/>
    <w:qFormat/>
    <w:uiPriority w:val="0"/>
    <w:rPr>
      <w:b/>
      <w:bCs/>
      <w:kern w:val="2"/>
    </w:rPr>
  </w:style>
  <w:style w:type="character" w:customStyle="1" w:styleId="27">
    <w:name w:val="Balloon Text Char"/>
    <w:basedOn w:val="17"/>
    <w:link w:val="9"/>
    <w:qFormat/>
    <w:uiPriority w:val="0"/>
    <w:rPr>
      <w:rFonts w:ascii="Segoe UI" w:hAnsi="Segoe UI" w:cs="Segoe U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1.bin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3D109C-4918-43C3-8553-F3AA0FDF4FB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501</Words>
  <Characters>2858</Characters>
  <Lines>23</Lines>
  <Paragraphs>6</Paragraphs>
  <TotalTime>27</TotalTime>
  <ScaleCrop>false</ScaleCrop>
  <LinksUpToDate>false</LinksUpToDate>
  <CharactersWithSpaces>3353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2021-04-30T02:17:00Z</dcterms:created>
  <dc:creator>朱维伟</dc:creator>
  <cp:lastModifiedBy>霓虹丶</cp:lastModifiedBy>
  <dcterms:modified xsi:type="dcterms:W3CDTF">2022-01-25T06:59:36Z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E4AD28A3B7C44F59B47519151D77A349</vt:lpwstr>
  </property>
</Properties>
</file>