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8153" w14:textId="7E8EFEFE" w:rsidR="00C04D72" w:rsidRPr="00C04D72" w:rsidRDefault="00C04D72" w:rsidP="00C04D72">
      <w:pPr>
        <w:rPr>
          <w:lang w:val="en-US"/>
        </w:rPr>
      </w:pPr>
      <w:r w:rsidRPr="00C04D72">
        <w:t>udělal jsem slíbenou PCA analýzu.</w:t>
      </w:r>
      <w:r w:rsidRPr="00C04D72">
        <w:br/>
      </w:r>
      <w:r w:rsidRPr="00C04D72">
        <w:br/>
        <w:t xml:space="preserve">Některé veličiny jsem musel vyřadit, některé překódovat, vše je nyní na numerické škále, aby s tím PCA mohla pracovat. Bylo třeba si s tím trochu pohrát. Např. odpověď "Nevím", nakonec kóduji jako hodnotu 2 </w:t>
      </w:r>
      <w:proofErr w:type="gramStart"/>
      <w:r w:rsidRPr="00C04D72">
        <w:t>mezi  "</w:t>
      </w:r>
      <w:proofErr w:type="gramEnd"/>
      <w:r w:rsidRPr="00C04D72">
        <w:t>Ano, nevýznamná krize" (3)  a "Ne, žádná krize není" (1), což vyplynulo ze souvislostí. Kódovat ji např. jako NA by bylo chybné.</w:t>
      </w:r>
      <w:r w:rsidRPr="00C04D72">
        <w:br/>
      </w:r>
      <w:r w:rsidRPr="00C04D72">
        <w:br/>
        <w:t>Přikládám výsledky pro všechny skupiny. Okomentuji to až se uvidíme osobně. Nyní přikládám alespoň anglickou sumarizaci výsledků PCA.</w:t>
      </w:r>
      <w:r w:rsidRPr="00C04D72">
        <w:br/>
      </w:r>
      <w:r w:rsidRPr="00C04D72">
        <w:br/>
        <w:t>Jirka</w:t>
      </w:r>
      <w:r w:rsidRPr="00C04D72">
        <w:br/>
      </w:r>
      <w:r w:rsidRPr="00C04D72">
        <w:br/>
      </w:r>
      <w:r w:rsidRPr="00C04D72">
        <w:rPr>
          <w:lang w:val="en-US"/>
        </w:rPr>
        <w:t>**********************************************************************************</w:t>
      </w:r>
    </w:p>
    <w:p w14:paraId="5BAE0F3D" w14:textId="77777777" w:rsidR="00C04D72" w:rsidRPr="00C04D72" w:rsidRDefault="00C04D72" w:rsidP="00C04D72">
      <w:pPr>
        <w:rPr>
          <w:lang w:val="en-US"/>
        </w:rPr>
      </w:pPr>
      <w:r w:rsidRPr="00C04D72">
        <w:rPr>
          <w:b/>
          <w:bCs/>
          <w:lang w:val="en-US"/>
        </w:rPr>
        <w:t>Dimensions (RC1 and RC2 are the varimax axes)</w:t>
      </w:r>
      <w:r w:rsidRPr="00C04D72">
        <w:rPr>
          <w:b/>
          <w:bCs/>
          <w:lang w:val="en-US"/>
        </w:rPr>
        <w:br/>
      </w:r>
      <w:r w:rsidRPr="00C04D72">
        <w:rPr>
          <w:lang w:val="en-US"/>
        </w:rPr>
        <w:t>The varimax rotation gives a much cleaner two-factor structure than the unrotated PCA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4490"/>
        <w:gridCol w:w="3525"/>
      </w:tblGrid>
      <w:tr w:rsidR="00C04D72" w:rsidRPr="00C04D72" w14:paraId="04C7A619" w14:textId="77777777" w:rsidTr="00C04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78F1" w14:textId="77777777" w:rsidR="00C04D72" w:rsidRPr="00C04D72" w:rsidRDefault="00C04D72" w:rsidP="00C04D72">
            <w:pPr>
              <w:rPr>
                <w:b/>
                <w:bCs/>
                <w:lang w:val="en-US"/>
              </w:rPr>
            </w:pPr>
            <w:r w:rsidRPr="00C04D72">
              <w:rPr>
                <w:b/>
                <w:bCs/>
                <w:lang w:val="en-US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4AB90F6" w14:textId="77777777" w:rsidR="00C04D72" w:rsidRPr="00C04D72" w:rsidRDefault="00C04D72" w:rsidP="00C04D72">
            <w:pPr>
              <w:rPr>
                <w:b/>
                <w:bCs/>
                <w:lang w:val="en-US"/>
              </w:rPr>
            </w:pPr>
            <w:r w:rsidRPr="00C04D72">
              <w:rPr>
                <w:b/>
                <w:bCs/>
                <w:lang w:val="en-US"/>
              </w:rPr>
              <w:t>RC1</w:t>
            </w:r>
          </w:p>
        </w:tc>
        <w:tc>
          <w:tcPr>
            <w:tcW w:w="0" w:type="auto"/>
            <w:vAlign w:val="center"/>
            <w:hideMark/>
          </w:tcPr>
          <w:p w14:paraId="24E51E49" w14:textId="77777777" w:rsidR="00C04D72" w:rsidRPr="00C04D72" w:rsidRDefault="00C04D72" w:rsidP="00C04D72">
            <w:pPr>
              <w:rPr>
                <w:b/>
                <w:bCs/>
                <w:lang w:val="en-US"/>
              </w:rPr>
            </w:pPr>
            <w:r w:rsidRPr="00C04D72">
              <w:rPr>
                <w:b/>
                <w:bCs/>
                <w:lang w:val="en-US"/>
              </w:rPr>
              <w:t>RC2</w:t>
            </w:r>
          </w:p>
        </w:tc>
      </w:tr>
      <w:tr w:rsidR="00C04D72" w:rsidRPr="00C04D72" w14:paraId="2CBD0C42" w14:textId="77777777" w:rsidTr="00C04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BCCF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14:paraId="60C74616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Flaws in the original research: misconduct, weak oversight and review, selective reporting, withheld data and code</w:t>
            </w:r>
          </w:p>
        </w:tc>
        <w:tc>
          <w:tcPr>
            <w:tcW w:w="0" w:type="auto"/>
            <w:vAlign w:val="center"/>
            <w:hideMark/>
          </w:tcPr>
          <w:p w14:paraId="57D8A19E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Intrinsic difficulty: bad luck, variable reagents, special-expertise methods, replicator errors</w:t>
            </w:r>
          </w:p>
        </w:tc>
      </w:tr>
      <w:tr w:rsidR="00C04D72" w:rsidRPr="00C04D72" w14:paraId="56B3540E" w14:textId="77777777" w:rsidTr="00C04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FBFE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4F2C11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Hyper-competitive, fast-growing field: pressure, publication growth, competition, complexity</w:t>
            </w:r>
          </w:p>
        </w:tc>
        <w:tc>
          <w:tcPr>
            <w:tcW w:w="0" w:type="auto"/>
            <w:vAlign w:val="center"/>
            <w:hideMark/>
          </w:tcPr>
          <w:p w14:paraId="1C5A7E7D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Visible, publicly funded field: public opinion, media, subsidies, influx, size</w:t>
            </w:r>
          </w:p>
        </w:tc>
      </w:tr>
      <w:tr w:rsidR="00C04D72" w:rsidRPr="00C04D72" w14:paraId="1E27CA87" w14:textId="77777777" w:rsidTr="00C04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8457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DEM</w:t>
            </w:r>
          </w:p>
        </w:tc>
        <w:tc>
          <w:tcPr>
            <w:tcW w:w="0" w:type="auto"/>
            <w:vAlign w:val="center"/>
            <w:hideMark/>
          </w:tcPr>
          <w:p w14:paraId="4D5DBC9F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Seniority: age, years in research, degree, citations</w:t>
            </w:r>
          </w:p>
        </w:tc>
        <w:tc>
          <w:tcPr>
            <w:tcW w:w="0" w:type="auto"/>
            <w:vAlign w:val="center"/>
            <w:hideMark/>
          </w:tcPr>
          <w:p w14:paraId="2019F063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Top-journal publication and gender, two separate binary items</w:t>
            </w:r>
          </w:p>
        </w:tc>
      </w:tr>
      <w:tr w:rsidR="00C04D72" w:rsidRPr="00C04D72" w14:paraId="2041DAF5" w14:textId="77777777" w:rsidTr="00C04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583C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1DF2E2AC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General recognition of the crisis</w:t>
            </w:r>
          </w:p>
        </w:tc>
        <w:tc>
          <w:tcPr>
            <w:tcW w:w="0" w:type="auto"/>
            <w:vAlign w:val="center"/>
            <w:hideMark/>
          </w:tcPr>
          <w:p w14:paraId="09EE911E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Severity of the problem in my own field</w:t>
            </w:r>
          </w:p>
        </w:tc>
      </w:tr>
      <w:tr w:rsidR="00C04D72" w:rsidRPr="00C04D72" w14:paraId="0BE9A94E" w14:textId="77777777" w:rsidTr="00C04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9F2E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FREQ</w:t>
            </w:r>
          </w:p>
        </w:tc>
        <w:tc>
          <w:tcPr>
            <w:tcW w:w="0" w:type="auto"/>
            <w:vAlign w:val="center"/>
            <w:hideMark/>
          </w:tcPr>
          <w:p w14:paraId="69DC67B3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Author-level practices: overselling, over-</w:t>
            </w:r>
            <w:proofErr w:type="spellStart"/>
            <w:r w:rsidRPr="00C04D72">
              <w:rPr>
                <w:lang w:val="en-US"/>
              </w:rPr>
              <w:t>generalisation</w:t>
            </w:r>
            <w:proofErr w:type="spellEnd"/>
            <w:r w:rsidRPr="00C04D72">
              <w:rPr>
                <w:lang w:val="en-US"/>
              </w:rPr>
              <w:t>, trendy methods, buzzwords, pointless studies, salami slicing</w:t>
            </w:r>
          </w:p>
        </w:tc>
        <w:tc>
          <w:tcPr>
            <w:tcW w:w="0" w:type="auto"/>
            <w:vAlign w:val="center"/>
            <w:hideMark/>
          </w:tcPr>
          <w:p w14:paraId="47831C83" w14:textId="77777777" w:rsidR="00C04D72" w:rsidRPr="00C04D72" w:rsidRDefault="00C04D72" w:rsidP="00C04D72">
            <w:pPr>
              <w:rPr>
                <w:lang w:val="en-US"/>
              </w:rPr>
            </w:pPr>
            <w:proofErr w:type="spellStart"/>
            <w:r w:rsidRPr="00C04D72">
              <w:rPr>
                <w:lang w:val="en-US"/>
              </w:rPr>
              <w:t>frek_positiv</w:t>
            </w:r>
            <w:proofErr w:type="spellEnd"/>
            <w:r w:rsidRPr="00C04D72">
              <w:rPr>
                <w:lang w:val="en-US"/>
              </w:rPr>
              <w:t xml:space="preserve"> alone: publication bias as a systemic norm</w:t>
            </w:r>
          </w:p>
        </w:tc>
      </w:tr>
      <w:tr w:rsidR="00C04D72" w:rsidRPr="00C04D72" w14:paraId="76E849B9" w14:textId="77777777" w:rsidTr="00C04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D567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NOREP</w:t>
            </w:r>
          </w:p>
        </w:tc>
        <w:tc>
          <w:tcPr>
            <w:tcW w:w="0" w:type="auto"/>
            <w:vAlign w:val="center"/>
            <w:hideMark/>
          </w:tcPr>
          <w:p w14:paraId="06D78F83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Others failing to reproduce my results</w:t>
            </w:r>
          </w:p>
        </w:tc>
        <w:tc>
          <w:tcPr>
            <w:tcW w:w="0" w:type="auto"/>
            <w:vAlign w:val="center"/>
            <w:hideMark/>
          </w:tcPr>
          <w:p w14:paraId="16A945D2" w14:textId="77777777" w:rsidR="00C04D72" w:rsidRPr="00C04D72" w:rsidRDefault="00C04D72" w:rsidP="00C04D72">
            <w:pPr>
              <w:rPr>
                <w:lang w:val="en-US"/>
              </w:rPr>
            </w:pPr>
            <w:r w:rsidRPr="00C04D72">
              <w:rPr>
                <w:lang w:val="en-US"/>
              </w:rPr>
              <w:t>Me failing to reproduce others’ work, with failing to reproduce my own on both</w:t>
            </w:r>
          </w:p>
        </w:tc>
      </w:tr>
    </w:tbl>
    <w:p w14:paraId="48614680" w14:textId="77777777" w:rsidR="00C04D72" w:rsidRPr="00C04D72" w:rsidRDefault="00C04D72" w:rsidP="00C04D72">
      <w:pPr>
        <w:rPr>
          <w:lang w:val="en-US"/>
        </w:rPr>
      </w:pPr>
      <w:r w:rsidRPr="00C04D72">
        <w:rPr>
          <w:b/>
          <w:bCs/>
          <w:lang w:val="en-US"/>
        </w:rPr>
        <w:lastRenderedPageBreak/>
        <w:t>What the results support.</w:t>
      </w:r>
      <w:r w:rsidRPr="00C04D72">
        <w:rPr>
          <w:lang w:val="en-US"/>
        </w:rPr>
        <w:t> </w:t>
      </w:r>
      <w:r w:rsidRPr="00C04D72">
        <w:rPr>
          <w:lang w:val="en-US"/>
        </w:rPr>
        <w:br/>
        <w:t>A second dimension has a good case in FACTORS, FIELD and CORE, because the axes are coherent and tied to the question wording. DEM has a good case for the first axis only. FREQ and NOREP are better described as one dimension plus a separate item (FREQ), or as three items to be reported individually (NOREP).</w:t>
      </w:r>
    </w:p>
    <w:p w14:paraId="56DA85EC" w14:textId="77777777" w:rsidR="00C04D72" w:rsidRPr="00C04D72" w:rsidRDefault="00C04D72" w:rsidP="00C04D72">
      <w:pPr>
        <w:rPr>
          <w:lang w:val="en-US"/>
        </w:rPr>
      </w:pPr>
      <w:r w:rsidRPr="00C04D72">
        <w:rPr>
          <w:lang w:val="en-US"/>
        </w:rPr>
        <w:t>If we want to claim two dimensions in most groups, we should say it as “two interpretable components, retained although parallel analysis suggested one”, and report the split-half stability of the second component for FIELD, CORE and DEM, where the case rests on interpretation more than on eigenvalues.</w:t>
      </w:r>
    </w:p>
    <w:p w14:paraId="18509E61" w14:textId="4ED95534" w:rsidR="00C04D72" w:rsidRPr="00C04D72" w:rsidRDefault="00C04D72" w:rsidP="00C04D72">
      <w:pPr>
        <w:rPr>
          <w:lang w:val="en-US"/>
        </w:rPr>
      </w:pPr>
      <w:r w:rsidRPr="00C04D72">
        <w:rPr>
          <w:lang w:val="en-US"/>
        </w:rPr>
        <w:t>**********************************************************************************</w:t>
      </w:r>
    </w:p>
    <w:p w14:paraId="7A8775DC" w14:textId="77777777" w:rsidR="001E0A60" w:rsidRDefault="001E0A60"/>
    <w:sectPr w:rsidR="001E0A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60"/>
    <w:rsid w:val="001E0A60"/>
    <w:rsid w:val="006563EE"/>
    <w:rsid w:val="00C0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BAD2A"/>
  <w15:chartTrackingRefBased/>
  <w15:docId w15:val="{CC78AEB6-5488-48BC-9753-D423FF81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E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E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E0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E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E0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E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E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E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E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E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E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E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E0A6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E0A6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E0A6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E0A6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E0A6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E0A6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E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E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E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E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E0A6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E0A6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E0A6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E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E0A6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E0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Vomlel</dc:creator>
  <cp:keywords/>
  <dc:description/>
  <cp:lastModifiedBy>Jiří Vomlel</cp:lastModifiedBy>
  <cp:revision>2</cp:revision>
  <dcterms:created xsi:type="dcterms:W3CDTF">2026-10-24T20:21:00Z</dcterms:created>
  <dcterms:modified xsi:type="dcterms:W3CDTF">2026-10-24T20:22:00Z</dcterms:modified>
</cp:coreProperties>
</file>