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4"/>
        </w:rPr>
        <w:t>CONSULTING AGREEMENT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Consultant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spacing w:before="200"/>
      </w:pPr>
      <w:r>
        <w:rPr>
          <w:b/>
          <w:color w:val="171A21"/>
        </w:rPr>
        <w:t xml:space="preserve">Services  </w:t>
      </w:r>
      <w:r>
        <w:t>The Consultant provides the services described in the attached brief. Work outside that brief requires written approval and is billed at the standard rate.</w:t>
      </w:r>
    </w:p>
    <w:p>
      <w:pPr>
        <w:spacing w:before="200"/>
      </w:pPr>
      <w:r>
        <w:rPr>
          <w:b/>
          <w:color w:val="171A21"/>
        </w:rPr>
        <w:t xml:space="preserve">Rate and Invoicing  </w:t>
      </w:r>
      <w:r>
        <w:t>Services are billed monthly in arrears at the agreed day rate. Invoices are payable within 14 days.</w:t>
      </w:r>
    </w:p>
    <w:p>
      <w:pPr>
        <w:spacing w:before="200"/>
      </w:pPr>
      <w:r>
        <w:rPr>
          <w:b/>
          <w:color w:val="171A21"/>
        </w:rPr>
        <w:t xml:space="preserve">Independent Contractor  </w:t>
      </w:r>
      <w:r>
        <w:t>The Consultant is an independent contractor and not an employee. The Consultant is responsible for their own tax, insurance, and equipment.</w:t>
      </w:r>
    </w:p>
    <w:p>
      <w:pPr>
        <w:spacing w:before="200"/>
      </w:pPr>
      <w:r>
        <w:rPr>
          <w:b/>
          <w:color w:val="171A21"/>
        </w:rPr>
        <w:t xml:space="preserve">Ownership  </w:t>
      </w:r>
      <w:r>
        <w:t>On full payment the Client owns the deliverables. The Consultant retains ownership of pre-existing tools and licences them to the Client for the life of the deliverables.</w:t>
      </w:r>
    </w:p>
    <w:p>
      <w:pPr>
        <w:spacing w:before="200"/>
      </w:pPr>
      <w:r>
        <w:rPr>
          <w:b/>
          <w:color w:val="171A21"/>
        </w:rPr>
        <w:t xml:space="preserve">Confidentiality  </w:t>
      </w:r>
      <w:r>
        <w:t>Each party keeps the other's non-public information confidential for three years after disclosure.</w:t>
      </w:r>
    </w:p>
    <w:p>
      <w:pPr>
        <w:spacing w:before="200"/>
      </w:pPr>
      <w:r>
        <w:rPr>
          <w:b/>
          <w:color w:val="171A21"/>
        </w:rPr>
        <w:t xml:space="preserve">Liability  </w:t>
      </w:r>
      <w:r>
        <w:t>Liability is capped at the fees paid in the six months before the claim, excluding death, personal injury, and fraud.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  <w:p>
            <w:r>
              <w:t>__________________________</w:t>
            </w:r>
          </w:p>
          <w:p>
            <w:r>
              <w:rPr>
                <w:sz w:val="16"/>
              </w:rPr>
              <w:t>Consultant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</w:p>
          <w:p>
            <w:r>
              <w:t>__________________________</w:t>
            </w:r>
          </w:p>
          <w:p>
            <w:r>
              <w:rPr>
                <w:sz w:val="16"/>
              </w:rPr>
              <w:t>Client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