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RESIDENTIAL RENTAL AGREEMENT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Landlord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Tenant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Property address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Term start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Term end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before="200"/>
      </w:pPr>
      <w:r>
        <w:rPr>
          <w:b/>
          <w:color w:val="171A21"/>
        </w:rPr>
        <w:t xml:space="preserve">1. Rent  </w:t>
      </w:r>
      <w:r>
        <w:t>Monthly rent is payable in advance on the first day of each month by bank transfer to the account given by the landlord. A late payment fee of 5% applies after 5 days.</w:t>
      </w:r>
    </w:p>
    <w:p>
      <w:pPr>
        <w:spacing w:before="200"/>
      </w:pPr>
      <w:r>
        <w:rPr>
          <w:b/>
          <w:color w:val="171A21"/>
        </w:rPr>
        <w:t xml:space="preserve">2. Security Deposit  </w:t>
      </w:r>
      <w:r>
        <w:t>A security deposit equal to one month's rent is held against damage and unpaid rent. It is returned within 21 days of the end of the term, less itemised deductions.</w:t>
      </w:r>
    </w:p>
    <w:p>
      <w:pPr>
        <w:spacing w:before="200"/>
      </w:pPr>
      <w:r>
        <w:rPr>
          <w:b/>
          <w:color w:val="171A21"/>
        </w:rPr>
        <w:t xml:space="preserve">3. Repairs and Maintenance  </w:t>
      </w:r>
      <w:r>
        <w:t>The landlord is responsible for structural repairs, the heating system, and appliances supplied at the start of the term. The tenant is responsible for day-to-day upkeep and breakage caused by misuse.</w:t>
      </w:r>
    </w:p>
    <w:p>
      <w:pPr>
        <w:spacing w:before="200"/>
      </w:pPr>
      <w:r>
        <w:rPr>
          <w:b/>
          <w:color w:val="171A21"/>
        </w:rPr>
        <w:t xml:space="preserve">4. Use of the Property  </w:t>
      </w:r>
      <w:r>
        <w:t>The property is for residential use only. The tenant must not sublet without written consent, and must not keep pets without written consent.</w:t>
      </w:r>
    </w:p>
    <w:p>
      <w:pPr>
        <w:spacing w:before="200"/>
      </w:pPr>
      <w:r>
        <w:rPr>
          <w:b/>
          <w:color w:val="171A21"/>
        </w:rPr>
        <w:t xml:space="preserve">5. Entry  </w:t>
      </w:r>
      <w:r>
        <w:t>The landlord may enter with 24 hours written notice, or immediately in an emergency. The tenant may not enter without notice except in an emergency.</w:t>
      </w:r>
    </w:p>
    <w:p>
      <w:pPr>
        <w:spacing w:before="200"/>
      </w:pPr>
      <w:r>
        <w:rPr>
          <w:b/>
          <w:color w:val="171A21"/>
        </w:rPr>
        <w:t xml:space="preserve">6. Utilities  </w:t>
      </w:r>
      <w:r>
        <w:t>The tenant is responsible for electricity, gas, water, internet and local council tax unless stated otherwise in writing.</w:t>
      </w:r>
    </w:p>
    <w:p>
      <w:pPr>
        <w:spacing w:before="200"/>
      </w:pPr>
      <w:r>
        <w:rPr>
          <w:b/>
          <w:color w:val="171A21"/>
        </w:rPr>
        <w:t xml:space="preserve">7. Deposit Protection  </w:t>
      </w:r>
      <w:r>
        <w:t>The security deposit is held with a government-approved deposit protection scheme. The scheme details are provided at the start of the term.</w:t>
      </w:r>
    </w:p>
    <w:p>
      <w:pPr>
        <w:spacing w:before="200"/>
      </w:pPr>
      <w:r>
        <w:rPr>
          <w:b/>
          <w:color w:val="171A21"/>
        </w:rPr>
        <w:t xml:space="preserve">8. Break Clause  </w:t>
      </w:r>
      <w:r>
        <w:t>Either party may end the agreement after 6 months with two months written notice.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r>
              <w:t>__________________________</w:t>
            </w:r>
          </w:p>
          <w:p>
            <w:r>
              <w:rPr>
                <w:sz w:val="16"/>
              </w:rPr>
              <w:t>Landlord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  <w:p>
            <w:r>
              <w:t>__________________________</w:t>
            </w:r>
          </w:p>
          <w:p>
            <w:r>
              <w:rPr>
                <w:sz w:val="16"/>
              </w:rPr>
              <w:t>Tenant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