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DATA RETENTION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1. Purpose</w:t>
      </w:r>
    </w:p>
    <w:p>
      <w:r>
        <w:t>State why this policy exists and who it binds.</w:t>
      </w:r>
    </w:p>
    <w:p>
      <w:pPr>
        <w:spacing w:before="280"/>
      </w:pPr>
      <w:r>
        <w:rPr>
          <w:b/>
          <w:color w:val="CB0F20"/>
          <w:sz w:val="26"/>
        </w:rPr>
        <w:t>2. Scope</w:t>
      </w:r>
    </w:p>
    <w:p>
      <w:r>
        <w:t>Applies to all records created or received by the organisation, in any system, including backups.</w:t>
      </w:r>
    </w:p>
    <w:p>
      <w:pPr>
        <w:spacing w:before="280"/>
      </w:pPr>
      <w:r>
        <w:rPr>
          <w:b/>
          <w:color w:val="CB0F20"/>
          <w:sz w:val="26"/>
        </w:rPr>
        <w:t>3. Retention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Record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Disposal</w:t>
            </w:r>
          </w:p>
        </w:tc>
      </w:tr>
      <w:tr>
        <w:tc>
          <w:tcPr>
            <w:tcW w:type="dxa" w:w="1728"/>
          </w:tcPr>
          <w:p>
            <w:r>
              <w:t>Contracts (executed)</w:t>
            </w:r>
          </w:p>
        </w:tc>
        <w:tc>
          <w:tcPr>
            <w:tcW w:type="dxa" w:w="1728"/>
          </w:tcPr>
          <w:p>
            <w:r>
              <w:t>10 years</w:t>
            </w:r>
          </w:p>
        </w:tc>
        <w:tc>
          <w:tcPr>
            <w:tcW w:type="dxa" w:w="1728"/>
          </w:tcPr>
          <w:p>
            <w:r>
              <w:t>End of term</w:t>
            </w:r>
          </w:p>
        </w:tc>
        <w:tc>
          <w:tcPr>
            <w:tcW w:type="dxa" w:w="1728"/>
          </w:tcPr>
          <w:p>
            <w:r>
              <w:t>Legal limitation</w:t>
            </w:r>
          </w:p>
        </w:tc>
        <w:tc>
          <w:tcPr>
            <w:tcW w:type="dxa" w:w="1728"/>
          </w:tcPr>
          <w:p>
            <w:r>
              <w:t>Secure delete</w:t>
            </w:r>
          </w:p>
        </w:tc>
      </w:tr>
      <w:tr>
        <w:tc>
          <w:tcPr>
            <w:tcW w:type="dxa" w:w="1728"/>
          </w:tcPr>
          <w:p>
            <w:r>
              <w:t>Tax records</w:t>
            </w:r>
          </w:p>
        </w:tc>
        <w:tc>
          <w:tcPr>
            <w:tcW w:type="dxa" w:w="1728"/>
          </w:tcPr>
          <w:p>
            <w:r>
              <w:t>7 years</w:t>
            </w:r>
          </w:p>
        </w:tc>
        <w:tc>
          <w:tcPr>
            <w:tcW w:type="dxa" w:w="1728"/>
          </w:tcPr>
          <w:p>
            <w:r>
              <w:t>End of tax year</w:t>
            </w:r>
          </w:p>
        </w:tc>
        <w:tc>
          <w:tcPr>
            <w:tcW w:type="dxa" w:w="1728"/>
          </w:tcPr>
          <w:p>
            <w:r>
              <w:t>Statutory</w:t>
            </w:r>
          </w:p>
        </w:tc>
        <w:tc>
          <w:tcPr>
            <w:tcW w:type="dxa" w:w="1728"/>
          </w:tcPr>
          <w:p>
            <w:r>
              <w:t>Secure delete</w:t>
            </w:r>
          </w:p>
        </w:tc>
      </w:tr>
      <w:tr>
        <w:tc>
          <w:tcPr>
            <w:tcW w:type="dxa" w:w="1728"/>
          </w:tcPr>
          <w:p>
            <w:r>
              <w:t>Employee records</w:t>
            </w:r>
          </w:p>
        </w:tc>
        <w:tc>
          <w:tcPr>
            <w:tcW w:type="dxa" w:w="1728"/>
          </w:tcPr>
          <w:p>
            <w:r>
              <w:t>6 years</w:t>
            </w:r>
          </w:p>
        </w:tc>
        <w:tc>
          <w:tcPr>
            <w:tcW w:type="dxa" w:w="1728"/>
          </w:tcPr>
          <w:p>
            <w:r>
              <w:t>End of employment</w:t>
            </w:r>
          </w:p>
        </w:tc>
        <w:tc>
          <w:tcPr>
            <w:tcW w:type="dxa" w:w="1728"/>
          </w:tcPr>
          <w:p>
            <w:r>
              <w:t>Legal limitation</w:t>
            </w:r>
          </w:p>
        </w:tc>
        <w:tc>
          <w:tcPr>
            <w:tcW w:type="dxa" w:w="1728"/>
          </w:tcPr>
          <w:p>
            <w:r>
              <w:t>Secure delete</w:t>
            </w:r>
          </w:p>
        </w:tc>
      </w:tr>
      <w:tr>
        <w:tc>
          <w:tcPr>
            <w:tcW w:type="dxa" w:w="1728"/>
          </w:tcPr>
          <w:p>
            <w:r>
              <w:t>CVs for unsuccessful applicants</w:t>
            </w:r>
          </w:p>
        </w:tc>
        <w:tc>
          <w:tcPr>
            <w:tcW w:type="dxa" w:w="1728"/>
          </w:tcPr>
          <w:p>
            <w:r>
              <w:t>12 months</w:t>
            </w:r>
          </w:p>
        </w:tc>
        <w:tc>
          <w:tcPr>
            <w:tcW w:type="dxa" w:w="1728"/>
          </w:tcPr>
          <w:p>
            <w:r>
              <w:t>End of recruitment</w:t>
            </w:r>
          </w:p>
        </w:tc>
        <w:tc>
          <w:tcPr>
            <w:tcW w:type="dxa" w:w="1728"/>
          </w:tcPr>
          <w:p>
            <w:r>
              <w:t>Consent</w:t>
            </w:r>
          </w:p>
        </w:tc>
        <w:tc>
          <w:tcPr>
            <w:tcW w:type="dxa" w:w="1728"/>
          </w:tcPr>
          <w:p>
            <w:r>
              <w:t>Secure delete</w:t>
            </w:r>
          </w:p>
        </w:tc>
      </w:tr>
      <w:tr>
        <w:tc>
          <w:tcPr>
            <w:tcW w:type="dxa" w:w="1728"/>
          </w:tcPr>
          <w:p>
            <w:r>
              <w:t>Customer support tickets</w:t>
            </w:r>
          </w:p>
        </w:tc>
        <w:tc>
          <w:tcPr>
            <w:tcW w:type="dxa" w:w="1728"/>
          </w:tcPr>
          <w:p>
            <w:r>
              <w:t>3 years</w:t>
            </w:r>
          </w:p>
        </w:tc>
        <w:tc>
          <w:tcPr>
            <w:tcW w:type="dxa" w:w="1728"/>
          </w:tcPr>
          <w:p>
            <w:r>
              <w:t>Ticket closure</w:t>
            </w:r>
          </w:p>
        </w:tc>
        <w:tc>
          <w:tcPr>
            <w:tcW w:type="dxa" w:w="1728"/>
          </w:tcPr>
          <w:p>
            <w:r>
              <w:t>Legitimate interest</w:t>
            </w:r>
          </w:p>
        </w:tc>
        <w:tc>
          <w:tcPr>
            <w:tcW w:type="dxa" w:w="1728"/>
          </w:tcPr>
          <w:p>
            <w:r>
              <w:t>Archive then delete</w:t>
            </w:r>
          </w:p>
        </w:tc>
      </w:tr>
      <w:tr>
        <w:tc>
          <w:tcPr>
            <w:tcW w:type="dxa" w:w="1728"/>
          </w:tcPr>
          <w:p>
            <w:r>
              <w:t>Analytics and logs</w:t>
            </w:r>
          </w:p>
        </w:tc>
        <w:tc>
          <w:tcPr>
            <w:tcW w:type="dxa" w:w="1728"/>
          </w:tcPr>
          <w:p>
            <w:r>
              <w:t>13 months</w:t>
            </w:r>
          </w:p>
        </w:tc>
        <w:tc>
          <w:tcPr>
            <w:tcW w:type="dxa" w:w="1728"/>
          </w:tcPr>
          <w:p>
            <w:r>
              <w:t>Collection</w:t>
            </w:r>
          </w:p>
        </w:tc>
        <w:tc>
          <w:tcPr>
            <w:tcW w:type="dxa" w:w="1728"/>
          </w:tcPr>
          <w:p>
            <w:r>
              <w:t>Legitimate interest</w:t>
            </w:r>
          </w:p>
        </w:tc>
        <w:tc>
          <w:tcPr>
            <w:tcW w:type="dxa" w:w="1728"/>
          </w:tcPr>
          <w:p>
            <w:r>
              <w:t>Automatic deletion</w:t>
            </w:r>
          </w:p>
        </w:tc>
      </w:tr>
      <w:tr>
        <w:tc>
          <w:tcPr>
            <w:tcW w:type="dxa" w:w="1728"/>
          </w:tcPr>
          <w:p>
            <w:r>
              <w:t>Marketing consent records</w:t>
            </w:r>
          </w:p>
        </w:tc>
        <w:tc>
          <w:tcPr>
            <w:tcW w:type="dxa" w:w="1728"/>
          </w:tcPr>
          <w:p>
            <w:r>
              <w:t>Duration + 2 years</w:t>
            </w:r>
          </w:p>
        </w:tc>
        <w:tc>
          <w:tcPr>
            <w:tcW w:type="dxa" w:w="1728"/>
          </w:tcPr>
          <w:p>
            <w:r>
              <w:t>Withdrawal</w:t>
            </w:r>
          </w:p>
        </w:tc>
        <w:tc>
          <w:tcPr>
            <w:tcW w:type="dxa" w:w="1728"/>
          </w:tcPr>
          <w:p>
            <w:r>
              <w:t>Consent</w:t>
            </w:r>
          </w:p>
        </w:tc>
        <w:tc>
          <w:tcPr>
            <w:tcW w:type="dxa" w:w="1728"/>
          </w:tcPr>
          <w:p>
            <w:r>
              <w:t>Secure delete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4. Legal Hold</w:t>
      </w:r>
    </w:p>
    <w:p>
      <w:r>
        <w:t>A legal hold suspends deletion for any record within its scope until released in writing by Legal. Holds override every retention period in this schedule.</w:t>
      </w:r>
    </w:p>
    <w:p>
      <w:pPr>
        <w:spacing w:before="280"/>
      </w:pPr>
      <w:r>
        <w:rPr>
          <w:b/>
          <w:color w:val="CB0F20"/>
          <w:sz w:val="26"/>
        </w:rPr>
        <w:t>5. Disposal</w:t>
      </w:r>
    </w:p>
    <w:p>
      <w:pPr>
        <w:pStyle w:val="ListBullet"/>
      </w:pPr>
      <w:r>
        <w:t>Paper records: cross-cut shredding by an approved provider</w:t>
      </w:r>
    </w:p>
    <w:p>
      <w:pPr>
        <w:pStyle w:val="ListBullet"/>
      </w:pPr>
      <w:r>
        <w:t>Digital records: cryptographic erasure or certified destruction</w:t>
      </w:r>
    </w:p>
    <w:p>
      <w:pPr>
        <w:pStyle w:val="ListBullet"/>
      </w:pPr>
      <w:r>
        <w:t>Backups: expire on the normal cycle once the hold is released</w:t>
      </w:r>
    </w:p>
    <w:p>
      <w:pPr>
        <w:spacing w:before="280"/>
      </w:pPr>
      <w:r>
        <w:rPr>
          <w:b/>
          <w:color w:val="CB0F20"/>
          <w:sz w:val="26"/>
        </w:rPr>
        <w:t>6.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Data owner</w:t>
            </w:r>
          </w:p>
        </w:tc>
        <w:tc>
          <w:tcPr>
            <w:tcW w:type="dxa" w:w="4320"/>
          </w:tcPr>
          <w:p>
            <w:r>
              <w:t>Decides retention for their records</w:t>
            </w:r>
          </w:p>
        </w:tc>
      </w:tr>
      <w:tr>
        <w:tc>
          <w:tcPr>
            <w:tcW w:type="dxa" w:w="4320"/>
          </w:tcPr>
          <w:p>
            <w:r>
              <w:t>Legal</w:t>
            </w:r>
          </w:p>
        </w:tc>
        <w:tc>
          <w:tcPr>
            <w:tcW w:type="dxa" w:w="4320"/>
          </w:tcPr>
          <w:p>
            <w:r>
              <w:t>Applies holds, approves exceptions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Implements deletion in systems and backups</w:t>
            </w:r>
          </w:p>
        </w:tc>
      </w:tr>
      <w:tr>
        <w:tc>
          <w:tcPr>
            <w:tcW w:type="dxa" w:w="4320"/>
          </w:tcPr>
          <w:p>
            <w:r>
              <w:t>All staff</w:t>
            </w:r>
          </w:p>
        </w:tc>
        <w:tc>
          <w:tcPr>
            <w:tcW w:type="dxa" w:w="4320"/>
          </w:tcPr>
          <w:p>
            <w:r>
              <w:t>Report accidental deletion immediately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7. Exceptions</w:t>
      </w:r>
    </w:p>
    <w:p>
      <w:r>
        <w:t>Any exception must be documented, approved by Legal, and reviewed at the next policy review.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Owner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