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44"/>
        </w:rPr>
        <w:t>SERVICE AGREEMENT</w:t>
      </w:r>
    </w:p>
    <w:p>
      <w:r>
        <w:t>This Service Agreement is entered into as of the Effective Date by and between the Client and the Provider identified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Provider legal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Client legal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Governing law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spacing w:before="200"/>
      </w:pPr>
      <w:r>
        <w:rPr>
          <w:b/>
          <w:color w:val="171A21"/>
        </w:rPr>
        <w:t xml:space="preserve">1. Scope of Services  </w:t>
      </w:r>
      <w:r>
        <w:t>The Provider shall perform the services described in the attached Statement of Work. Any change to scope requires a written change order signed by both parties.</w:t>
      </w:r>
    </w:p>
    <w:p>
      <w:pPr>
        <w:spacing w:before="200"/>
      </w:pPr>
      <w:r>
        <w:rPr>
          <w:b/>
          <w:color w:val="171A21"/>
        </w:rPr>
        <w:t xml:space="preserve">2. Fees and Payment  </w:t>
      </w:r>
      <w:r>
        <w:t>The Client shall pay the fees set out in the Statement of Work. Invoices are payable within 30 days of issue. Late payments accrue interest at 1.5% per month.</w:t>
      </w:r>
    </w:p>
    <w:p>
      <w:pPr>
        <w:spacing w:before="200"/>
      </w:pPr>
      <w:r>
        <w:rPr>
          <w:b/>
          <w:color w:val="171A21"/>
        </w:rPr>
        <w:t xml:space="preserve">3. Term and Termination  </w:t>
      </w:r>
      <w:r>
        <w:t>This Agreement begins on the Effective Date and continues until terminated. Either party may terminate for material breach if the breach is not cured within 15 days of written notice.</w:t>
      </w:r>
    </w:p>
    <w:p>
      <w:pPr>
        <w:spacing w:before="200"/>
      </w:pPr>
      <w:r>
        <w:rPr>
          <w:b/>
          <w:color w:val="171A21"/>
        </w:rPr>
        <w:t xml:space="preserve">4. Confidentiality  </w:t>
      </w:r>
      <w:r>
        <w:t>Each party shall keep the other party's non-public information confidential and shall use it only to perform this Agreement.</w:t>
      </w:r>
    </w:p>
    <w:p>
      <w:pPr>
        <w:spacing w:before="200"/>
      </w:pPr>
      <w:r>
        <w:rPr>
          <w:b/>
          <w:color w:val="171A21"/>
        </w:rPr>
        <w:t xml:space="preserve">5. Intellectual Property  </w:t>
      </w:r>
      <w:r>
        <w:t>Upon full payment, the Client owns the deliverables. The Provider retains ownership of pre-existing materials and grants a perpetual licence to use them as embedded in the deliverables.</w:t>
      </w:r>
    </w:p>
    <w:p>
      <w:pPr>
        <w:spacing w:before="200"/>
      </w:pPr>
      <w:r>
        <w:rPr>
          <w:b/>
          <w:color w:val="171A21"/>
        </w:rPr>
        <w:t xml:space="preserve">6. Limitation of Liability  </w:t>
      </w:r>
      <w:r>
        <w:t>Neither party is liable for indirect or consequential damages. Total liability is limited to the fees paid in the twelve months preceding the claim.</w:t>
      </w:r>
    </w:p>
    <w:p>
      <w:pPr>
        <w:spacing w:before="200"/>
      </w:pPr>
      <w:r>
        <w:rPr>
          <w:b/>
          <w:color w:val="171A21"/>
        </w:rPr>
        <w:t xml:space="preserve">7. Termination for Convenience  </w:t>
      </w:r>
      <w:r>
        <w:t>Either party may terminate for convenience on 30 days written notice. Fees accrued to the termination date remain payable.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  <w:p>
            <w:r>
              <w:t>__________________________</w:t>
            </w:r>
          </w:p>
          <w:p>
            <w:r>
              <w:rPr>
                <w:sz w:val="16"/>
              </w:rPr>
              <w:t>Provider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/>
          </w:p>
          <w:p>
            <w:r>
              <w:t>__________________________</w:t>
            </w:r>
          </w:p>
          <w:p>
            <w:r>
              <w:rPr>
                <w:sz w:val="16"/>
              </w:rPr>
              <w:t>Client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