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4"/>
        </w:rPr>
        <w:t>STATEMENT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SOW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Master agreement reference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Start 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End 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1. Background</w:t>
      </w:r>
    </w:p>
    <w:p>
      <w:r>
        <w:t>One paragraph referencing the master agreement this SOW sits under.</w:t>
      </w:r>
    </w:p>
    <w:p>
      <w:pPr>
        <w:spacing w:before="280"/>
      </w:pPr>
      <w:r>
        <w:rPr>
          <w:b/>
          <w:color w:val="CB0F20"/>
          <w:sz w:val="26"/>
        </w:rPr>
        <w:t>2. Scope of Work</w:t>
      </w:r>
    </w:p>
    <w:p>
      <w:pPr>
        <w:spacing w:before="200"/>
      </w:pPr>
      <w:r>
        <w:rPr>
          <w:b/>
          <w:color w:val="171A21"/>
        </w:rPr>
        <w:t xml:space="preserve">In scope  </w:t>
      </w:r>
      <w:r>
        <w:t>Workstreams included in this SOW, each with a clear deliverable.</w:t>
      </w:r>
    </w:p>
    <w:p>
      <w:pPr>
        <w:spacing w:before="200"/>
      </w:pPr>
      <w:r>
        <w:rPr>
          <w:b/>
          <w:color w:val="171A21"/>
        </w:rPr>
        <w:t xml:space="preserve">Out of scope  </w:t>
      </w:r>
      <w:r>
        <w:t>Everything explicitly excluded, so it cannot be assumed later.</w:t>
      </w:r>
    </w:p>
    <w:p>
      <w:pPr>
        <w:spacing w:before="280"/>
      </w:pPr>
      <w:r>
        <w:rPr>
          <w:b/>
          <w:color w:val="CB0F20"/>
          <w:sz w:val="26"/>
        </w:rPr>
        <w:t>3. Deliverables and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Requirements sign-off</w:t>
            </w:r>
          </w:p>
        </w:tc>
        <w:tc>
          <w:tcPr>
            <w:tcW w:type="dxa" w:w="2160"/>
          </w:tcPr>
          <w:p>
            <w:r>
              <w:t>Signed by both named approvers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Working prototype</w:t>
            </w:r>
          </w:p>
        </w:tc>
        <w:tc>
          <w:tcPr>
            <w:tcW w:type="dxa" w:w="2160"/>
          </w:tcPr>
          <w:p>
            <w:r>
              <w:t>Covers the three highest-value flows</w:t>
            </w:r>
          </w:p>
        </w:tc>
        <w:tc>
          <w:tcPr>
            <w:tcW w:type="dxa" w:w="2160"/>
          </w:tcPr>
          <w:p>
            <w:r>
              <w:t>Week 6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Release candidate</w:t>
            </w:r>
          </w:p>
        </w:tc>
        <w:tc>
          <w:tcPr>
            <w:tcW w:type="dxa" w:w="2160"/>
          </w:tcPr>
          <w:p>
            <w:r>
              <w:t>No open severity-1 defects</w:t>
            </w:r>
          </w:p>
        </w:tc>
        <w:tc>
          <w:tcPr>
            <w:tcW w:type="dxa" w:w="2160"/>
          </w:tcPr>
          <w:p>
            <w:r>
              <w:t>Week 11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Handover pack</w:t>
            </w:r>
          </w:p>
        </w:tc>
        <w:tc>
          <w:tcPr>
            <w:tcW w:type="dxa" w:w="2160"/>
          </w:tcPr>
          <w:p>
            <w:r>
              <w:t>Training delivered to 100% of named staff</w:t>
            </w:r>
          </w:p>
        </w:tc>
        <w:tc>
          <w:tcPr>
            <w:tcW w:type="dxa" w:w="2160"/>
          </w:tcPr>
          <w:p>
            <w:r>
              <w:t>Week 13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4. Fees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Trigger</w:t>
            </w:r>
          </w:p>
        </w:tc>
      </w:tr>
      <w:tr>
        <w:tc>
          <w:tcPr>
            <w:tcW w:type="dxa" w:w="2880"/>
          </w:tcPr>
          <w:p>
            <w:r>
              <w:t>Fixed fee</w:t>
            </w:r>
          </w:p>
        </w:tc>
        <w:tc>
          <w:tcPr>
            <w:tcW w:type="dxa" w:w="2880"/>
          </w:tcPr>
          <w:p>
            <w:r>
              <w:t>$48,000</w:t>
            </w:r>
          </w:p>
        </w:tc>
        <w:tc>
          <w:tcPr>
            <w:tcW w:type="dxa" w:w="2880"/>
          </w:tcPr>
          <w:p>
            <w:r>
              <w:t>Per the milestone schedule below</w:t>
            </w:r>
          </w:p>
        </w:tc>
      </w:tr>
      <w:tr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At cost</w:t>
            </w:r>
          </w:p>
        </w:tc>
        <w:tc>
          <w:tcPr>
            <w:tcW w:type="dxa" w:w="2880"/>
          </w:tcPr>
          <w:p>
            <w:r>
              <w:t>Pre-approved only</w:t>
            </w:r>
          </w:p>
        </w:tc>
      </w:tr>
      <w:tr>
        <w:tc>
          <w:tcPr>
            <w:tcW w:type="dxa" w:w="2880"/>
          </w:tcPr>
          <w:p>
            <w:r>
              <w:t>Change requests</w:t>
            </w:r>
          </w:p>
        </w:tc>
        <w:tc>
          <w:tcPr>
            <w:tcW w:type="dxa" w:w="2880"/>
          </w:tcPr>
          <w:p>
            <w:r>
              <w:t>$185/hour</w:t>
            </w:r>
          </w:p>
        </w:tc>
        <w:tc>
          <w:tcPr>
            <w:tcW w:type="dxa" w:w="2880"/>
          </w:tcPr>
          <w:p>
            <w:r>
              <w:t>Only on signed change order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5. Milestone Payment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2880"/>
          </w:tcPr>
          <w:p>
            <w:r>
              <w:t>Kickoff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$9,600</w:t>
            </w:r>
          </w:p>
        </w:tc>
      </w:tr>
      <w:tr>
        <w:tc>
          <w:tcPr>
            <w:tcW w:type="dxa" w:w="2880"/>
          </w:tcPr>
          <w:p>
            <w:r>
              <w:t>Prototype accepted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$14,400</w:t>
            </w:r>
          </w:p>
        </w:tc>
      </w:tr>
      <w:tr>
        <w:tc>
          <w:tcPr>
            <w:tcW w:type="dxa" w:w="2880"/>
          </w:tcPr>
          <w:p>
            <w:r>
              <w:t>Release candidate accepted</w:t>
            </w:r>
          </w:p>
        </w:tc>
        <w:tc>
          <w:tcPr>
            <w:tcW w:type="dxa" w:w="2880"/>
          </w:tcPr>
          <w:p>
            <w:r>
              <w:t>35%</w:t>
            </w:r>
          </w:p>
        </w:tc>
        <w:tc>
          <w:tcPr>
            <w:tcW w:type="dxa" w:w="2880"/>
          </w:tcPr>
          <w:p>
            <w:r>
              <w:t>$16,800</w:t>
            </w:r>
          </w:p>
        </w:tc>
      </w:tr>
      <w:tr>
        <w:tc>
          <w:tcPr>
            <w:tcW w:type="dxa" w:w="2880"/>
          </w:tcPr>
          <w:p>
            <w:r>
              <w:t>Handover accepted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$7,200</w:t>
            </w:r>
          </w:p>
        </w:tc>
      </w:tr>
    </w:tbl>
    <w:p/>
    <w:p>
      <w:pPr>
        <w:spacing w:before="280"/>
      </w:pPr>
      <w:r>
        <w:rPr>
          <w:b/>
          <w:color w:val="CB0F20"/>
          <w:sz w:val="26"/>
        </w:rPr>
        <w:t>6. Assumptions and Dependencies</w:t>
      </w:r>
    </w:p>
    <w:p>
      <w:pPr>
        <w:pStyle w:val="ListBullet"/>
      </w:pPr>
      <w:r>
        <w:t>Client provides access to the existing data set within 5 working days of kickoff</w:t>
      </w:r>
    </w:p>
    <w:p>
      <w:pPr>
        <w:pStyle w:val="ListBullet"/>
      </w:pPr>
      <w:r>
        <w:t>A named client approver is available within 2 working days throughout</w:t>
      </w:r>
    </w:p>
    <w:p>
      <w:pPr>
        <w:pStyle w:val="ListBullet"/>
      </w:pPr>
      <w:r>
        <w:t>Any third-party licence fees are borne by the client</w:t>
      </w:r>
    </w:p>
    <w:p>
      <w:pPr>
        <w:spacing w:before="280"/>
      </w:pPr>
      <w:r>
        <w:rPr>
          <w:b/>
          <w:color w:val="CB0F20"/>
          <w:sz w:val="26"/>
        </w:rPr>
        <w:t>7. Change Control</w:t>
      </w:r>
    </w:p>
    <w:p>
      <w:r>
        <w:t>Any change to scope, deliverables or dates requires a written change order. Work does not begin until the change order is signed by both parties.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For Rixoffice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/>
          </w:p>
          <w:p>
            <w:r>
              <w:t>__________________________</w:t>
            </w:r>
          </w:p>
          <w:p>
            <w:r>
              <w:rPr>
                <w:sz w:val="16"/>
              </w:rPr>
              <w:t>For Client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