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HADRUN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BFD0EF"/>
                <w:sz w:val="22"/>
                <w:szCs w:val="22"/>
              </w:rPr>
              <w:t xml:space="preserve">Hospitalisation à Domicile La Réunion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Pathologies &amp; soins pris en charge</w:t>
            </w:r>
          </w:p>
        </w:tc>
      </w:tr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C94070" w:val="clear"/>
            <w:tcMar>
              <w:top w:type="dxa" w:w="60"/>
              <w:left w:type="dxa" w:w="480"/>
              <w:bottom w:type="dxa" w:w="60"/>
              <w:right w:type="dxa" w:w="48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Des soins hospitaliers de qualité, dans le confort de votre domicile · Toute l'île de La Réunion</w:t>
            </w:r>
          </w:p>
        </w:tc>
      </w:tr>
    </w:tbl>
    <w:p>
      <w:pPr>
        <w:spacing w:after="0" w:before="200"/>
      </w:pPr>
    </w:p>
    <w:p>
      <w:pPr>
        <w:spacing w:after="12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L'hospitalisation à domicile (HAD) permet d'assurer à votre domicile des soins médicaux et paramédicaux continus et coordonnés, d'une technicité équivalente à ceux prodigués en milieu hospitalier.</w:t>
      </w:r>
    </w:p>
    <w:p>
      <w:pPr>
        <w:pBdr>
          <w:bottom w:val="single" w:color="C94070" w:sz="4"/>
        </w:pBdr>
        <w:spacing w:after="6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F766E"/>
          <w:sz w:val="16"/>
          <w:szCs w:val="16"/>
        </w:rPr>
        <w:t xml:space="preserve">Traitement IV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1D3461"/>
          <w:sz w:val="26"/>
          <w:szCs w:val="26"/>
        </w:rPr>
        <w:t xml:space="preserve">Perfusions &amp; traitements intraveineux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L'administration de médicaments par voie intraveineuse (IV) nécessite traditionnellement une hospitalisation. Grâce à la HAD, ces traitements peuvent être réalisés à votre domicile par nos infirmiers spécialisés, en toute sécurité.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Nos équipes maîtrisent l'utilisation de voies veineuses centrales (PICC-line, chambre implantable) et périphériques pour l'administration de traitements complexes.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Antibiothérapie intraveineuse prolongée (endocardite, ostéite, pneumonie sévère)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Nutrition parentérale totale ou partielle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Hydratation intraveineuse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Antifongiques et antiviraux 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Immunoglobulines intraveineuses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Traitements de l'insuffisance cardiaque (diurétiques IV, inotropes)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Bisphosphonates intraveineux</w:t>
      </w:r>
    </w:p>
    <w:p>
      <w:pPr>
        <w:spacing w:after="0" w:before="100"/>
      </w:pPr>
      <w:r>
        <w:rPr>
          <w:rFonts w:ascii="Arial" w:cs="Arial" w:eastAsia="Arial" w:hAnsi="Arial"/>
          <w:i/>
          <w:iCs/>
          <w:color w:val="5B6E8C"/>
          <w:sz w:val="18"/>
          <w:szCs w:val="18"/>
        </w:rPr>
        <w:t xml:space="preserve">Un dispositif de télésurveillance peut être mis en place pour renforcer la sécurité du patient entre les passages infirmiers.</w:t>
      </w:r>
    </w:p>
    <w:p>
      <w:pPr>
        <w:pBdr>
          <w:bottom w:val="single" w:color="D0DCEF" w:sz="4"/>
        </w:pBdr>
        <w:spacing w:after="6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065F46"/>
          <w:sz w:val="16"/>
          <w:szCs w:val="16"/>
        </w:rPr>
        <w:t xml:space="preserve">Soins de plaie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1D3461"/>
          <w:sz w:val="26"/>
          <w:szCs w:val="26"/>
        </w:rPr>
        <w:t xml:space="preserve">Pansements complexes &amp; soins de plaies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Les plaies chroniques nécessitent des soins réguliers et techniques que nos infirmiers réalisent quotidiennement à votre domicile. L'utilisation de protocoles validés garantit une cicatrisation optimale.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Escarres de stade II à 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Ulcères veineux, artériels ou mixtes des membres inférieurs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Pied diabétique (ulcère neuropathique, neuro-ischémique)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Plaies post-chirurgicales complexes ou déhiscentes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Brûlures étendues en phase de cicatrisation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Fistules et stomies nécessitant une surveillance rapprochée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Thérapie par pression négative (TPN / VAC)</w:t>
      </w:r>
    </w:p>
    <w:p>
      <w:pPr>
        <w:pBdr>
          <w:bottom w:val="single" w:color="D0DCEF" w:sz="4"/>
        </w:pBdr>
        <w:spacing w:after="6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6D28D9"/>
          <w:sz w:val="16"/>
          <w:szCs w:val="16"/>
        </w:rPr>
        <w:t xml:space="preserve">Fin de vie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1D3461"/>
          <w:sz w:val="26"/>
          <w:szCs w:val="26"/>
        </w:rPr>
        <w:t xml:space="preserve">Soins palliatifs &amp; accompagnement de fin de vie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Mourir chez soi, entouré de ses proches, est le souhait de nombreux patients. HADRUN s'engage à rendre ce projet possible, en assurant un accompagnement médical, infirmier et psychologique adapté.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Notre approche palliative vise à soulager la douleur et les symptômes, à préserver la dignité et à soutenir l'entourage dans cette période difficile.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Analgésie par voie sous-cutanée ou intraveineuse (pompe PCA)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Gestion des symptômes réfractaires (dyspnée, nausées, anxiété)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Sédation palliative profonde et continue si nécessaire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Soutien psychologique patient et famille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Coordination avec l'équipe mobile de soins palliatifs (EMSP)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Accompagnement du deuil pour les proches</w:t>
      </w:r>
    </w:p>
    <w:p>
      <w:pPr>
        <w:pBdr>
          <w:bottom w:val="single" w:color="D0DCEF" w:sz="4"/>
        </w:pBdr>
        <w:spacing w:after="6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B45309"/>
          <w:sz w:val="16"/>
          <w:szCs w:val="16"/>
        </w:rPr>
        <w:t xml:space="preserve">Oncologie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1D3461"/>
          <w:sz w:val="26"/>
          <w:szCs w:val="26"/>
        </w:rPr>
        <w:t xml:space="preserve">Chimiothérapie &amp; traitements anticancéreux à domicile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Certaines chimiothérapies peuvent être administrées à domicile, permettant au patient de continuer son traitement anticancéreux sans quitter son environnement. Cette modalité est décidée en concertation avec l'oncologue référent.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Chimiothérapies à faible risque en perfusion (5-FU, capécitabine IV,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Thérapies ciblées administrables à domicile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Immunothérapies en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Gestion des effets secondaires à domicile (nausées, aplasie, mucite)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Transfusions de culots globulaires et plaquettaires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Injections de facteurs de croissance (G-CSF)</w:t>
      </w:r>
    </w:p>
    <w:p>
      <w:pPr>
        <w:spacing w:after="0" w:before="100"/>
      </w:pPr>
      <w:r>
        <w:rPr>
          <w:rFonts w:ascii="Arial" w:cs="Arial" w:eastAsia="Arial" w:hAnsi="Arial"/>
          <w:i/>
          <w:iCs/>
          <w:color w:val="5B6E8C"/>
          <w:sz w:val="18"/>
          <w:szCs w:val="18"/>
        </w:rPr>
        <w:t xml:space="preserve">La décision d'une chimiothérapie à domicile est toujours prise en concertation multidisciplinaire (oncologue, médecin coordonnateur HAD, infirmier spécialisé).</w:t>
      </w:r>
    </w:p>
    <w:p>
      <w:pPr>
        <w:pBdr>
          <w:bottom w:val="single" w:color="D0DCEF" w:sz="4"/>
        </w:pBdr>
        <w:spacing w:after="60" w:before="6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1D4ED8"/>
          <w:sz w:val="16"/>
          <w:szCs w:val="16"/>
        </w:rPr>
        <w:t xml:space="preserve">Post-opératoire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color w:val="1D3461"/>
          <w:sz w:val="26"/>
          <w:szCs w:val="26"/>
        </w:rPr>
        <w:t xml:space="preserve">Soins post-opératoires &amp; rééducation</w:t>
      </w:r>
    </w:p>
    <w:p>
      <w:pPr>
        <w:spacing w:after="100" w:before="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La HAD permet un retour précoce à domicile après une intervention chirurgicale, tout en garantissant un suivi médical et infirmier rigoureux pour prévenir les complications post-opératoires.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Surveillance post-opératoire (orthopédie, chirurgie abdominale, cardiaque)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Kinésithérapie respiratoire et motrice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Rééducation post-AVC (orthophonie, ergothérapie)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Rééducation après prothèse de hanche ou genou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Gestion des drains et dispositifs post-chirurgicaux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Prévention des thromboses (injections d'HBPM)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B6E8C"/>
          <w:sz w:val="20"/>
          <w:szCs w:val="20"/>
        </w:rPr>
        <w:t xml:space="preserve">Réadaptation cardiaque post-infarctus</w:t>
      </w:r>
    </w:p>
    <w:p>
      <w:pPr>
        <w:pBdr>
          <w:bottom w:val="single" w:color="D0DCEF" w:sz="4"/>
        </w:pBdr>
        <w:spacing w:after="60" w:before="60"/>
      </w:pPr>
    </w:p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D3461" w:sz="4"/>
              <w:left w:val="none"/>
              <w:bottom w:val="none"/>
              <w:right w:val="none"/>
            </w:tcBorders>
            <w:shd w:fill="EBF0FA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D3461"/>
                <w:sz w:val="22"/>
                <w:szCs w:val="22"/>
              </w:rPr>
              <w:t xml:space="preserve">Votre situation n'est pas listée ?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B6E8C"/>
                <w:sz w:val="20"/>
                <w:szCs w:val="20"/>
              </w:rPr>
              <w:t xml:space="preserve">Contactez-nous pour évaluer si votre situation médicale peut bénéficier d'une prise en charge en hospitalisation à domicile.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D3461"/>
                <w:sz w:val="20"/>
                <w:szCs w:val="20"/>
              </w:rPr>
              <w:t xml:space="preserve">Tél : </w:t>
            </w:r>
            <w:r>
              <w:rPr>
                <w:rFonts w:ascii="Arial" w:cs="Arial" w:eastAsia="Arial" w:hAnsi="Arial"/>
                <w:color w:val="5B6E8C"/>
                <w:sz w:val="20"/>
                <w:szCs w:val="20"/>
              </w:rPr>
              <w:t xml:space="preserve">0262 XX XX XX</w:t>
            </w:r>
            <w:r>
              <w:rPr>
                <w:rFonts w:ascii="Arial" w:cs="Arial" w:eastAsia="Arial" w:hAnsi="Arial"/>
                <w:b/>
                <w:bCs/>
                <w:color w:val="1D3461"/>
                <w:sz w:val="20"/>
                <w:szCs w:val="20"/>
              </w:rPr>
              <w:t xml:space="preserve">   |   Email : </w:t>
            </w:r>
            <w:r>
              <w:rPr>
                <w:rFonts w:ascii="Arial" w:cs="Arial" w:eastAsia="Arial" w:hAnsi="Arial"/>
                <w:color w:val="5B6E8C"/>
                <w:sz w:val="20"/>
                <w:szCs w:val="20"/>
              </w:rPr>
              <w:t xml:space="preserve">contact@hadrun.re</w:t>
            </w:r>
            <w:r>
              <w:rPr>
                <w:rFonts w:ascii="Arial" w:cs="Arial" w:eastAsia="Arial" w:hAnsi="Arial"/>
                <w:b/>
                <w:bCs/>
                <w:color w:val="1D3461"/>
                <w:sz w:val="20"/>
                <w:szCs w:val="20"/>
              </w:rPr>
              <w:t xml:space="preserve">   |   Web : </w:t>
            </w:r>
            <w:r>
              <w:rPr>
                <w:rFonts w:ascii="Arial" w:cs="Arial" w:eastAsia="Arial" w:hAnsi="Arial"/>
                <w:color w:val="5B6E8C"/>
                <w:sz w:val="20"/>
                <w:szCs w:val="20"/>
              </w:rPr>
              <w:t xml:space="preserve">hadrun.re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F" w:sz="4"/>
      </w:pBdr>
      <w:spacing w:before="100"/>
      <w:jc w:val="center"/>
    </w:pPr>
    <w:r>
      <w:rPr>
        <w:rFonts w:ascii="Arial" w:cs="Arial" w:eastAsia="Arial" w:hAnsi="Arial"/>
        <w:color w:val="5B6E8C"/>
        <w:sz w:val="16"/>
        <w:szCs w:val="16"/>
      </w:rPr>
      <w:t xml:space="preserve">HADRUN · hadrun.re · contact@hadrun.re · 0262 XX XX XX  |  Page </w:t>
    </w:r>
    <w:r>
      <w:rPr>
        <w:rFonts w:ascii="Arial" w:cs="Arial" w:eastAsia="Arial" w:hAnsi="Arial"/>
        <w:color w:val="5B6E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F" w:sz="4"/>
      </w:pBdr>
      <w:spacing w:after="100"/>
    </w:pPr>
    <w:r>
      <w:rPr>
        <w:rFonts w:ascii="Arial" w:cs="Arial" w:eastAsia="Arial" w:hAnsi="Arial"/>
        <w:b/>
        <w:bCs/>
        <w:color w:val="1D3461"/>
        <w:sz w:val="18"/>
        <w:szCs w:val="18"/>
      </w:rPr>
      <w:t xml:space="preserve">HADRUN</w:t>
    </w:r>
    <w:r>
      <w:rPr>
        <w:rFonts w:ascii="Arial" w:cs="Arial" w:eastAsia="Arial" w:hAnsi="Arial"/>
        <w:color w:val="5B6E8C"/>
        <w:sz w:val="18"/>
        <w:szCs w:val="18"/>
      </w:rPr>
      <w:t xml:space="preserve">  –  Pathologies &amp; soins pris en charge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34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34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2026-05-21T06:45:32.917Z</dcterms:created>
  <dcterms:modified xsi:type="dcterms:W3CDTF">2026-05-21T06:45:32.917Z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