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D3461"/>
          <w:sz w:val="36"/>
          <w:szCs w:val="36"/>
        </w:rPr>
        <w:t xml:space="preserve">Relecture — Page Pathologies HADRUN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Instructions : </w:t>
      </w:r>
      <w:r>
        <w:rPr>
          <w:rFonts w:ascii="Arial" w:cs="Arial" w:eastAsia="Arial" w:hAnsi="Arial"/>
          <w:color w:val="5B6E8C"/>
          <w:sz w:val="20"/>
          <w:szCs w:val="20"/>
        </w:rPr>
        <w:t xml:space="preserve">Inscrivez vos corrections dans la colonne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Votre correction </w:t>
      </w:r>
      <w:r>
        <w:rPr>
          <w:rFonts w:ascii="Arial" w:cs="Arial" w:eastAsia="Arial" w:hAnsi="Arial"/>
          <w:color w:val="5B6E8C"/>
          <w:sz w:val="20"/>
          <w:szCs w:val="20"/>
        </w:rPr>
        <w:t xml:space="preserve">(fond jaune). Laissez vide si le texte vous convient.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none"/>
              <w:left w:val="none"/>
              <w:bottom w:val="none"/>
              <w:right w:val="none"/>
            </w:tcBorders>
            <w:shd w:fill="1D34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D346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Texte actuel sur le site</w:t>
            </w:r>
          </w:p>
        </w:tc>
        <w:tc>
          <w:tcPr>
            <w:tcW w:type="dxa" w:w="6218"/>
            <w:tcBorders>
              <w:top w:val="none"/>
              <w:left w:val="none"/>
              <w:bottom w:val="none"/>
              <w:right w:val="none"/>
            </w:tcBorders>
            <w:shd w:fill="C9407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✏  Votre correction</w:t>
            </w:r>
          </w:p>
        </w:tc>
      </w:tr>
    </w:tbl>
    <w:p>
      <w:pPr>
        <w:spacing w:after="0" w:before="12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38"/>
      </w:tblGrid>
      <w:tr>
        <w:tc>
          <w:tcPr>
            <w:tcW w:type="dxa" w:w="15138"/>
            <w:tcBorders>
              <w:top w:val="none"/>
              <w:left w:val="none"/>
              <w:bottom w:val="none"/>
              <w:right w:val="none"/>
            </w:tcBorders>
            <w:shd w:fill="1D346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1 — Haut de page</w:t>
            </w:r>
          </w:p>
        </w:tc>
      </w:tr>
    </w:tbl>
    <w:p>
      <w:pPr>
        <w:spacing w:after="0" w:before="6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Titre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Pathologies &amp; soins pris en charge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Intro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Découvrez l'ensemble des situations cliniques pour lesquelles HADRUN peut assurer votre prise en charge à domicile, avec la même qualité qu'en milieu hospitalier.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12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38"/>
      </w:tblGrid>
      <w:tr>
        <w:tc>
          <w:tcPr>
            <w:tcW w:type="dxa" w:w="15138"/>
            <w:tcBorders>
              <w:top w:val="none"/>
              <w:left w:val="none"/>
              <w:bottom w:val="none"/>
              <w:right w:val="none"/>
            </w:tcBorders>
            <w:shd w:fill="1D346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2 — Perfusions &amp; traitements intraveineux</w:t>
            </w:r>
          </w:p>
        </w:tc>
      </w:tr>
    </w:tbl>
    <w:p>
      <w:pPr>
        <w:spacing w:after="0" w:before="6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Titre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Perfusions &amp; traitements intraveineux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Para. 1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L'administration de médicaments par voie intraveineuse (IV) nécessite traditionnellement une hospitalisation. Grâce à la HAD, ces traitements peuvent être réalisés à votre domicile par nos infirmiers spécialisés, en toute sécurité.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Para. 2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Nos équipes maîtrisent l'utilisation de voies veineuses centrales (PICC-line, chambre implantable) et périphériques pour l'administration de traitements complexes.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Liste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Antibiothérapie intraveineuse prolongée (endocardite, ostéite, pneumonie sévère)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Nutrition parentérale totale ou partielle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Hydratation intraveineuse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Antifongiques et antiviraux IV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Immunoglobulines intraveineuses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Traitements de l'insuffisance cardiaque (diurétiques IV, inotropes)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Bisphosphonates intraveineux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Note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dispositif de télésurveillance peut être mis en place pour renforcer la sécurité du patient entre les passages infirmiers.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12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38"/>
      </w:tblGrid>
      <w:tr>
        <w:tc>
          <w:tcPr>
            <w:tcW w:type="dxa" w:w="15138"/>
            <w:tcBorders>
              <w:top w:val="none"/>
              <w:left w:val="none"/>
              <w:bottom w:val="none"/>
              <w:right w:val="none"/>
            </w:tcBorders>
            <w:shd w:fill="1D346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3 — Pansements complexes &amp; soins de plaies</w:t>
            </w:r>
          </w:p>
        </w:tc>
      </w:tr>
    </w:tbl>
    <w:p>
      <w:pPr>
        <w:spacing w:after="0" w:before="6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Titre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Pansements complexes &amp; soins de plaies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Para.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 plaies chroniques nécessitent des soins réguliers et techniques que nos infirmiers réalisent quotidiennement à votre domicile. L'utilisation de protocoles validés garantit une cicatrisation optimale.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Liste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Escarres de stade II à IV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Ulcères veineux, artériels ou mixtes des membres inférieurs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Pied diabétique (ulcère neuropathique, neuro-ischémique)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Plaies post-chirurgicales complexes ou déhiscentes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Brûlures étendues en phase de cicatrisation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Fistules et stomies nécessitant une surveillance rapprochée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Thérapie par pression négative (TPN / VAC)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12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38"/>
      </w:tblGrid>
      <w:tr>
        <w:tc>
          <w:tcPr>
            <w:tcW w:type="dxa" w:w="15138"/>
            <w:tcBorders>
              <w:top w:val="none"/>
              <w:left w:val="none"/>
              <w:bottom w:val="none"/>
              <w:right w:val="none"/>
            </w:tcBorders>
            <w:shd w:fill="1D346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4 — Soins palliatifs &amp; accompagnement de fin de vie</w:t>
            </w:r>
          </w:p>
        </w:tc>
      </w:tr>
    </w:tbl>
    <w:p>
      <w:pPr>
        <w:spacing w:after="0" w:before="6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Titre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Soins palliatifs &amp; accompagnement de fin de vie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Para. 1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Mourir chez soi, entouré de ses proches, est le souhait de nombreux patients. HADRUN s'engage à rendre ce projet possible, en assurant un accompagnement médical, infirmier et psychologique adapté.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Para. 2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Notre approche palliative vise à soulager la douleur et les symptômes, à préserver la dignité et à soutenir l'entourage dans cette période difficile.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Liste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Analgésie par voie sous-cutanée ou intraveineuse (pompe PCA)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 des symptômes réfractaires (dyspnée, nausées, anxiété)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Sédation palliative profonde et continue si nécessaire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Soutien psychologique patient et famille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Coordination avec l'équipe mobile de soins palliatifs (EMSP)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Accompagnement du deuil pour les proches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12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38"/>
      </w:tblGrid>
      <w:tr>
        <w:tc>
          <w:tcPr>
            <w:tcW w:type="dxa" w:w="15138"/>
            <w:tcBorders>
              <w:top w:val="none"/>
              <w:left w:val="none"/>
              <w:bottom w:val="none"/>
              <w:right w:val="none"/>
            </w:tcBorders>
            <w:shd w:fill="1D346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5 — Chimiothérapie &amp; traitements anticancéreux à domicile</w:t>
            </w:r>
          </w:p>
        </w:tc>
      </w:tr>
    </w:tbl>
    <w:p>
      <w:pPr>
        <w:spacing w:after="0" w:before="6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Titre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Chimiothérapie &amp; traitements anticancéreux à domicile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Para.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Certaines chimiothérapies peuvent être administrées à domicile, permettant au patient de continuer son traitement anticancéreux sans quitter son environnement. Cette modalité est décidée en concertation avec l'oncologue référent.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Liste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Chimiothérapies à faible risque en perfusion (5-FU, capécitabine IV,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Thérapies ciblées administrables à domicile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Immunothérapies en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 des effets secondaires à domicile (nausées, aplasie, mucite)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Transfusions de culots globulaires et plaquettaires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Injections de facteurs de croissance (G-CSF)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Note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décision d'une chimiothérapie à domicile est toujours prise en concertation multidisciplinaire (oncologue, médecin coordonnateur HAD, infirmier spécialisé).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12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38"/>
      </w:tblGrid>
      <w:tr>
        <w:tc>
          <w:tcPr>
            <w:tcW w:type="dxa" w:w="15138"/>
            <w:tcBorders>
              <w:top w:val="none"/>
              <w:left w:val="none"/>
              <w:bottom w:val="none"/>
              <w:right w:val="none"/>
            </w:tcBorders>
            <w:shd w:fill="1D346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6 — Soins post-opératoires &amp; rééducation</w:t>
            </w:r>
          </w:p>
        </w:tc>
      </w:tr>
    </w:tbl>
    <w:p>
      <w:pPr>
        <w:spacing w:after="0" w:before="6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Titre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Soins post-opératoires &amp; rééducation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Para.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 HAD permet un retour précoce à domicile après une intervention chirurgicale, tout en garantissant un suivi médical et infirmier rigoureux pour prévenir les complications post-opératoires.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Liste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Surveillance post-opératoire (orthopédie, chirurgie abdominale, cardiaque)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Kinésithérapie respiratoire et motrice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Rééducation post-AVC (orthophonie, ergothérapie)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Rééducation après prothèse de hanche ou genou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 des drains et dispositifs post-chirurgicaux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Prévention des thromboses (injections d'HBPM)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Réadaptation cardiaque post-infarctus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12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38"/>
      </w:tblGrid>
      <w:tr>
        <w:tc>
          <w:tcPr>
            <w:tcW w:type="dxa" w:w="15138"/>
            <w:tcBorders>
              <w:top w:val="none"/>
              <w:left w:val="none"/>
              <w:bottom w:val="none"/>
              <w:right w:val="none"/>
            </w:tcBorders>
            <w:shd w:fill="1D3461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7 — Bandeau bas de page</w:t>
            </w:r>
          </w:p>
        </w:tc>
      </w:tr>
    </w:tbl>
    <w:p>
      <w:pPr>
        <w:spacing w:after="0" w:before="6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Titre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Votre situation n'est pas listée ?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p>
      <w:pPr>
        <w:spacing w:after="0" w:before="4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8700"/>
        <w:gridCol w:w="6218"/>
      </w:tblGrid>
      <w:tr>
        <w:tc>
          <w:tcPr>
            <w:tcW w:type="dxa" w:w="22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461"/>
                <w:sz w:val="14"/>
                <w:szCs w:val="14"/>
              </w:rPr>
              <w:t xml:space="preserve">Texte</w:t>
            </w:r>
          </w:p>
        </w:tc>
        <w:tc>
          <w:tcPr>
            <w:tcW w:type="dxa" w:w="8700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Contactez-nous pour évaluer si votre situation médicale peut bénéficier d'une prise en charge en hospitalisation à domicile.</w:t>
            </w:r>
          </w:p>
        </w:tc>
        <w:tc>
          <w:tcPr>
            <w:tcW w:type="dxa" w:w="6218"/>
            <w:tcBorders>
              <w:top w:val="single" w:color="D0DCEF" w:sz="4"/>
              <w:left w:val="single" w:color="D0DCEF" w:sz="4"/>
              <w:bottom w:val="single" w:color="D0DCEF" w:sz="4"/>
              <w:right w:val="single" w:color="D0DCEF" w:sz="4"/>
            </w:tcBorders>
            <w:shd w:fill="FFF9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F0C040"/>
                <w:sz w:val="18"/>
                <w:szCs w:val="18"/>
              </w:rPr>
              <w:t xml:space="preserve">✏ </w:t>
            </w: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Votre correction ici…</w:t>
            </w:r>
          </w:p>
        </w:tc>
      </w:tr>
    </w:tbl>
    <w:sectPr>
      <w:headerReference w:type="default" r:id="rId7"/>
      <w:footerReference w:type="default" r:id="rId8"/>
      <w:pgSz w:w="16838" w:h="11906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F" w:sz="4"/>
      </w:pBdr>
      <w:spacing w:before="80"/>
      <w:jc w:val="center"/>
    </w:pPr>
    <w:r>
      <w:rPr>
        <w:rFonts w:ascii="Arial" w:cs="Arial" w:eastAsia="Arial" w:hAnsi="Arial"/>
        <w:color w:val="5B6E8C"/>
        <w:sz w:val="16"/>
        <w:szCs w:val="16"/>
      </w:rPr>
      <w:t xml:space="preserve">HADRUN · hadrun.re  —  Relecture Pathologies  |  Page </w:t>
    </w:r>
    <w:r>
      <w:rPr>
        <w:rFonts w:ascii="Arial" w:cs="Arial" w:eastAsia="Arial" w:hAnsi="Arial"/>
        <w:color w:val="5B6E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CEF" w:sz="4"/>
      </w:pBdr>
      <w:spacing w:after="80"/>
    </w:pPr>
    <w:r>
      <w:rPr>
        <w:rFonts w:ascii="Arial" w:cs="Arial" w:eastAsia="Arial" w:hAnsi="Arial"/>
        <w:b/>
        <w:bCs/>
        <w:color w:val="1D3461"/>
        <w:sz w:val="18"/>
        <w:szCs w:val="18"/>
      </w:rPr>
      <w:t xml:space="preserve">HADRUN — </w:t>
    </w:r>
    <w:r>
      <w:rPr>
        <w:rFonts w:ascii="Arial" w:cs="Arial" w:eastAsia="Arial" w:hAnsi="Arial"/>
        <w:color w:val="5B6E8C"/>
        <w:sz w:val="18"/>
        <w:szCs w:val="18"/>
      </w:rPr>
      <w:t xml:space="preserve">Document de relecture — Page Pathologies</w:t>
    </w:r>
    <w:r>
      <w:rPr>
        <w:rFonts w:ascii="Arial" w:cs="Arial" w:eastAsia="Arial" w:hAnsi="Arial"/>
        <w:color w:val="F0C040"/>
        <w:sz w:val="16"/>
        <w:szCs w:val="16"/>
      </w:rPr>
      <w:t xml:space="preserve">   |   Colonne jaune = zone de correction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D34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34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2026-05-21T06:45:32.910Z</dcterms:created>
  <dcterms:modified xsi:type="dcterms:W3CDTF">2026-05-21T06:45:32.911Z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