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/>
      </w:pPr>
    </w:p>
    <w:p>
      <w:pPr>
        <w:spacing w:after="240"/>
      </w:pPr>
      <w:r>
        <w:rPr>
          <w:rFonts w:ascii="Segoe UI" w:hAnsi="Segoe UI"/>
          <w:b/>
          <w:color w:val="2B6CB0"/>
          <w:sz w:val="20"/>
        </w:rPr>
        <w:t>YUVAINTERN CYBER SECURITY ANALYST INTERNSHIP PROGRAM</w:t>
      </w:r>
    </w:p>
    <w:p>
      <w:pPr>
        <w:spacing w:before="0" w:after="160" w:line="276" w:lineRule="auto"/>
      </w:pPr>
      <w:r>
        <w:rPr>
          <w:rFonts w:ascii="Segoe UI" w:hAnsi="Segoe UI"/>
          <w:b/>
          <w:color w:val="1B365D"/>
          <w:sz w:val="48"/>
        </w:rPr>
        <w:t>Enterprise Security Awareness Campaign Plan</w:t>
      </w:r>
    </w:p>
    <w:p>
      <w:pPr>
        <w:spacing w:before="0" w:after="720"/>
      </w:pPr>
      <w:r>
        <w:rPr>
          <w:rFonts w:ascii="Segoe UI" w:hAnsi="Segoe UI"/>
          <w:color w:val="4A5568"/>
          <w:sz w:val="26"/>
        </w:rPr>
        <w:t>Week 4 – 12-Week Human Risk Management Framework &amp; Culture Change Strategy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B365D"/>
            <w:tcMar>
              <w:top w:w="20" w:type="dxa"/>
              <w:bottom w:w="20" w:type="dxa"/>
              <w:left w:w="0" w:type="dxa"/>
              <w:right w:w="0" w:type="dxa"/>
            </w:tcMar>
          </w:tcPr>
          <w:p>
            <w:pPr>
              <w:spacing w:before="0" w:after="0"/>
            </w:pPr>
          </w:p>
        </w:tc>
      </w:tr>
    </w:tbl>
    <w:p>
      <w:pPr>
        <w:spacing w:before="8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6768"/>
      </w:tblGrid>
      <w:tr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Segoe UI" w:hAnsi="Segoe UI"/>
                <w:b/>
                <w:color w:val="1B365D"/>
                <w:sz w:val="21"/>
              </w:rPr>
              <w:t>Intern Name: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Segoe UI" w:hAnsi="Segoe UI"/>
                <w:color w:val="2D3748"/>
                <w:sz w:val="21"/>
              </w:rPr>
              <w:t>Parameshwaran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Segoe UI" w:hAnsi="Segoe UI"/>
                <w:b/>
                <w:color w:val="1B365D"/>
                <w:sz w:val="21"/>
              </w:rPr>
              <w:t>Role / Track: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Segoe UI" w:hAnsi="Segoe UI"/>
                <w:color w:val="2D3748"/>
                <w:sz w:val="21"/>
              </w:rPr>
              <w:t>Cyber Security Analyst – Internship Week 4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Segoe UI" w:hAnsi="Segoe UI"/>
                <w:b/>
                <w:color w:val="1B365D"/>
                <w:sz w:val="21"/>
              </w:rPr>
              <w:t>Target Profile: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Segoe UI" w:hAnsi="Segoe UI"/>
                <w:color w:val="2D3748"/>
                <w:sz w:val="21"/>
              </w:rPr>
              <w:t>Apex Global Technologies (Hypothetical Enterprise Profile)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Segoe UI" w:hAnsi="Segoe UI"/>
                <w:b/>
                <w:color w:val="1B365D"/>
                <w:sz w:val="21"/>
              </w:rPr>
              <w:t>Framework Alignment: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Segoe UI" w:hAnsi="Segoe UI"/>
                <w:color w:val="2D3748"/>
                <w:sz w:val="21"/>
              </w:rPr>
              <w:t>NIST SP 800-50, NIST SP 800-53 AT Controls, CISA Secure Our World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Segoe UI" w:hAnsi="Segoe UI"/>
                <w:b/>
                <w:color w:val="1B365D"/>
                <w:sz w:val="21"/>
              </w:rPr>
              <w:t>Submission Date: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Segoe UI" w:hAnsi="Segoe UI"/>
                <w:color w:val="2D3748"/>
                <w:sz w:val="21"/>
              </w:rPr>
              <w:t>August 2026</w:t>
            </w:r>
          </w:p>
        </w:tc>
      </w:tr>
    </w:tbl>
    <w:p>
      <w:r>
        <w:br w:type="page"/>
      </w:r>
    </w:p>
    <w:p>
      <w:pPr>
        <w:keepNext/>
        <w:spacing w:before="360" w:after="120"/>
      </w:pPr>
      <w:r>
        <w:rPr>
          <w:rFonts w:ascii="Segoe UI" w:hAnsi="Segoe UI"/>
          <w:b/>
          <w:color w:val="1B365D"/>
          <w:sz w:val="30"/>
        </w:rPr>
        <w:t>1. Executive Summary</w:t>
      </w:r>
    </w:p>
    <w:p>
      <w:pPr>
        <w:spacing w:before="60" w:after="120" w:line="276" w:lineRule="auto"/>
      </w:pPr>
      <w:r>
        <w:rPr>
          <w:rFonts w:ascii="Segoe UI" w:hAnsi="Segoe UI"/>
          <w:color w:val="2D3748"/>
          <w:sz w:val="21"/>
        </w:rPr>
        <w:t xml:space="preserve">While technical security controls (firewalls, EDR, SIEM) provide critical defense-in-depth, the human element remains a primary attack vector for modern cyber adversaries. Industry research indicates that over </w:t>
      </w:r>
      <w:r>
        <w:rPr>
          <w:rFonts w:ascii="Segoe UI" w:hAnsi="Segoe UI"/>
          <w:b/>
          <w:color w:val="2D3748"/>
          <w:sz w:val="21"/>
        </w:rPr>
        <w:t>80% of enterprise security breaches involve human interaction</w:t>
      </w:r>
      <w:r>
        <w:rPr>
          <w:rFonts w:ascii="Segoe UI" w:hAnsi="Segoe UI"/>
          <w:color w:val="2D3748"/>
          <w:sz w:val="21"/>
        </w:rPr>
        <w:t>, including phishing lures, stolen credentials, social engineering, and accidental data exposure.</w:t>
      </w:r>
    </w:p>
    <w:p>
      <w:pPr>
        <w:spacing w:before="60" w:after="120" w:line="276" w:lineRule="auto"/>
      </w:pPr>
      <w:r>
        <w:rPr>
          <w:rFonts w:ascii="Segoe UI" w:hAnsi="Segoe UI"/>
          <w:color w:val="2D3748"/>
          <w:sz w:val="21"/>
        </w:rPr>
        <w:t xml:space="preserve">This document presents a comprehensive </w:t>
      </w:r>
      <w:r>
        <w:rPr>
          <w:rFonts w:ascii="Segoe UI" w:hAnsi="Segoe UI"/>
          <w:b/>
          <w:color w:val="2D3748"/>
          <w:sz w:val="21"/>
        </w:rPr>
        <w:t>12-Week Security Awareness Campaign Plan</w:t>
      </w:r>
      <w:r>
        <w:rPr>
          <w:rFonts w:ascii="Segoe UI" w:hAnsi="Segoe UI"/>
          <w:color w:val="2D3748"/>
          <w:sz w:val="21"/>
        </w:rPr>
        <w:t xml:space="preserve"> for a hypothetical multinational enterprise, </w:t>
      </w:r>
      <w:r>
        <w:rPr>
          <w:rFonts w:ascii="Segoe UI" w:hAnsi="Segoe UI"/>
          <w:b/>
          <w:color w:val="2D3748"/>
          <w:sz w:val="21"/>
        </w:rPr>
        <w:t>Apex Global Technologies</w:t>
      </w:r>
      <w:r>
        <w:rPr>
          <w:rFonts w:ascii="Segoe UI" w:hAnsi="Segoe UI"/>
          <w:color w:val="2D3748"/>
          <w:sz w:val="21"/>
        </w:rPr>
        <w:t xml:space="preserve">. Designed to transition the organization from compliance-driven training to a resilient cybersecurity culture, the campaign aligns with the </w:t>
      </w:r>
      <w:r>
        <w:rPr>
          <w:rFonts w:ascii="Segoe UI" w:hAnsi="Segoe UI"/>
          <w:b/>
          <w:color w:val="2D3748"/>
          <w:sz w:val="21"/>
        </w:rPr>
        <w:t>NIST SP 800-50</w:t>
      </w:r>
      <w:r>
        <w:rPr>
          <w:rFonts w:ascii="Segoe UI" w:hAnsi="Segoe UI"/>
          <w:color w:val="2D3748"/>
          <w:sz w:val="21"/>
        </w:rPr>
        <w:t xml:space="preserve"> framework, </w:t>
      </w:r>
      <w:r>
        <w:rPr>
          <w:rFonts w:ascii="Segoe UI" w:hAnsi="Segoe UI"/>
          <w:b/>
          <w:color w:val="2D3748"/>
          <w:sz w:val="21"/>
        </w:rPr>
        <w:t>NIST SP 800-53 Rev. 5 (AT-1 through AT-4)</w:t>
      </w:r>
      <w:r>
        <w:rPr>
          <w:rFonts w:ascii="Segoe UI" w:hAnsi="Segoe UI"/>
          <w:color w:val="2D3748"/>
          <w:sz w:val="21"/>
        </w:rPr>
        <w:t xml:space="preserve">, </w:t>
      </w:r>
      <w:r>
        <w:rPr>
          <w:rFonts w:ascii="Segoe UI" w:hAnsi="Segoe UI"/>
          <w:b/>
          <w:color w:val="2D3748"/>
          <w:sz w:val="21"/>
        </w:rPr>
        <w:t>CISA's "Secure Our World" Campaign Pillars</w:t>
      </w:r>
      <w:r>
        <w:rPr>
          <w:rFonts w:ascii="Segoe UI" w:hAnsi="Segoe UI"/>
          <w:color w:val="2D3748"/>
          <w:sz w:val="21"/>
        </w:rPr>
        <w:t xml:space="preserve">, and the </w:t>
      </w:r>
      <w:r>
        <w:rPr>
          <w:rFonts w:ascii="Segoe UI" w:hAnsi="Segoe UI"/>
          <w:b/>
          <w:color w:val="2D3748"/>
          <w:sz w:val="21"/>
        </w:rPr>
        <w:t>SANS Security Awareness Maturity Model</w:t>
      </w:r>
      <w:r>
        <w:rPr>
          <w:rFonts w:ascii="Segoe UI" w:hAnsi="Segoe UI"/>
          <w:color w:val="2D3748"/>
          <w:sz w:val="21"/>
        </w:rPr>
        <w:t>.</w:t>
      </w:r>
    </w:p>
    <w:p>
      <w:pPr>
        <w:spacing w:before="60" w:after="120" w:line="276" w:lineRule="auto"/>
      </w:pPr>
      <w:r>
        <w:rPr>
          <w:rFonts w:ascii="Segoe UI" w:hAnsi="Segoe UI"/>
          <w:color w:val="2D3748"/>
          <w:sz w:val="21"/>
        </w:rPr>
        <w:t>The plan delivers structured learning modules, multi-channel communication strategies, creative gamification activities, an interactive 12-week execution schedule, and quantitative Key Performance Indicators (KPIs) to measure behavioral change and risk reduction.</w:t>
      </w:r>
    </w:p>
    <w:p>
      <w:pPr>
        <w:spacing w:before="160" w:after="240"/>
      </w:pPr>
      <w:r>
        <w:rPr>
          <w:rFonts w:ascii="Segoe UI" w:hAnsi="Segoe UI"/>
          <w:color w:val="E2E8F0"/>
          <w:sz w:val="16"/>
        </w:rPr>
        <w:t>_________________________________________________________________________________</w:t>
      </w:r>
    </w:p>
    <w:p>
      <w:pPr>
        <w:keepNext/>
        <w:spacing w:before="360" w:after="120"/>
      </w:pPr>
      <w:r>
        <w:rPr>
          <w:rFonts w:ascii="Segoe UI" w:hAnsi="Segoe UI"/>
          <w:b/>
          <w:color w:val="1B365D"/>
          <w:sz w:val="30"/>
        </w:rPr>
        <w:t>2. Hypothetical Organization Profile</w:t>
      </w:r>
    </w:p>
    <w:p>
      <w:pPr>
        <w:keepNext/>
        <w:spacing w:before="280" w:after="80"/>
      </w:pPr>
      <w:r>
        <w:rPr>
          <w:rFonts w:ascii="Segoe UI" w:hAnsi="Segoe UI"/>
          <w:b/>
          <w:color w:val="2B6CB0"/>
          <w:sz w:val="25"/>
        </w:rPr>
        <w:t>2.1 Organization Overview</w:t>
      </w:r>
    </w:p>
    <w:p>
      <w:pPr>
        <w:spacing w:before="60" w:after="120" w:line="276" w:lineRule="auto"/>
      </w:pPr>
      <w:r>
        <w:rPr>
          <w:rFonts w:ascii="Segoe UI" w:hAnsi="Segoe UI"/>
          <w:b/>
          <w:color w:val="2D3748"/>
          <w:sz w:val="21"/>
        </w:rPr>
        <w:t>Apex Global Technologies</w:t>
      </w:r>
      <w:r>
        <w:rPr>
          <w:rFonts w:ascii="Segoe UI" w:hAnsi="Segoe UI"/>
          <w:color w:val="2D3748"/>
          <w:sz w:val="21"/>
        </w:rPr>
        <w:t xml:space="preserve"> is a multinational technology enterprise delivering cloud analytics, software development, and enterprise SaaS solutions.</w:t>
      </w:r>
    </w:p>
    <w:p>
      <w:pPr>
        <w:spacing w:before="40" w:after="60"/>
        <w:ind w:left="360"/>
      </w:pPr>
      <w:r>
        <w:rPr>
          <w:rFonts w:ascii="Segoe UI" w:hAnsi="Segoe UI"/>
          <w:color w:val="1B365D"/>
          <w:sz w:val="21"/>
        </w:rPr>
        <w:t xml:space="preserve">•  </w:t>
      </w:r>
      <w:r>
        <w:rPr>
          <w:rFonts w:ascii="Segoe UI" w:hAnsi="Segoe UI"/>
          <w:b/>
          <w:color w:val="2D3748"/>
          <w:sz w:val="21"/>
        </w:rPr>
        <w:t>Workforce Size:</w:t>
      </w:r>
      <w:r>
        <w:rPr>
          <w:rFonts w:ascii="Segoe UI" w:hAnsi="Segoe UI"/>
          <w:color w:val="2D3748"/>
          <w:sz w:val="21"/>
        </w:rPr>
        <w:t xml:space="preserve"> Approximately 1,200 employees operating across corporate headquarters, regional offices, and remote/hybrid work environments.</w:t>
      </w:r>
    </w:p>
    <w:p>
      <w:pPr>
        <w:spacing w:before="40" w:after="60"/>
        <w:ind w:left="360"/>
      </w:pPr>
      <w:r>
        <w:rPr>
          <w:rFonts w:ascii="Segoe UI" w:hAnsi="Segoe UI"/>
          <w:color w:val="1B365D"/>
          <w:sz w:val="21"/>
        </w:rPr>
        <w:t xml:space="preserve">•  </w:t>
      </w:r>
      <w:r>
        <w:rPr>
          <w:rFonts w:ascii="Segoe UI" w:hAnsi="Segoe UI"/>
          <w:b/>
          <w:color w:val="2D3748"/>
          <w:sz w:val="21"/>
        </w:rPr>
        <w:t>Workforce Segmentation:</w:t>
      </w:r>
      <w:r>
        <w:rPr>
          <w:rFonts w:ascii="Segoe UI" w:hAnsi="Segoe UI"/>
          <w:color w:val="2D3748"/>
          <w:sz w:val="21"/>
        </w:rPr>
        <w:t xml:space="preserve"> Executive Leadership, Software Developers/Engineers, Finance/HR Personnel, Sales/Marketing Staff, and General Administrative Workforce.</w:t>
      </w:r>
    </w:p>
    <w:p>
      <w:pPr>
        <w:spacing w:before="40" w:after="60"/>
        <w:ind w:left="360"/>
      </w:pPr>
      <w:r>
        <w:rPr>
          <w:rFonts w:ascii="Segoe UI" w:hAnsi="Segoe UI"/>
          <w:color w:val="1B365D"/>
          <w:sz w:val="21"/>
        </w:rPr>
        <w:t xml:space="preserve">•  </w:t>
      </w:r>
      <w:r>
        <w:rPr>
          <w:rFonts w:ascii="Segoe UI" w:hAnsi="Segoe UI"/>
          <w:b/>
          <w:color w:val="2D3748"/>
          <w:sz w:val="21"/>
        </w:rPr>
        <w:t>Infrastructure:</w:t>
      </w:r>
      <w:r>
        <w:rPr>
          <w:rFonts w:ascii="Segoe UI" w:hAnsi="Segoe UI"/>
          <w:color w:val="2D3748"/>
          <w:sz w:val="21"/>
        </w:rPr>
        <w:t xml:space="preserve"> Hybrid enterprise cloud (AWS, Azure, Microsoft 365) with remote workforce endpoint access.</w:t>
      </w:r>
    </w:p>
    <w:p>
      <w:pPr>
        <w:keepNext/>
        <w:spacing w:before="280" w:after="80"/>
      </w:pPr>
      <w:r>
        <w:rPr>
          <w:rFonts w:ascii="Segoe UI" w:hAnsi="Segoe UI"/>
          <w:b/>
          <w:color w:val="2B6CB0"/>
          <w:sz w:val="25"/>
        </w:rPr>
        <w:t>2.2 Current Security Awareness Baseline</w:t>
      </w:r>
    </w:p>
    <w:p>
      <w:pPr>
        <w:spacing w:before="60" w:after="120" w:line="276" w:lineRule="auto"/>
      </w:pPr>
      <w:r>
        <w:rPr>
          <w:rFonts w:ascii="Segoe UI" w:hAnsi="Segoe UI"/>
          <w:color w:val="2D3748"/>
          <w:sz w:val="21"/>
        </w:rPr>
        <w:t xml:space="preserve">Prior awareness efforts relied exclusively on an annual 30-minute slide deck compliance presentation during onboarding. Consequently, employee phishing click-through rates averaged </w:t>
      </w:r>
      <w:r>
        <w:rPr>
          <w:rFonts w:ascii="Segoe UI" w:hAnsi="Segoe UI"/>
          <w:b/>
          <w:color w:val="2D3748"/>
          <w:sz w:val="21"/>
        </w:rPr>
        <w:t>18%</w:t>
      </w:r>
      <w:r>
        <w:rPr>
          <w:rFonts w:ascii="Segoe UI" w:hAnsi="Segoe UI"/>
          <w:color w:val="2D3748"/>
          <w:sz w:val="21"/>
        </w:rPr>
        <w:t>, credential hygiene was unmonitored, and incident reporting delays averaged over 4 hours.</w:t>
      </w:r>
    </w:p>
    <w:p>
      <w:pPr>
        <w:spacing w:before="160" w:after="240"/>
      </w:pPr>
      <w:r>
        <w:rPr>
          <w:rFonts w:ascii="Segoe UI" w:hAnsi="Segoe UI"/>
          <w:color w:val="E2E8F0"/>
          <w:sz w:val="16"/>
        </w:rPr>
        <w:t>_________________________________________________________________________________</w:t>
      </w:r>
    </w:p>
    <w:p>
      <w:pPr>
        <w:keepNext/>
        <w:spacing w:before="360" w:after="120"/>
      </w:pPr>
      <w:r>
        <w:rPr>
          <w:rFonts w:ascii="Segoe UI" w:hAnsi="Segoe UI"/>
          <w:b/>
          <w:color w:val="1B365D"/>
          <w:sz w:val="30"/>
        </w:rPr>
        <w:t>3. Campaign Objectives</w:t>
      </w:r>
    </w:p>
    <w:p>
      <w:pPr>
        <w:spacing w:before="60" w:after="120" w:line="276" w:lineRule="auto"/>
      </w:pPr>
      <w:r>
        <w:rPr>
          <w:rFonts w:ascii="Segoe UI" w:hAnsi="Segoe UI"/>
          <w:color w:val="2D3748"/>
          <w:sz w:val="21"/>
        </w:rPr>
        <w:t>The campaign targets five strategic behavioral objectives: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0"/>
              <w:left w:val="single" w:sz="12" w:space="0" w:color="1B365D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A202C"/>
                <w:sz w:val="18"/>
              </w:rPr>
              <w:t>+------------------------------------------------------------------------------------+</w:t>
              <w:br/>
              <w:t>|                             CAMPAIGN STRATEGIC OBJECTIVES                          |</w:t>
              <w:br/>
              <w:t>+------------------------------------------------------------------------------------+</w:t>
              <w:br/>
              <w:t>| 1. Reduce Phishing Susceptibility: Lower click-through rate from 18% to &lt; 5%.       |</w:t>
              <w:br/>
              <w:t>| 2. Accelerate Threat Reporting: Increase 1-click phishing button usage by 150%.    |</w:t>
              <w:br/>
              <w:t>| 3. Eliminate Credential Risks: Achieve 100% adoption of FIDO2 MFA &amp; Password Mgrs. |</w:t>
              <w:br/>
              <w:t>| 4. Enhance Data Protection: Eliminate accidental PII/PHI public cloud exposure.    |</w:t>
              <w:br/>
              <w:t>| 5. Foster Security Culture: Elevate SANS Awareness Maturity from Level 2 to Level 4.|</w:t>
              <w:br/>
              <w:t>+------------------------------------------------------------------------------------+</w:t>
            </w:r>
          </w:p>
        </w:tc>
      </w:tr>
    </w:tbl>
    <w:p>
      <w:pPr>
        <w:spacing w:after="120"/>
      </w:pPr>
    </w:p>
    <w:p>
      <w:pPr>
        <w:spacing w:before="160" w:after="240"/>
      </w:pPr>
      <w:r>
        <w:rPr>
          <w:rFonts w:ascii="Segoe UI" w:hAnsi="Segoe UI"/>
          <w:color w:val="E2E8F0"/>
          <w:sz w:val="16"/>
        </w:rPr>
        <w:t>_________________________________________________________________________________</w:t>
      </w:r>
    </w:p>
    <w:p>
      <w:pPr>
        <w:keepNext/>
        <w:spacing w:before="360" w:after="120"/>
      </w:pPr>
      <w:r>
        <w:rPr>
          <w:rFonts w:ascii="Segoe UI" w:hAnsi="Segoe UI"/>
          <w:b/>
          <w:color w:val="1B365D"/>
          <w:sz w:val="30"/>
        </w:rPr>
        <w:t>4. Target Audience and Employee Groups</w:t>
      </w:r>
    </w:p>
    <w:p>
      <w:pPr>
        <w:spacing w:before="60" w:after="120" w:line="276" w:lineRule="auto"/>
      </w:pPr>
      <w:r>
        <w:rPr>
          <w:rFonts w:ascii="Segoe UI" w:hAnsi="Segoe UI"/>
          <w:color w:val="2D3748"/>
          <w:sz w:val="21"/>
        </w:rPr>
        <w:t>To maximize engagement, communications and training modules are segmented by employee risk profile: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non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20"/>
              </w:rPr>
              <w:t>Audience Segment</w:t>
            </w:r>
          </w:p>
        </w:tc>
        <w:tc>
          <w:tcPr>
            <w:tcW w:type="dxa" w:w="2340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20"/>
              </w:rPr>
              <w:t>Risk Profile &amp; Characteristics</w:t>
            </w:r>
          </w:p>
        </w:tc>
        <w:tc>
          <w:tcPr>
            <w:tcW w:type="dxa" w:w="2340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20"/>
              </w:rPr>
              <w:t>Primary Threat Exposure</w:t>
            </w:r>
          </w:p>
        </w:tc>
        <w:tc>
          <w:tcPr>
            <w:tcW w:type="dxa" w:w="2340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20"/>
              </w:rPr>
              <w:t>Tailored Focus &amp; Channel</w:t>
            </w:r>
          </w:p>
        </w:tc>
      </w:tr>
      <w:tr>
        <w:tc>
          <w:tcPr>
            <w:tcW w:type="dxa" w:w="234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2D3748"/>
                <w:sz w:val="19"/>
              </w:rPr>
              <w:t>Executive Leadership</w:t>
            </w:r>
          </w:p>
        </w:tc>
        <w:tc>
          <w:tcPr>
            <w:tcW w:type="dxa" w:w="234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D3748"/>
                <w:sz w:val="19"/>
              </w:rPr>
              <w:t>High-value targets with broad system access and approval authority.</w:t>
            </w:r>
          </w:p>
        </w:tc>
        <w:tc>
          <w:tcPr>
            <w:tcW w:type="dxa" w:w="234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D3748"/>
                <w:sz w:val="19"/>
              </w:rPr>
              <w:t>Whaling, executive impersonation, wire fraud.</w:t>
            </w:r>
          </w:p>
        </w:tc>
        <w:tc>
          <w:tcPr>
            <w:tcW w:type="dxa" w:w="234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D3748"/>
                <w:sz w:val="19"/>
              </w:rPr>
              <w:t>15-Minute executive briefings, 1-on-1 coaching, concierge support.</w:t>
            </w:r>
          </w:p>
        </w:tc>
      </w:tr>
      <w:tr>
        <w:tc>
          <w:tcPr>
            <w:tcW w:type="dxa" w:w="2340"/>
            <w:shd w:fill="F7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2D3748"/>
                <w:sz w:val="19"/>
              </w:rPr>
              <w:t>Finance &amp; HR Personnel</w:t>
            </w:r>
          </w:p>
        </w:tc>
        <w:tc>
          <w:tcPr>
            <w:tcW w:type="dxa" w:w="2340"/>
            <w:shd w:fill="F7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D3748"/>
                <w:sz w:val="19"/>
              </w:rPr>
              <w:t>Handle sensitive financial transactions, employee PII, and bank accounts.</w:t>
            </w:r>
          </w:p>
        </w:tc>
        <w:tc>
          <w:tcPr>
            <w:tcW w:type="dxa" w:w="2340"/>
            <w:shd w:fill="F7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D3748"/>
                <w:sz w:val="19"/>
              </w:rPr>
              <w:t>Business Email Compromise (BEC), spear-phishing, invoice fraud.</w:t>
            </w:r>
          </w:p>
        </w:tc>
        <w:tc>
          <w:tcPr>
            <w:tcW w:type="dxa" w:w="2340"/>
            <w:shd w:fill="F7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D3748"/>
                <w:sz w:val="19"/>
              </w:rPr>
              <w:t>Specialized BEC workshops, smishing/vishing role-playing drills.</w:t>
            </w:r>
          </w:p>
        </w:tc>
      </w:tr>
      <w:tr>
        <w:tc>
          <w:tcPr>
            <w:tcW w:type="dxa" w:w="234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2D3748"/>
                <w:sz w:val="19"/>
              </w:rPr>
              <w:t>Software Developers / IT</w:t>
            </w:r>
          </w:p>
        </w:tc>
        <w:tc>
          <w:tcPr>
            <w:tcW w:type="dxa" w:w="234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D3748"/>
                <w:sz w:val="19"/>
              </w:rPr>
              <w:t>Access to source code, cloud infrastructure, and CI/CD pipelines.</w:t>
            </w:r>
          </w:p>
        </w:tc>
        <w:tc>
          <w:tcPr>
            <w:tcW w:type="dxa" w:w="234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D3748"/>
                <w:sz w:val="19"/>
              </w:rPr>
              <w:t>Secret leakage, supply-chain attacks, GitHub repo exposure.</w:t>
            </w:r>
          </w:p>
        </w:tc>
        <w:tc>
          <w:tcPr>
            <w:tcW w:type="dxa" w:w="234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D3748"/>
                <w:sz w:val="19"/>
              </w:rPr>
              <w:t>Secure coding modules, secret scanning drills, Slack/Teams tech posts.</w:t>
            </w:r>
          </w:p>
        </w:tc>
      </w:tr>
      <w:tr>
        <w:tc>
          <w:tcPr>
            <w:tcW w:type="dxa" w:w="2340"/>
            <w:shd w:fill="F7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2D3748"/>
                <w:sz w:val="19"/>
              </w:rPr>
              <w:t>Sales &amp; Remote Staff</w:t>
            </w:r>
          </w:p>
        </w:tc>
        <w:tc>
          <w:tcPr>
            <w:tcW w:type="dxa" w:w="2340"/>
            <w:shd w:fill="F7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D3748"/>
                <w:sz w:val="19"/>
              </w:rPr>
              <w:t>High volume of external communications; mobile/home Wi-Fi networks.</w:t>
            </w:r>
          </w:p>
        </w:tc>
        <w:tc>
          <w:tcPr>
            <w:tcW w:type="dxa" w:w="2340"/>
            <w:shd w:fill="F7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D3748"/>
                <w:sz w:val="19"/>
              </w:rPr>
              <w:t>Malicious email attachments, untrusted Wi-Fi, lost devices.</w:t>
            </w:r>
          </w:p>
        </w:tc>
        <w:tc>
          <w:tcPr>
            <w:tcW w:type="dxa" w:w="2340"/>
            <w:shd w:fill="F7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D3748"/>
                <w:sz w:val="19"/>
              </w:rPr>
              <w:t>Mobile-friendly micro-videos, home network guides, digital posters.</w:t>
            </w:r>
          </w:p>
        </w:tc>
      </w:tr>
      <w:tr>
        <w:tc>
          <w:tcPr>
            <w:tcW w:type="dxa" w:w="234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2D3748"/>
                <w:sz w:val="19"/>
              </w:rPr>
              <w:t>General Workforce</w:t>
            </w:r>
          </w:p>
        </w:tc>
        <w:tc>
          <w:tcPr>
            <w:tcW w:type="dxa" w:w="234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D3748"/>
                <w:sz w:val="19"/>
              </w:rPr>
              <w:t>Standard corporate workstation and application access.</w:t>
            </w:r>
          </w:p>
        </w:tc>
        <w:tc>
          <w:tcPr>
            <w:tcW w:type="dxa" w:w="234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D3748"/>
                <w:sz w:val="19"/>
              </w:rPr>
              <w:t>Generic phishing, weak passwords, accidental data loss.</w:t>
            </w:r>
          </w:p>
        </w:tc>
        <w:tc>
          <w:tcPr>
            <w:tcW w:type="dxa" w:w="234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D3748"/>
                <w:sz w:val="19"/>
              </w:rPr>
              <w:t>Gamified quizzes, intranet banners, monthly newsletter digests.</w:t>
            </w:r>
          </w:p>
        </w:tc>
      </w:tr>
    </w:tbl>
    <w:p>
      <w:pPr>
        <w:spacing w:before="0" w:after="160"/>
      </w:pPr>
    </w:p>
    <w:p>
      <w:pPr>
        <w:spacing w:before="160" w:after="240"/>
      </w:pPr>
      <w:r>
        <w:rPr>
          <w:rFonts w:ascii="Segoe UI" w:hAnsi="Segoe UI"/>
          <w:color w:val="E2E8F0"/>
          <w:sz w:val="16"/>
        </w:rPr>
        <w:t>_________________________________________________________________________________</w:t>
      </w:r>
    </w:p>
    <w:p>
      <w:pPr>
        <w:keepNext/>
        <w:spacing w:before="360" w:after="120"/>
      </w:pPr>
      <w:r>
        <w:rPr>
          <w:rFonts w:ascii="Segoe UI" w:hAnsi="Segoe UI"/>
          <w:b/>
          <w:color w:val="1B365D"/>
          <w:sz w:val="30"/>
        </w:rPr>
        <w:t>5. Cybersecurity Awareness Risk Assessment</w:t>
      </w:r>
    </w:p>
    <w:p>
      <w:pPr>
        <w:spacing w:before="60" w:after="120" w:line="276" w:lineRule="auto"/>
      </w:pPr>
      <w:r>
        <w:rPr>
          <w:rFonts w:ascii="Segoe UI" w:hAnsi="Segoe UI"/>
          <w:color w:val="2D3748"/>
          <w:sz w:val="21"/>
        </w:rPr>
        <w:t>A human risk assessment identified four high-risk behavioral areas across the organization: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non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20"/>
              </w:rPr>
              <w:t>Human Risk Area</w:t>
            </w:r>
          </w:p>
        </w:tc>
        <w:tc>
          <w:tcPr>
            <w:tcW w:type="dxa" w:w="2340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20"/>
              </w:rPr>
              <w:t>Root Cause &amp; Current Deficiency</w:t>
            </w:r>
          </w:p>
        </w:tc>
        <w:tc>
          <w:tcPr>
            <w:tcW w:type="dxa" w:w="2340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20"/>
              </w:rPr>
              <w:t>Inherent Risk Rating</w:t>
            </w:r>
          </w:p>
        </w:tc>
        <w:tc>
          <w:tcPr>
            <w:tcW w:type="dxa" w:w="2340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20"/>
              </w:rPr>
              <w:t>Target Behavioral Change</w:t>
            </w:r>
          </w:p>
        </w:tc>
      </w:tr>
      <w:tr>
        <w:tc>
          <w:tcPr>
            <w:tcW w:type="dxa" w:w="234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2D3748"/>
                <w:sz w:val="19"/>
              </w:rPr>
              <w:t>Credential Reuse &amp; Weak Passwords</w:t>
            </w:r>
          </w:p>
        </w:tc>
        <w:tc>
          <w:tcPr>
            <w:tcW w:type="dxa" w:w="234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D3748"/>
                <w:sz w:val="19"/>
              </w:rPr>
              <w:t>Employees use simple, memorized passwords across corporate and personal accounts.</w:t>
            </w:r>
          </w:p>
        </w:tc>
        <w:tc>
          <w:tcPr>
            <w:tcW w:type="dxa" w:w="234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2D3748"/>
                <w:sz w:val="19"/>
              </w:rPr>
              <w:t>CRITICAL</w:t>
            </w:r>
          </w:p>
        </w:tc>
        <w:tc>
          <w:tcPr>
            <w:tcW w:type="dxa" w:w="234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D3748"/>
                <w:sz w:val="19"/>
              </w:rPr>
              <w:t>Transition to 15-character passphrases and enterprise password managers.</w:t>
            </w:r>
          </w:p>
        </w:tc>
      </w:tr>
      <w:tr>
        <w:tc>
          <w:tcPr>
            <w:tcW w:type="dxa" w:w="2340"/>
            <w:shd w:fill="F7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2D3748"/>
                <w:sz w:val="19"/>
              </w:rPr>
              <w:t>Phishing &amp; AiTM Link Susceptibility</w:t>
            </w:r>
          </w:p>
        </w:tc>
        <w:tc>
          <w:tcPr>
            <w:tcW w:type="dxa" w:w="2340"/>
            <w:shd w:fill="F7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D3748"/>
                <w:sz w:val="19"/>
              </w:rPr>
              <w:t>Difficulty distinguishing Adversary-in-the-Middle (AiTM) links and urgent BEC emails.</w:t>
            </w:r>
          </w:p>
        </w:tc>
        <w:tc>
          <w:tcPr>
            <w:tcW w:type="dxa" w:w="2340"/>
            <w:shd w:fill="F7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2D3748"/>
                <w:sz w:val="19"/>
              </w:rPr>
              <w:t>CRITICAL</w:t>
            </w:r>
          </w:p>
        </w:tc>
        <w:tc>
          <w:tcPr>
            <w:tcW w:type="dxa" w:w="2340"/>
            <w:shd w:fill="F7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D3748"/>
                <w:sz w:val="19"/>
              </w:rPr>
              <w:t>Verification of sender domain, scrutiny of sense-of-urgency, and reporting.</w:t>
            </w:r>
          </w:p>
        </w:tc>
      </w:tr>
      <w:tr>
        <w:tc>
          <w:tcPr>
            <w:tcW w:type="dxa" w:w="234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2D3748"/>
                <w:sz w:val="19"/>
              </w:rPr>
              <w:t>Delayed Incident Reporting</w:t>
            </w:r>
          </w:p>
        </w:tc>
        <w:tc>
          <w:tcPr>
            <w:tcW w:type="dxa" w:w="234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D3748"/>
                <w:sz w:val="19"/>
              </w:rPr>
              <w:t>Fear of reprimand or confusion regarding the proper reporting process.</w:t>
            </w:r>
          </w:p>
        </w:tc>
        <w:tc>
          <w:tcPr>
            <w:tcW w:type="dxa" w:w="234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2D3748"/>
                <w:sz w:val="19"/>
              </w:rPr>
              <w:t>HIGH</w:t>
            </w:r>
          </w:p>
        </w:tc>
        <w:tc>
          <w:tcPr>
            <w:tcW w:type="dxa" w:w="234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D3748"/>
                <w:sz w:val="19"/>
              </w:rPr>
              <w:t>"No-blame" security culture supported by a 1-click Outlook reporting button.</w:t>
            </w:r>
          </w:p>
        </w:tc>
      </w:tr>
      <w:tr>
        <w:tc>
          <w:tcPr>
            <w:tcW w:type="dxa" w:w="2340"/>
            <w:shd w:fill="F7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2D3748"/>
                <w:sz w:val="19"/>
              </w:rPr>
              <w:t>Unsecured Remote Environments</w:t>
            </w:r>
          </w:p>
        </w:tc>
        <w:tc>
          <w:tcPr>
            <w:tcW w:type="dxa" w:w="2340"/>
            <w:shd w:fill="F7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D3748"/>
                <w:sz w:val="19"/>
              </w:rPr>
              <w:t>Working over unencrypted public Wi-Fi without VPN; unlocked screens in public places.</w:t>
            </w:r>
          </w:p>
        </w:tc>
        <w:tc>
          <w:tcPr>
            <w:tcW w:type="dxa" w:w="2340"/>
            <w:shd w:fill="F7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2D3748"/>
                <w:sz w:val="19"/>
              </w:rPr>
              <w:t>HIGH</w:t>
            </w:r>
          </w:p>
        </w:tc>
        <w:tc>
          <w:tcPr>
            <w:tcW w:type="dxa" w:w="2340"/>
            <w:shd w:fill="F7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D3748"/>
                <w:sz w:val="19"/>
              </w:rPr>
              <w:t>Mandatory auto-lock screens (Win+L) and VPN auto-connect enforcement.</w:t>
            </w:r>
          </w:p>
        </w:tc>
      </w:tr>
    </w:tbl>
    <w:p>
      <w:pPr>
        <w:spacing w:before="0" w:after="160"/>
      </w:pPr>
    </w:p>
    <w:p>
      <w:pPr>
        <w:spacing w:before="160" w:after="240"/>
      </w:pPr>
      <w:r>
        <w:rPr>
          <w:rFonts w:ascii="Segoe UI" w:hAnsi="Segoe UI"/>
          <w:color w:val="E2E8F0"/>
          <w:sz w:val="16"/>
        </w:rPr>
        <w:t>_________________________________________________________________________________</w:t>
      </w:r>
    </w:p>
    <w:p>
      <w:pPr>
        <w:keepNext/>
        <w:spacing w:before="360" w:after="120"/>
      </w:pPr>
      <w:r>
        <w:rPr>
          <w:rFonts w:ascii="Segoe UI" w:hAnsi="Segoe UI"/>
          <w:b/>
          <w:color w:val="1B365D"/>
          <w:sz w:val="30"/>
        </w:rPr>
        <w:t>6. Key Awareness Topics</w:t>
      </w:r>
    </w:p>
    <w:p>
      <w:pPr>
        <w:spacing w:before="60" w:after="120" w:line="276" w:lineRule="auto"/>
      </w:pPr>
      <w:r>
        <w:rPr>
          <w:rFonts w:ascii="Segoe UI" w:hAnsi="Segoe UI"/>
          <w:color w:val="2D3748"/>
          <w:sz w:val="21"/>
        </w:rPr>
        <w:t xml:space="preserve">The campaign centers on eight core awareness topic modules aligned with </w:t>
      </w:r>
      <w:r>
        <w:rPr>
          <w:rFonts w:ascii="Segoe UI" w:hAnsi="Segoe UI"/>
          <w:b/>
          <w:color w:val="2D3748"/>
          <w:sz w:val="21"/>
        </w:rPr>
        <w:t>CISA "Secure Our World"</w:t>
      </w:r>
      <w:r>
        <w:rPr>
          <w:rFonts w:ascii="Segoe UI" w:hAnsi="Segoe UI"/>
          <w:color w:val="2D3748"/>
          <w:sz w:val="21"/>
        </w:rPr>
        <w:t xml:space="preserve"> pillars and </w:t>
      </w:r>
      <w:r>
        <w:rPr>
          <w:rFonts w:ascii="Segoe UI" w:hAnsi="Segoe UI"/>
          <w:b/>
          <w:color w:val="2D3748"/>
          <w:sz w:val="21"/>
        </w:rPr>
        <w:t>NIST SP 800-50</w:t>
      </w:r>
      <w:r>
        <w:rPr>
          <w:rFonts w:ascii="Segoe UI" w:hAnsi="Segoe UI"/>
          <w:color w:val="2D3748"/>
          <w:sz w:val="21"/>
        </w:rPr>
        <w:t>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0"/>
              <w:left w:val="single" w:sz="12" w:space="0" w:color="1B365D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A202C"/>
                <w:sz w:val="18"/>
              </w:rPr>
              <w:t>+------------------------------------------------------------------------------------+</w:t>
              <w:br/>
              <w:t>|                             8 CORE AWARENESS TOPIC MODULES                         |</w:t>
              <w:br/>
              <w:t>+------------------------------------------------------------------------------------+</w:t>
              <w:br/>
              <w:t>| 1. Password Security &amp; Password Managers  | 5. Data Protection &amp; Privacy (PII/PHI) |</w:t>
              <w:br/>
              <w:t>| 2. Phishing &amp; Social Engineering          | 6. Device, Endpoint &amp; Remote Work      |</w:t>
              <w:br/>
              <w:t>| 3. Safe Email &amp; Web Browsing Hygiene      | 7. Incident Reporting &amp; SOC Escalation |</w:t>
              <w:br/>
              <w:t>| 4. Malware &amp; Ransomware Evasion           | 8. Physical Security &amp; Clean Desk      |</w:t>
              <w:br/>
              <w:t>+------------------------------------------------------------------------------------+</w:t>
            </w:r>
          </w:p>
        </w:tc>
      </w:tr>
    </w:tbl>
    <w:p>
      <w:pPr>
        <w:spacing w:after="120"/>
      </w:pPr>
    </w:p>
    <w:p>
      <w:pPr>
        <w:spacing w:before="160" w:after="240"/>
      </w:pPr>
      <w:r>
        <w:rPr>
          <w:rFonts w:ascii="Segoe UI" w:hAnsi="Segoe UI"/>
          <w:color w:val="E2E8F0"/>
          <w:sz w:val="16"/>
        </w:rPr>
        <w:t>_________________________________________________________________________________</w:t>
      </w:r>
    </w:p>
    <w:p>
      <w:pPr>
        <w:keepNext/>
        <w:spacing w:before="360" w:after="120"/>
      </w:pPr>
      <w:r>
        <w:rPr>
          <w:rFonts w:ascii="Segoe UI" w:hAnsi="Segoe UI"/>
          <w:b/>
          <w:color w:val="1B365D"/>
          <w:sz w:val="30"/>
        </w:rPr>
        <w:t>7. Password Security and MFA</w:t>
      </w:r>
    </w:p>
    <w:p>
      <w:pPr>
        <w:keepNext/>
        <w:spacing w:before="280" w:after="80"/>
      </w:pPr>
      <w:r>
        <w:rPr>
          <w:rFonts w:ascii="Segoe UI" w:hAnsi="Segoe UI"/>
          <w:b/>
          <w:color w:val="2B6CB0"/>
          <w:sz w:val="25"/>
        </w:rPr>
        <w:t>Core Guidance (CISA &amp; NIST SP 800-63B):</w:t>
      </w:r>
    </w:p>
    <w:p>
      <w:pPr>
        <w:spacing w:before="40" w:after="60"/>
        <w:ind w:left="360"/>
      </w:pPr>
      <w:r>
        <w:rPr>
          <w:rFonts w:ascii="Segoe UI" w:hAnsi="Segoe UI"/>
          <w:color w:val="1B365D"/>
          <w:sz w:val="21"/>
        </w:rPr>
        <w:t xml:space="preserve">•  </w:t>
      </w:r>
      <w:r>
        <w:rPr>
          <w:rFonts w:ascii="Segoe UI" w:hAnsi="Segoe UI"/>
          <w:b/>
          <w:color w:val="2D3748"/>
          <w:sz w:val="21"/>
        </w:rPr>
        <w:t>Passphrases Over Passwords:</w:t>
      </w:r>
      <w:r>
        <w:rPr>
          <w:rFonts w:ascii="Segoe UI" w:hAnsi="Segoe UI"/>
          <w:color w:val="2D3748"/>
          <w:sz w:val="21"/>
        </w:rPr>
        <w:t xml:space="preserve"> Educate employees to use long, memorable passphrases (e.g., </w:t>
      </w:r>
      <w:r>
        <w:rPr>
          <w:rFonts w:ascii="Consolas" w:hAnsi="Consolas"/>
          <w:color w:val="C53030"/>
          <w:sz w:val="19"/>
        </w:rPr>
        <w:t>BlueSky!CoffeeMorning2026</w:t>
      </w:r>
      <w:r>
        <w:rPr>
          <w:rFonts w:ascii="Segoe UI" w:hAnsi="Segoe UI"/>
          <w:color w:val="2D3748"/>
          <w:sz w:val="21"/>
        </w:rPr>
        <w:t>) exceeding 15 characters rather than short, complex passwords that require frequent changes.</w:t>
      </w:r>
    </w:p>
    <w:p>
      <w:pPr>
        <w:spacing w:before="40" w:after="60"/>
        <w:ind w:left="360"/>
      </w:pPr>
      <w:r>
        <w:rPr>
          <w:rFonts w:ascii="Segoe UI" w:hAnsi="Segoe UI"/>
          <w:color w:val="1B365D"/>
          <w:sz w:val="21"/>
        </w:rPr>
        <w:t xml:space="preserve">•  </w:t>
      </w:r>
      <w:r>
        <w:rPr>
          <w:rFonts w:ascii="Segoe UI" w:hAnsi="Segoe UI"/>
          <w:b/>
          <w:color w:val="2D3748"/>
          <w:sz w:val="21"/>
        </w:rPr>
        <w:t>Enterprise Password Managers:</w:t>
      </w:r>
      <w:r>
        <w:rPr>
          <w:rFonts w:ascii="Segoe UI" w:hAnsi="Segoe UI"/>
          <w:color w:val="2D3748"/>
          <w:sz w:val="21"/>
        </w:rPr>
        <w:t xml:space="preserve"> Encourage the adoption of enterprise-managed password vaults to generate and auto-fill unique passwords for every application.</w:t>
      </w:r>
    </w:p>
    <w:p>
      <w:pPr>
        <w:spacing w:before="40" w:after="60"/>
        <w:ind w:left="360"/>
      </w:pPr>
      <w:r>
        <w:rPr>
          <w:rFonts w:ascii="Segoe UI" w:hAnsi="Segoe UI"/>
          <w:color w:val="1B365D"/>
          <w:sz w:val="21"/>
        </w:rPr>
        <w:t xml:space="preserve">•  </w:t>
      </w:r>
      <w:r>
        <w:rPr>
          <w:rFonts w:ascii="Segoe UI" w:hAnsi="Segoe UI"/>
          <w:b/>
          <w:color w:val="2D3748"/>
          <w:sz w:val="21"/>
        </w:rPr>
        <w:t>Phishing-Resistant MFA (FIDO2):</w:t>
      </w:r>
      <w:r>
        <w:rPr>
          <w:rFonts w:ascii="Segoe UI" w:hAnsi="Segoe UI"/>
          <w:color w:val="2D3748"/>
          <w:sz w:val="21"/>
        </w:rPr>
        <w:t xml:space="preserve"> Train employees on the importance of hardware-backed FIDO2 security keys and WebAuthn prompts, explaining why legacy SMS/push notifications are vulnerable to proxy interception.</w:t>
      </w:r>
    </w:p>
    <w:p>
      <w:pPr>
        <w:spacing w:before="160" w:after="240"/>
      </w:pPr>
      <w:r>
        <w:rPr>
          <w:rFonts w:ascii="Segoe UI" w:hAnsi="Segoe UI"/>
          <w:color w:val="E2E8F0"/>
          <w:sz w:val="16"/>
        </w:rPr>
        <w:t>_________________________________________________________________________________</w:t>
      </w:r>
    </w:p>
    <w:p>
      <w:pPr>
        <w:keepNext/>
        <w:spacing w:before="360" w:after="120"/>
      </w:pPr>
      <w:r>
        <w:rPr>
          <w:rFonts w:ascii="Segoe UI" w:hAnsi="Segoe UI"/>
          <w:b/>
          <w:color w:val="1B365D"/>
          <w:sz w:val="30"/>
        </w:rPr>
        <w:t>8. Phishing and Social Engineering Awareness</w:t>
      </w:r>
    </w:p>
    <w:p>
      <w:pPr>
        <w:keepNext/>
        <w:spacing w:before="280" w:after="80"/>
      </w:pPr>
      <w:r>
        <w:rPr>
          <w:rFonts w:ascii="Segoe UI" w:hAnsi="Segoe UI"/>
          <w:b/>
          <w:color w:val="2B6CB0"/>
          <w:sz w:val="25"/>
        </w:rPr>
        <w:t>Core Guidance (CISA Phishing Framework):</w:t>
      </w:r>
    </w:p>
    <w:p>
      <w:pPr>
        <w:spacing w:before="40" w:after="60"/>
        <w:ind w:left="360"/>
      </w:pPr>
      <w:r>
        <w:rPr>
          <w:rFonts w:ascii="Segoe UI" w:hAnsi="Segoe UI"/>
          <w:color w:val="1B365D"/>
          <w:sz w:val="21"/>
        </w:rPr>
        <w:t xml:space="preserve">•  </w:t>
      </w:r>
      <w:r>
        <w:rPr>
          <w:rFonts w:ascii="Segoe UI" w:hAnsi="Segoe UI"/>
          <w:b/>
          <w:color w:val="2D3748"/>
          <w:sz w:val="21"/>
        </w:rPr>
        <w:t>Spotting Phishing Indicators:</w:t>
      </w:r>
      <w:r>
        <w:rPr>
          <w:rFonts w:ascii="Segoe UI" w:hAnsi="Segoe UI"/>
          <w:color w:val="2D3748"/>
          <w:sz w:val="21"/>
        </w:rPr>
        <w:t xml:space="preserve"> Train staff to inspect email headers, verify domain authenticity, identify mismatched URLs, and question unexpected urgency or financial requests.</w:t>
      </w:r>
    </w:p>
    <w:p>
      <w:pPr>
        <w:spacing w:before="40" w:after="60"/>
        <w:ind w:left="360"/>
      </w:pPr>
      <w:r>
        <w:rPr>
          <w:rFonts w:ascii="Segoe UI" w:hAnsi="Segoe UI"/>
          <w:color w:val="1B365D"/>
          <w:sz w:val="21"/>
        </w:rPr>
        <w:t xml:space="preserve">•  </w:t>
      </w:r>
      <w:r>
        <w:rPr>
          <w:rFonts w:ascii="Segoe UI" w:hAnsi="Segoe UI"/>
          <w:b/>
          <w:color w:val="2D3748"/>
          <w:sz w:val="21"/>
        </w:rPr>
        <w:t>Spear-Phishing &amp; Executive Impersonation:</w:t>
      </w:r>
      <w:r>
        <w:rPr>
          <w:rFonts w:ascii="Segoe UI" w:hAnsi="Segoe UI"/>
          <w:color w:val="2D3748"/>
          <w:sz w:val="21"/>
        </w:rPr>
        <w:t xml:space="preserve"> Educate Finance and HR teams on out-of-band verification procedures (e.g., calling the CFO directly via official internal extension) prior to executing wire transfers or modifying payroll details.</w:t>
      </w:r>
    </w:p>
    <w:p>
      <w:pPr>
        <w:spacing w:before="40" w:after="60"/>
        <w:ind w:left="360"/>
      </w:pPr>
      <w:r>
        <w:rPr>
          <w:rFonts w:ascii="Segoe UI" w:hAnsi="Segoe UI"/>
          <w:color w:val="1B365D"/>
          <w:sz w:val="21"/>
        </w:rPr>
        <w:t xml:space="preserve">•  </w:t>
      </w:r>
      <w:r>
        <w:rPr>
          <w:rFonts w:ascii="Segoe UI" w:hAnsi="Segoe UI"/>
          <w:b/>
          <w:color w:val="2D3748"/>
          <w:sz w:val="21"/>
        </w:rPr>
        <w:t>Vishing &amp; Smishing:</w:t>
      </w:r>
      <w:r>
        <w:rPr>
          <w:rFonts w:ascii="Segoe UI" w:hAnsi="Segoe UI"/>
          <w:color w:val="2D3748"/>
          <w:sz w:val="21"/>
        </w:rPr>
        <w:t xml:space="preserve"> Address SMS-based pretexting and fraudulent voice calls claiming to be IT support requesting MFA push approvals.</w:t>
      </w:r>
    </w:p>
    <w:p>
      <w:pPr>
        <w:spacing w:before="160" w:after="240"/>
      </w:pPr>
      <w:r>
        <w:rPr>
          <w:rFonts w:ascii="Segoe UI" w:hAnsi="Segoe UI"/>
          <w:color w:val="E2E8F0"/>
          <w:sz w:val="16"/>
        </w:rPr>
        <w:t>_________________________________________________________________________________</w:t>
      </w:r>
    </w:p>
    <w:p>
      <w:pPr>
        <w:keepNext/>
        <w:spacing w:before="360" w:after="120"/>
      </w:pPr>
      <w:r>
        <w:rPr>
          <w:rFonts w:ascii="Segoe UI" w:hAnsi="Segoe UI"/>
          <w:b/>
          <w:color w:val="1B365D"/>
          <w:sz w:val="30"/>
        </w:rPr>
        <w:t>9. Safe Email and Internet Usage</w:t>
      </w:r>
    </w:p>
    <w:p>
      <w:pPr>
        <w:keepNext/>
        <w:spacing w:before="280" w:after="80"/>
      </w:pPr>
      <w:r>
        <w:rPr>
          <w:rFonts w:ascii="Segoe UI" w:hAnsi="Segoe UI"/>
          <w:b/>
          <w:color w:val="2B6CB0"/>
          <w:sz w:val="25"/>
        </w:rPr>
        <w:t>Core Guidance:</w:t>
      </w:r>
    </w:p>
    <w:p>
      <w:pPr>
        <w:spacing w:before="40" w:after="60"/>
        <w:ind w:left="360"/>
      </w:pPr>
      <w:r>
        <w:rPr>
          <w:rFonts w:ascii="Segoe UI" w:hAnsi="Segoe UI"/>
          <w:color w:val="1B365D"/>
          <w:sz w:val="21"/>
        </w:rPr>
        <w:t xml:space="preserve">•  </w:t>
      </w:r>
      <w:r>
        <w:rPr>
          <w:rFonts w:ascii="Segoe UI" w:hAnsi="Segoe UI"/>
          <w:b/>
          <w:color w:val="2D3748"/>
          <w:sz w:val="21"/>
        </w:rPr>
        <w:t>Web Browsing Hygiene:</w:t>
      </w:r>
      <w:r>
        <w:rPr>
          <w:rFonts w:ascii="Segoe UI" w:hAnsi="Segoe UI"/>
          <w:color w:val="2D3748"/>
          <w:sz w:val="21"/>
        </w:rPr>
        <w:t xml:space="preserve"> Warn against clicking sponsored ad links in search engines, downloading files from untrusted repositories, or bypassing browser SSL/TLS certificate warnings.</w:t>
      </w:r>
    </w:p>
    <w:p>
      <w:pPr>
        <w:spacing w:before="40" w:after="60"/>
        <w:ind w:left="360"/>
      </w:pPr>
      <w:r>
        <w:rPr>
          <w:rFonts w:ascii="Segoe UI" w:hAnsi="Segoe UI"/>
          <w:color w:val="1B365D"/>
          <w:sz w:val="21"/>
        </w:rPr>
        <w:t xml:space="preserve">•  </w:t>
      </w:r>
      <w:r>
        <w:rPr>
          <w:rFonts w:ascii="Segoe UI" w:hAnsi="Segoe UI"/>
          <w:b/>
          <w:color w:val="2D3748"/>
          <w:sz w:val="21"/>
        </w:rPr>
        <w:t>Safe Email Practices:</w:t>
      </w:r>
      <w:r>
        <w:rPr>
          <w:rFonts w:ascii="Segoe UI" w:hAnsi="Segoe UI"/>
          <w:color w:val="2D3748"/>
          <w:sz w:val="21"/>
        </w:rPr>
        <w:t xml:space="preserve"> Emphasize verifying external recipient addresses before sending attachments containing sensitive company data.</w:t>
      </w:r>
    </w:p>
    <w:p>
      <w:pPr>
        <w:spacing w:before="160" w:after="240"/>
      </w:pPr>
      <w:r>
        <w:rPr>
          <w:rFonts w:ascii="Segoe UI" w:hAnsi="Segoe UI"/>
          <w:color w:val="E2E8F0"/>
          <w:sz w:val="16"/>
        </w:rPr>
        <w:t>_________________________________________________________________________________</w:t>
      </w:r>
    </w:p>
    <w:p>
      <w:pPr>
        <w:keepNext/>
        <w:spacing w:before="360" w:after="120"/>
      </w:pPr>
      <w:r>
        <w:rPr>
          <w:rFonts w:ascii="Segoe UI" w:hAnsi="Segoe UI"/>
          <w:b/>
          <w:color w:val="1B365D"/>
          <w:sz w:val="30"/>
        </w:rPr>
        <w:t>10. Malware and Ransomware Awareness</w:t>
      </w:r>
    </w:p>
    <w:p>
      <w:pPr>
        <w:keepNext/>
        <w:spacing w:before="280" w:after="80"/>
      </w:pPr>
      <w:r>
        <w:rPr>
          <w:rFonts w:ascii="Segoe UI" w:hAnsi="Segoe UI"/>
          <w:b/>
          <w:color w:val="2B6CB0"/>
          <w:sz w:val="25"/>
        </w:rPr>
        <w:t>Core Guidance:</w:t>
      </w:r>
    </w:p>
    <w:p>
      <w:pPr>
        <w:spacing w:before="40" w:after="60"/>
        <w:ind w:left="360"/>
      </w:pPr>
      <w:r>
        <w:rPr>
          <w:rFonts w:ascii="Segoe UI" w:hAnsi="Segoe UI"/>
          <w:color w:val="1B365D"/>
          <w:sz w:val="21"/>
        </w:rPr>
        <w:t xml:space="preserve">•  </w:t>
      </w:r>
      <w:r>
        <w:rPr>
          <w:rFonts w:ascii="Segoe UI" w:hAnsi="Segoe UI"/>
          <w:b/>
          <w:color w:val="2D3748"/>
          <w:sz w:val="21"/>
        </w:rPr>
        <w:t>Ransomware Vector Recognition:</w:t>
      </w:r>
      <w:r>
        <w:rPr>
          <w:rFonts w:ascii="Segoe UI" w:hAnsi="Segoe UI"/>
          <w:color w:val="2D3748"/>
          <w:sz w:val="21"/>
        </w:rPr>
        <w:t xml:space="preserve"> Teach staff how ransomware enters networks via weaponized Office macros, zip archives, drive-by downloads, and fake software update prompts.</w:t>
      </w:r>
    </w:p>
    <w:p>
      <w:pPr>
        <w:spacing w:before="40" w:after="60"/>
        <w:ind w:left="360"/>
      </w:pPr>
      <w:r>
        <w:rPr>
          <w:rFonts w:ascii="Segoe UI" w:hAnsi="Segoe UI"/>
          <w:color w:val="1B365D"/>
          <w:sz w:val="21"/>
        </w:rPr>
        <w:t xml:space="preserve">•  </w:t>
      </w:r>
      <w:r>
        <w:rPr>
          <w:rFonts w:ascii="Segoe UI" w:hAnsi="Segoe UI"/>
          <w:b/>
          <w:color w:val="2D3748"/>
          <w:sz w:val="21"/>
        </w:rPr>
        <w:t>Immediate Response Action:</w:t>
      </w:r>
      <w:r>
        <w:rPr>
          <w:rFonts w:ascii="Segoe UI" w:hAnsi="Segoe UI"/>
          <w:color w:val="2D3748"/>
          <w:sz w:val="21"/>
        </w:rPr>
        <w:t xml:space="preserve"> Educate employees that if their screen displays a ransomware notice or rapid file renaming occurs, they must immediately disconnect from Wi-Fi/Ethernet and notify the SOC.</w:t>
      </w:r>
    </w:p>
    <w:p>
      <w:pPr>
        <w:spacing w:before="160" w:after="240"/>
      </w:pPr>
      <w:r>
        <w:rPr>
          <w:rFonts w:ascii="Segoe UI" w:hAnsi="Segoe UI"/>
          <w:color w:val="E2E8F0"/>
          <w:sz w:val="16"/>
        </w:rPr>
        <w:t>_________________________________________________________________________________</w:t>
      </w:r>
    </w:p>
    <w:p>
      <w:pPr>
        <w:keepNext/>
        <w:spacing w:before="360" w:after="120"/>
      </w:pPr>
      <w:r>
        <w:rPr>
          <w:rFonts w:ascii="Segoe UI" w:hAnsi="Segoe UI"/>
          <w:b/>
          <w:color w:val="1B365D"/>
          <w:sz w:val="30"/>
        </w:rPr>
        <w:t>11. Data Protection and Privacy</w:t>
      </w:r>
    </w:p>
    <w:p>
      <w:pPr>
        <w:keepNext/>
        <w:spacing w:before="280" w:after="80"/>
      </w:pPr>
      <w:r>
        <w:rPr>
          <w:rFonts w:ascii="Segoe UI" w:hAnsi="Segoe UI"/>
          <w:b/>
          <w:color w:val="2B6CB0"/>
          <w:sz w:val="25"/>
        </w:rPr>
        <w:t>Core Guidance (NIST SP 800-53 PT/DS):</w:t>
      </w:r>
    </w:p>
    <w:p>
      <w:pPr>
        <w:spacing w:before="40" w:after="60"/>
        <w:ind w:left="360"/>
      </w:pPr>
      <w:r>
        <w:rPr>
          <w:rFonts w:ascii="Segoe UI" w:hAnsi="Segoe UI"/>
          <w:color w:val="1B365D"/>
          <w:sz w:val="21"/>
        </w:rPr>
        <w:t xml:space="preserve">•  </w:t>
      </w:r>
      <w:r>
        <w:rPr>
          <w:rFonts w:ascii="Segoe UI" w:hAnsi="Segoe UI"/>
          <w:b/>
          <w:color w:val="2D3748"/>
          <w:sz w:val="21"/>
        </w:rPr>
        <w:t>Data Classification Awareness:</w:t>
      </w:r>
      <w:r>
        <w:rPr>
          <w:rFonts w:ascii="Segoe UI" w:hAnsi="Segoe UI"/>
          <w:color w:val="2D3748"/>
          <w:sz w:val="21"/>
        </w:rPr>
        <w:t xml:space="preserve"> Reinforce understanding of data labels (</w:t>
      </w:r>
      <w:r>
        <w:rPr>
          <w:rFonts w:ascii="Segoe UI" w:hAnsi="Segoe UI"/>
          <w:i/>
          <w:color w:val="2D3748"/>
          <w:sz w:val="21"/>
        </w:rPr>
        <w:t>Public, Internal, Confidential, Restricted</w:t>
      </w:r>
      <w:r>
        <w:rPr>
          <w:rFonts w:ascii="Segoe UI" w:hAnsi="Segoe UI"/>
          <w:color w:val="2D3748"/>
          <w:sz w:val="21"/>
        </w:rPr>
        <w:t>) and proper handling rules.</w:t>
      </w:r>
    </w:p>
    <w:p>
      <w:pPr>
        <w:spacing w:before="40" w:after="60"/>
        <w:ind w:left="360"/>
      </w:pPr>
      <w:r>
        <w:rPr>
          <w:rFonts w:ascii="Segoe UI" w:hAnsi="Segoe UI"/>
          <w:color w:val="1B365D"/>
          <w:sz w:val="21"/>
        </w:rPr>
        <w:t xml:space="preserve">•  </w:t>
      </w:r>
      <w:r>
        <w:rPr>
          <w:rFonts w:ascii="Segoe UI" w:hAnsi="Segoe UI"/>
          <w:b/>
          <w:color w:val="2D3748"/>
          <w:sz w:val="21"/>
        </w:rPr>
        <w:t>Preventing Accidental Leakage:</w:t>
      </w:r>
      <w:r>
        <w:rPr>
          <w:rFonts w:ascii="Segoe UI" w:hAnsi="Segoe UI"/>
          <w:color w:val="2D3748"/>
          <w:sz w:val="21"/>
        </w:rPr>
        <w:t xml:space="preserve"> Prohibit uploading corporate source code or customer data into unapproved public AI tools (e.g., public ChatGPT) or personal cloud storage accounts.</w:t>
      </w:r>
    </w:p>
    <w:p>
      <w:pPr>
        <w:spacing w:before="160" w:after="240"/>
      </w:pPr>
      <w:r>
        <w:rPr>
          <w:rFonts w:ascii="Segoe UI" w:hAnsi="Segoe UI"/>
          <w:color w:val="E2E8F0"/>
          <w:sz w:val="16"/>
        </w:rPr>
        <w:t>_________________________________________________________________________________</w:t>
      </w:r>
    </w:p>
    <w:p>
      <w:pPr>
        <w:keepNext/>
        <w:spacing w:before="360" w:after="120"/>
      </w:pPr>
      <w:r>
        <w:rPr>
          <w:rFonts w:ascii="Segoe UI" w:hAnsi="Segoe UI"/>
          <w:b/>
          <w:color w:val="1B365D"/>
          <w:sz w:val="30"/>
        </w:rPr>
        <w:t>12. Device, Endpoint and Remote-Work Security</w:t>
      </w:r>
    </w:p>
    <w:p>
      <w:pPr>
        <w:keepNext/>
        <w:spacing w:before="280" w:after="80"/>
      </w:pPr>
      <w:r>
        <w:rPr>
          <w:rFonts w:ascii="Segoe UI" w:hAnsi="Segoe UI"/>
          <w:b/>
          <w:color w:val="2B6CB0"/>
          <w:sz w:val="25"/>
        </w:rPr>
        <w:t>Core Guidance:</w:t>
      </w:r>
    </w:p>
    <w:p>
      <w:pPr>
        <w:spacing w:before="40" w:after="60"/>
        <w:ind w:left="360"/>
      </w:pPr>
      <w:r>
        <w:rPr>
          <w:rFonts w:ascii="Segoe UI" w:hAnsi="Segoe UI"/>
          <w:color w:val="1B365D"/>
          <w:sz w:val="21"/>
        </w:rPr>
        <w:t xml:space="preserve">•  </w:t>
      </w:r>
      <w:r>
        <w:rPr>
          <w:rFonts w:ascii="Segoe UI" w:hAnsi="Segoe UI"/>
          <w:b/>
          <w:color w:val="2D3748"/>
          <w:sz w:val="21"/>
        </w:rPr>
        <w:t>Remote Work Security:</w:t>
      </w:r>
      <w:r>
        <w:rPr>
          <w:rFonts w:ascii="Segoe UI" w:hAnsi="Segoe UI"/>
          <w:color w:val="2D3748"/>
          <w:sz w:val="21"/>
        </w:rPr>
        <w:t xml:space="preserve"> Mandate automatic VPN connection when accessing corporate resources from public Wi-Fi networks (airports, coffee shops).</w:t>
      </w:r>
    </w:p>
    <w:p>
      <w:pPr>
        <w:spacing w:before="40" w:after="60"/>
        <w:ind w:left="360"/>
      </w:pPr>
      <w:r>
        <w:rPr>
          <w:rFonts w:ascii="Segoe UI" w:hAnsi="Segoe UI"/>
          <w:color w:val="1B365D"/>
          <w:sz w:val="21"/>
        </w:rPr>
        <w:t xml:space="preserve">•  </w:t>
      </w:r>
      <w:r>
        <w:rPr>
          <w:rFonts w:ascii="Segoe UI" w:hAnsi="Segoe UI"/>
          <w:b/>
          <w:color w:val="2D3748"/>
          <w:sz w:val="21"/>
        </w:rPr>
        <w:t>Screen Lock Habit (Win + L):</w:t>
      </w:r>
      <w:r>
        <w:rPr>
          <w:rFonts w:ascii="Segoe UI" w:hAnsi="Segoe UI"/>
          <w:color w:val="2D3748"/>
          <w:sz w:val="21"/>
        </w:rPr>
        <w:t xml:space="preserve"> Instill the automatic habit of locking computer screens whenever stepping away, even in home or private office environments.</w:t>
      </w:r>
    </w:p>
    <w:p>
      <w:pPr>
        <w:spacing w:before="40" w:after="60"/>
        <w:ind w:left="360"/>
      </w:pPr>
      <w:r>
        <w:rPr>
          <w:rFonts w:ascii="Segoe UI" w:hAnsi="Segoe UI"/>
          <w:color w:val="1B365D"/>
          <w:sz w:val="21"/>
        </w:rPr>
        <w:t xml:space="preserve">•  </w:t>
      </w:r>
      <w:r>
        <w:rPr>
          <w:rFonts w:ascii="Segoe UI" w:hAnsi="Segoe UI"/>
          <w:b/>
          <w:color w:val="2D3748"/>
          <w:sz w:val="21"/>
        </w:rPr>
        <w:t>Prompt Software Updates:</w:t>
      </w:r>
      <w:r>
        <w:rPr>
          <w:rFonts w:ascii="Segoe UI" w:hAnsi="Segoe UI"/>
          <w:color w:val="2D3748"/>
          <w:sz w:val="21"/>
        </w:rPr>
        <w:t xml:space="preserve"> Reinforce the CISA "Secure Our World" message to apply operating system and application security updates promptly.</w:t>
      </w:r>
    </w:p>
    <w:p>
      <w:pPr>
        <w:spacing w:before="160" w:after="240"/>
      </w:pPr>
      <w:r>
        <w:rPr>
          <w:rFonts w:ascii="Segoe UI" w:hAnsi="Segoe UI"/>
          <w:color w:val="E2E8F0"/>
          <w:sz w:val="16"/>
        </w:rPr>
        <w:t>_________________________________________________________________________________</w:t>
      </w:r>
    </w:p>
    <w:p>
      <w:pPr>
        <w:keepNext/>
        <w:spacing w:before="360" w:after="120"/>
      </w:pPr>
      <w:r>
        <w:rPr>
          <w:rFonts w:ascii="Segoe UI" w:hAnsi="Segoe UI"/>
          <w:b/>
          <w:color w:val="1B365D"/>
          <w:sz w:val="30"/>
        </w:rPr>
        <w:t>13. Incident Reporting and Response Awareness</w:t>
      </w:r>
    </w:p>
    <w:p>
      <w:pPr>
        <w:keepNext/>
        <w:spacing w:before="280" w:after="80"/>
      </w:pPr>
      <w:r>
        <w:rPr>
          <w:rFonts w:ascii="Segoe UI" w:hAnsi="Segoe UI"/>
          <w:b/>
          <w:color w:val="2B6CB0"/>
          <w:sz w:val="25"/>
        </w:rPr>
        <w:t>Core Guidance:</w:t>
      </w:r>
    </w:p>
    <w:p>
      <w:pPr>
        <w:spacing w:before="40" w:after="60"/>
        <w:ind w:left="360"/>
      </w:pPr>
      <w:r>
        <w:rPr>
          <w:rFonts w:ascii="Segoe UI" w:hAnsi="Segoe UI"/>
          <w:color w:val="1B365D"/>
          <w:sz w:val="21"/>
        </w:rPr>
        <w:t xml:space="preserve">•  </w:t>
      </w:r>
      <w:r>
        <w:rPr>
          <w:rFonts w:ascii="Segoe UI" w:hAnsi="Segoe UI"/>
          <w:b/>
          <w:color w:val="2D3748"/>
          <w:sz w:val="21"/>
        </w:rPr>
        <w:t>1-Click Phishing Reporting:</w:t>
      </w:r>
      <w:r>
        <w:rPr>
          <w:rFonts w:ascii="Segoe UI" w:hAnsi="Segoe UI"/>
          <w:color w:val="2D3748"/>
          <w:sz w:val="21"/>
        </w:rPr>
        <w:t xml:space="preserve"> Promote the use of the 1-click "Report Phishing" button integrated directly into Microsoft Outlook and webmail clients.</w:t>
      </w:r>
    </w:p>
    <w:p>
      <w:pPr>
        <w:spacing w:before="40" w:after="60"/>
        <w:ind w:left="360"/>
      </w:pPr>
      <w:r>
        <w:rPr>
          <w:rFonts w:ascii="Segoe UI" w:hAnsi="Segoe UI"/>
          <w:color w:val="1B365D"/>
          <w:sz w:val="21"/>
        </w:rPr>
        <w:t xml:space="preserve">•  </w:t>
      </w:r>
      <w:r>
        <w:rPr>
          <w:rFonts w:ascii="Segoe UI" w:hAnsi="Segoe UI"/>
          <w:b/>
          <w:color w:val="2D3748"/>
          <w:sz w:val="21"/>
        </w:rPr>
        <w:t>"No-Blame" Security Culture:</w:t>
      </w:r>
      <w:r>
        <w:rPr>
          <w:rFonts w:ascii="Segoe UI" w:hAnsi="Segoe UI"/>
          <w:color w:val="2D3748"/>
          <w:sz w:val="21"/>
        </w:rPr>
        <w:t xml:space="preserve"> Reassure employees that accidentally clicking a link will not lead to disciplinary action if reported immediately, reinforcing that rapid reporting mitigates organizational damage.</w:t>
      </w:r>
    </w:p>
    <w:p>
      <w:pPr>
        <w:spacing w:before="160" w:after="240"/>
      </w:pPr>
      <w:r>
        <w:rPr>
          <w:rFonts w:ascii="Segoe UI" w:hAnsi="Segoe UI"/>
          <w:color w:val="E2E8F0"/>
          <w:sz w:val="16"/>
        </w:rPr>
        <w:t>_________________________________________________________________________________</w:t>
      </w:r>
    </w:p>
    <w:p>
      <w:pPr>
        <w:keepNext/>
        <w:spacing w:before="360" w:after="120"/>
      </w:pPr>
      <w:r>
        <w:rPr>
          <w:rFonts w:ascii="Segoe UI" w:hAnsi="Segoe UI"/>
          <w:b/>
          <w:color w:val="1B365D"/>
          <w:sz w:val="30"/>
        </w:rPr>
        <w:t>14. Physical Security and Clean Desk Practices</w:t>
      </w:r>
    </w:p>
    <w:p>
      <w:pPr>
        <w:keepNext/>
        <w:spacing w:before="280" w:after="80"/>
      </w:pPr>
      <w:r>
        <w:rPr>
          <w:rFonts w:ascii="Segoe UI" w:hAnsi="Segoe UI"/>
          <w:b/>
          <w:color w:val="2B6CB0"/>
          <w:sz w:val="25"/>
        </w:rPr>
        <w:t>Core Guidance:</w:t>
      </w:r>
    </w:p>
    <w:p>
      <w:pPr>
        <w:spacing w:before="40" w:after="60"/>
        <w:ind w:left="360"/>
      </w:pPr>
      <w:r>
        <w:rPr>
          <w:rFonts w:ascii="Segoe UI" w:hAnsi="Segoe UI"/>
          <w:color w:val="1B365D"/>
          <w:sz w:val="21"/>
        </w:rPr>
        <w:t xml:space="preserve">•  </w:t>
      </w:r>
      <w:r>
        <w:rPr>
          <w:rFonts w:ascii="Segoe UI" w:hAnsi="Segoe UI"/>
          <w:b/>
          <w:color w:val="2D3748"/>
          <w:sz w:val="21"/>
        </w:rPr>
        <w:t>Clean Desk Policy:</w:t>
      </w:r>
      <w:r>
        <w:rPr>
          <w:rFonts w:ascii="Segoe UI" w:hAnsi="Segoe UI"/>
          <w:color w:val="2D3748"/>
          <w:sz w:val="21"/>
        </w:rPr>
        <w:t xml:space="preserve"> Mandate clearing physical documents containing sensitive data, whiteboards, and sticky notes containing passwords at the end of each workday.</w:t>
      </w:r>
    </w:p>
    <w:p>
      <w:pPr>
        <w:spacing w:before="40" w:after="60"/>
        <w:ind w:left="360"/>
      </w:pPr>
      <w:r>
        <w:rPr>
          <w:rFonts w:ascii="Segoe UI" w:hAnsi="Segoe UI"/>
          <w:color w:val="1B365D"/>
          <w:sz w:val="21"/>
        </w:rPr>
        <w:t xml:space="preserve">•  </w:t>
      </w:r>
      <w:r>
        <w:rPr>
          <w:rFonts w:ascii="Segoe UI" w:hAnsi="Segoe UI"/>
          <w:b/>
          <w:color w:val="2D3748"/>
          <w:sz w:val="21"/>
        </w:rPr>
        <w:t>Tailgating Prevention:</w:t>
      </w:r>
      <w:r>
        <w:rPr>
          <w:rFonts w:ascii="Segoe UI" w:hAnsi="Segoe UI"/>
          <w:color w:val="2D3748"/>
          <w:sz w:val="21"/>
        </w:rPr>
        <w:t xml:space="preserve"> Train employees to require all individuals entering secure facilities to swipe their own physical access badges, preventing unauthorized visitors from following behind.</w:t>
      </w:r>
    </w:p>
    <w:p>
      <w:pPr>
        <w:spacing w:before="160" w:after="240"/>
      </w:pPr>
      <w:r>
        <w:rPr>
          <w:rFonts w:ascii="Segoe UI" w:hAnsi="Segoe UI"/>
          <w:color w:val="E2E8F0"/>
          <w:sz w:val="16"/>
        </w:rPr>
        <w:t>_________________________________________________________________________________</w:t>
      </w:r>
    </w:p>
    <w:p>
      <w:pPr>
        <w:keepNext/>
        <w:spacing w:before="360" w:after="120"/>
      </w:pPr>
      <w:r>
        <w:rPr>
          <w:rFonts w:ascii="Segoe UI" w:hAnsi="Segoe UI"/>
          <w:b/>
          <w:color w:val="1B365D"/>
          <w:sz w:val="30"/>
        </w:rPr>
        <w:t>15. Security Awareness Communication Strategy</w:t>
      </w:r>
    </w:p>
    <w:p>
      <w:pPr>
        <w:spacing w:before="60" w:after="120" w:line="276" w:lineRule="auto"/>
      </w:pPr>
      <w:r>
        <w:rPr>
          <w:rFonts w:ascii="Segoe UI" w:hAnsi="Segoe UI"/>
          <w:color w:val="2D3748"/>
          <w:sz w:val="21"/>
        </w:rPr>
        <w:t xml:space="preserve">The campaign utilizes a </w:t>
      </w:r>
      <w:r>
        <w:rPr>
          <w:rFonts w:ascii="Segoe UI" w:hAnsi="Segoe UI"/>
          <w:b/>
          <w:color w:val="2D3748"/>
          <w:sz w:val="21"/>
        </w:rPr>
        <w:t>Multi-Touchpoint Communication Strategy</w:t>
      </w:r>
      <w:r>
        <w:rPr>
          <w:rFonts w:ascii="Segoe UI" w:hAnsi="Segoe UI"/>
          <w:color w:val="2D3748"/>
          <w:sz w:val="21"/>
        </w:rPr>
        <w:t xml:space="preserve"> to ensure high visibility across diverse employee groups without inducing communication fatigue: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0"/>
              <w:left w:val="single" w:sz="12" w:space="0" w:color="1B365D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A202C"/>
                <w:sz w:val="18"/>
              </w:rPr>
              <w:t>+------------------------------------------------------------------------------------+</w:t>
              <w:br/>
              <w:t>|                         MULTI-TOUCHPOINT COMMUNICATION PIPELINE                    |</w:t>
              <w:br/>
              <w:t>+------------------------------------------------------------------------------------+</w:t>
              <w:br/>
              <w:t>| EXECUTIVE LEADERSHIP  --&gt;  INTRANET &amp; DIGITAL POSTERS  --&gt;  SLACK / TEAMS ALERTS    |</w:t>
              <w:br/>
              <w:t>| (Town Hall Launch)         (Weekly Banners &amp; Guides)       (Bite-Sized Tips)       |</w:t>
              <w:br/>
              <w:t>|                                                                    |               |</w:t>
              <w:br/>
              <w:t>| MICRO-LEARNING PORTAL &lt;--  SIMULATED DRILLS &amp; DRILLS   &lt;-----------+               |</w:t>
              <w:br/>
              <w:t>| (2-Min Video Modules)      (Phishing Drills &amp; Awards)                              |</w:t>
              <w:br/>
              <w:t>+------------------------------------------------------------------------------------+</w:t>
            </w:r>
          </w:p>
        </w:tc>
      </w:tr>
    </w:tbl>
    <w:p>
      <w:pPr>
        <w:spacing w:after="120"/>
      </w:pPr>
    </w:p>
    <w:p>
      <w:pPr>
        <w:spacing w:before="160" w:after="240"/>
      </w:pPr>
      <w:r>
        <w:rPr>
          <w:rFonts w:ascii="Segoe UI" w:hAnsi="Segoe UI"/>
          <w:color w:val="E2E8F0"/>
          <w:sz w:val="16"/>
        </w:rPr>
        <w:t>_________________________________________________________________________________</w:t>
      </w:r>
    </w:p>
    <w:p>
      <w:pPr>
        <w:keepNext/>
        <w:spacing w:before="360" w:after="120"/>
      </w:pPr>
      <w:r>
        <w:rPr>
          <w:rFonts w:ascii="Segoe UI" w:hAnsi="Segoe UI"/>
          <w:b/>
          <w:color w:val="1B365D"/>
          <w:sz w:val="30"/>
        </w:rPr>
        <w:t>16. Campaign Channels and Communication Methods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non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20"/>
              </w:rPr>
              <w:t>Channel</w:t>
            </w:r>
          </w:p>
        </w:tc>
        <w:tc>
          <w:tcPr>
            <w:tcW w:type="dxa" w:w="2340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20"/>
              </w:rPr>
              <w:t>Format &amp; Frequency</w:t>
            </w:r>
          </w:p>
        </w:tc>
        <w:tc>
          <w:tcPr>
            <w:tcW w:type="dxa" w:w="2340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20"/>
              </w:rPr>
              <w:t>Target Audience</w:t>
            </w:r>
          </w:p>
        </w:tc>
        <w:tc>
          <w:tcPr>
            <w:tcW w:type="dxa" w:w="2340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20"/>
              </w:rPr>
              <w:t>Primary Content Type</w:t>
            </w:r>
          </w:p>
        </w:tc>
      </w:tr>
      <w:tr>
        <w:tc>
          <w:tcPr>
            <w:tcW w:type="dxa" w:w="234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2D3748"/>
                <w:sz w:val="19"/>
              </w:rPr>
              <w:t>Executive Town Hall</w:t>
            </w:r>
          </w:p>
        </w:tc>
        <w:tc>
          <w:tcPr>
            <w:tcW w:type="dxa" w:w="234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D3748"/>
                <w:sz w:val="19"/>
              </w:rPr>
              <w:t>Video Broadcast (Week 1 &amp; 12)</w:t>
            </w:r>
          </w:p>
        </w:tc>
        <w:tc>
          <w:tcPr>
            <w:tcW w:type="dxa" w:w="234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D3748"/>
                <w:sz w:val="19"/>
              </w:rPr>
              <w:t>All Workforce</w:t>
            </w:r>
          </w:p>
        </w:tc>
        <w:tc>
          <w:tcPr>
            <w:tcW w:type="dxa" w:w="234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D3748"/>
                <w:sz w:val="19"/>
              </w:rPr>
              <w:t>Campaign kickoff message, culture awards, and CISO vision.</w:t>
            </w:r>
          </w:p>
        </w:tc>
      </w:tr>
      <w:tr>
        <w:tc>
          <w:tcPr>
            <w:tcW w:type="dxa" w:w="2340"/>
            <w:shd w:fill="F7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2D3748"/>
                <w:sz w:val="19"/>
              </w:rPr>
              <w:t>Intranet &amp; Digital Signage</w:t>
            </w:r>
          </w:p>
        </w:tc>
        <w:tc>
          <w:tcPr>
            <w:tcW w:type="dxa" w:w="2340"/>
            <w:shd w:fill="F7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D3748"/>
                <w:sz w:val="19"/>
              </w:rPr>
              <w:t>Banners &amp; TV Slides (Weekly)</w:t>
            </w:r>
          </w:p>
        </w:tc>
        <w:tc>
          <w:tcPr>
            <w:tcW w:type="dxa" w:w="2340"/>
            <w:shd w:fill="F7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D3748"/>
                <w:sz w:val="19"/>
              </w:rPr>
              <w:t>Onsite &amp; Office Staff</w:t>
            </w:r>
          </w:p>
        </w:tc>
        <w:tc>
          <w:tcPr>
            <w:tcW w:type="dxa" w:w="2340"/>
            <w:shd w:fill="F7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D3748"/>
                <w:sz w:val="19"/>
              </w:rPr>
              <w:t>Infographics, weekly security tips, CISA "Secure Our World" graphics.</w:t>
            </w:r>
          </w:p>
        </w:tc>
      </w:tr>
      <w:tr>
        <w:tc>
          <w:tcPr>
            <w:tcW w:type="dxa" w:w="234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2D3748"/>
                <w:sz w:val="19"/>
              </w:rPr>
              <w:t>Slack / Microsoft Teams</w:t>
            </w:r>
          </w:p>
        </w:tc>
        <w:tc>
          <w:tcPr>
            <w:tcW w:type="dxa" w:w="234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D3748"/>
                <w:sz w:val="19"/>
              </w:rPr>
              <w:t>Bite-sized Posts (Bi-weekly)</w:t>
            </w:r>
          </w:p>
        </w:tc>
        <w:tc>
          <w:tcPr>
            <w:tcW w:type="dxa" w:w="234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D3748"/>
                <w:sz w:val="19"/>
              </w:rPr>
              <w:t>Developers &amp; Remote Staff</w:t>
            </w:r>
          </w:p>
        </w:tc>
        <w:tc>
          <w:tcPr>
            <w:tcW w:type="dxa" w:w="234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D3748"/>
                <w:sz w:val="19"/>
              </w:rPr>
              <w:t>Short security alerts, interactive polls, quick passphrase challenges.</w:t>
            </w:r>
          </w:p>
        </w:tc>
      </w:tr>
      <w:tr>
        <w:tc>
          <w:tcPr>
            <w:tcW w:type="dxa" w:w="2340"/>
            <w:shd w:fill="F7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2D3748"/>
                <w:sz w:val="19"/>
              </w:rPr>
              <w:t>Micro-Learning Portal</w:t>
            </w:r>
          </w:p>
        </w:tc>
        <w:tc>
          <w:tcPr>
            <w:tcW w:type="dxa" w:w="2340"/>
            <w:shd w:fill="F7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D3748"/>
                <w:sz w:val="19"/>
              </w:rPr>
              <w:t>2-Minute Videos (Monthly)</w:t>
            </w:r>
          </w:p>
        </w:tc>
        <w:tc>
          <w:tcPr>
            <w:tcW w:type="dxa" w:w="2340"/>
            <w:shd w:fill="F7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D3748"/>
                <w:sz w:val="19"/>
              </w:rPr>
              <w:t>All Workforce</w:t>
            </w:r>
          </w:p>
        </w:tc>
        <w:tc>
          <w:tcPr>
            <w:tcW w:type="dxa" w:w="2340"/>
            <w:shd w:fill="F7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D3748"/>
                <w:sz w:val="19"/>
              </w:rPr>
              <w:t>Animated interactive scenarios with short 3-question knowledge checks.</w:t>
            </w:r>
          </w:p>
        </w:tc>
      </w:tr>
      <w:tr>
        <w:tc>
          <w:tcPr>
            <w:tcW w:type="dxa" w:w="234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2D3748"/>
                <w:sz w:val="19"/>
              </w:rPr>
              <w:t>Targeted Workshops</w:t>
            </w:r>
          </w:p>
        </w:tc>
        <w:tc>
          <w:tcPr>
            <w:tcW w:type="dxa" w:w="234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D3748"/>
                <w:sz w:val="19"/>
              </w:rPr>
              <w:t>Live Interactive (Monthly)</w:t>
            </w:r>
          </w:p>
        </w:tc>
        <w:tc>
          <w:tcPr>
            <w:tcW w:type="dxa" w:w="234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D3748"/>
                <w:sz w:val="19"/>
              </w:rPr>
              <w:t>Finance, HR, IT</w:t>
            </w:r>
          </w:p>
        </w:tc>
        <w:tc>
          <w:tcPr>
            <w:tcW w:type="dxa" w:w="234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D3748"/>
                <w:sz w:val="19"/>
              </w:rPr>
              <w:t>Deep-dive BEC role-play, secret scanning, and clean desk sweeps.</w:t>
            </w:r>
          </w:p>
        </w:tc>
      </w:tr>
    </w:tbl>
    <w:p>
      <w:pPr>
        <w:spacing w:before="0" w:after="160"/>
      </w:pPr>
    </w:p>
    <w:p>
      <w:pPr>
        <w:spacing w:before="160" w:after="240"/>
      </w:pPr>
      <w:r>
        <w:rPr>
          <w:rFonts w:ascii="Segoe UI" w:hAnsi="Segoe UI"/>
          <w:color w:val="E2E8F0"/>
          <w:sz w:val="16"/>
        </w:rPr>
        <w:t>_________________________________________________________________________________</w:t>
      </w:r>
    </w:p>
    <w:p>
      <w:pPr>
        <w:keepNext/>
        <w:spacing w:before="360" w:after="120"/>
      </w:pPr>
      <w:r>
        <w:rPr>
          <w:rFonts w:ascii="Segoe UI" w:hAnsi="Segoe UI"/>
          <w:b/>
          <w:color w:val="1B365D"/>
          <w:sz w:val="30"/>
        </w:rPr>
        <w:t>17. Creative Awareness Activities and Campaign Ideas</w:t>
      </w:r>
    </w:p>
    <w:p>
      <w:pPr>
        <w:spacing w:before="60" w:after="80"/>
        <w:ind w:left="360"/>
      </w:pPr>
      <w:r>
        <w:rPr>
          <w:rFonts w:ascii="Segoe UI" w:hAnsi="Segoe UI"/>
          <w:b/>
          <w:color w:val="1B365D"/>
          <w:sz w:val="21"/>
        </w:rPr>
        <w:t xml:space="preserve">1.  </w:t>
      </w:r>
      <w:r>
        <w:rPr>
          <w:rFonts w:ascii="Segoe UI" w:hAnsi="Segoe UI"/>
          <w:b/>
          <w:color w:val="2D3748"/>
          <w:sz w:val="21"/>
        </w:rPr>
        <w:t>"Passphrase Challenge" Contest:</w:t>
      </w:r>
      <w:r>
        <w:rPr>
          <w:rFonts w:ascii="Segoe UI" w:hAnsi="Segoe UI"/>
          <w:color w:val="2D3748"/>
          <w:sz w:val="21"/>
        </w:rPr>
        <w:t xml:space="preserve"> Employees submit creative, secure 20+ character passphrases; winning entries earn company swag and recognition.</w:t>
      </w:r>
    </w:p>
    <w:p>
      <w:pPr>
        <w:spacing w:before="60" w:after="80"/>
        <w:ind w:left="360"/>
      </w:pPr>
      <w:r>
        <w:rPr>
          <w:rFonts w:ascii="Segoe UI" w:hAnsi="Segoe UI"/>
          <w:b/>
          <w:color w:val="1B365D"/>
          <w:sz w:val="21"/>
        </w:rPr>
        <w:t xml:space="preserve">2.  </w:t>
      </w:r>
      <w:r>
        <w:rPr>
          <w:rFonts w:ascii="Segoe UI" w:hAnsi="Segoe UI"/>
          <w:b/>
          <w:color w:val="2D3748"/>
          <w:sz w:val="21"/>
        </w:rPr>
        <w:t>"Spot the Phish" Live Tournament:</w:t>
      </w:r>
      <w:r>
        <w:rPr>
          <w:rFonts w:ascii="Segoe UI" w:hAnsi="Segoe UI"/>
          <w:color w:val="2D3748"/>
          <w:sz w:val="21"/>
        </w:rPr>
        <w:t xml:space="preserve"> Gamified competition where teams analyze real-world sanitized phishing emails to identify subtle indicators.</w:t>
      </w:r>
    </w:p>
    <w:p>
      <w:pPr>
        <w:spacing w:before="60" w:after="80"/>
        <w:ind w:left="360"/>
      </w:pPr>
      <w:r>
        <w:rPr>
          <w:rFonts w:ascii="Segoe UI" w:hAnsi="Segoe UI"/>
          <w:b/>
          <w:color w:val="1B365D"/>
          <w:sz w:val="21"/>
        </w:rPr>
        <w:t xml:space="preserve">3.  </w:t>
      </w:r>
      <w:r>
        <w:rPr>
          <w:rFonts w:ascii="Segoe UI" w:hAnsi="Segoe UI"/>
          <w:b/>
          <w:color w:val="2D3748"/>
          <w:sz w:val="21"/>
        </w:rPr>
        <w:t>Cybersecurity Champions Network:</w:t>
      </w:r>
      <w:r>
        <w:rPr>
          <w:rFonts w:ascii="Segoe UI" w:hAnsi="Segoe UI"/>
          <w:color w:val="2D3748"/>
          <w:sz w:val="21"/>
        </w:rPr>
        <w:t xml:space="preserve"> Select enthusiastic representatives from each department to act as local security liaisons and peer mentors.</w:t>
      </w:r>
    </w:p>
    <w:p>
      <w:pPr>
        <w:spacing w:before="60" w:after="80"/>
        <w:ind w:left="360"/>
      </w:pPr>
      <w:r>
        <w:rPr>
          <w:rFonts w:ascii="Segoe UI" w:hAnsi="Segoe UI"/>
          <w:b/>
          <w:color w:val="1B365D"/>
          <w:sz w:val="21"/>
        </w:rPr>
        <w:t xml:space="preserve">4.  </w:t>
      </w:r>
      <w:r>
        <w:rPr>
          <w:rFonts w:ascii="Segoe UI" w:hAnsi="Segoe UI"/>
          <w:b/>
          <w:color w:val="2D3748"/>
          <w:sz w:val="21"/>
        </w:rPr>
        <w:t>Annual Security Culture Awards:</w:t>
      </w:r>
      <w:r>
        <w:rPr>
          <w:rFonts w:ascii="Segoe UI" w:hAnsi="Segoe UI"/>
          <w:color w:val="2D3748"/>
          <w:sz w:val="21"/>
        </w:rPr>
        <w:t xml:space="preserve"> Public recognition during Week 12 for departments with the highest reporting rates and zero simulated phishing clicks.</w:t>
      </w:r>
    </w:p>
    <w:p>
      <w:pPr>
        <w:spacing w:before="160" w:after="240"/>
      </w:pPr>
      <w:r>
        <w:rPr>
          <w:rFonts w:ascii="Segoe UI" w:hAnsi="Segoe UI"/>
          <w:color w:val="E2E8F0"/>
          <w:sz w:val="16"/>
        </w:rPr>
        <w:t>_________________________________________________________________________________</w:t>
      </w:r>
    </w:p>
    <w:p>
      <w:pPr>
        <w:keepNext/>
        <w:spacing w:before="360" w:after="120"/>
      </w:pPr>
      <w:r>
        <w:rPr>
          <w:rFonts w:ascii="Segoe UI" w:hAnsi="Segoe UI"/>
          <w:b/>
          <w:color w:val="1B365D"/>
          <w:sz w:val="30"/>
        </w:rPr>
        <w:t>18. Training Content and Employee Engagement</w:t>
      </w:r>
    </w:p>
    <w:p>
      <w:pPr>
        <w:spacing w:before="60" w:after="120" w:line="276" w:lineRule="auto"/>
      </w:pPr>
      <w:r>
        <w:rPr>
          <w:rFonts w:ascii="Segoe UI" w:hAnsi="Segoe UI"/>
          <w:color w:val="2D3748"/>
          <w:sz w:val="21"/>
        </w:rPr>
        <w:t xml:space="preserve">Training content is built upon </w:t>
      </w:r>
      <w:r>
        <w:rPr>
          <w:rFonts w:ascii="Segoe UI" w:hAnsi="Segoe UI"/>
          <w:b/>
          <w:color w:val="2D3748"/>
          <w:sz w:val="21"/>
        </w:rPr>
        <w:t>Micro-Learning Principles</w:t>
      </w:r>
      <w:r>
        <w:rPr>
          <w:rFonts w:ascii="Segoe UI" w:hAnsi="Segoe UI"/>
          <w:color w:val="2D3748"/>
          <w:sz w:val="21"/>
        </w:rPr>
        <w:t xml:space="preserve"> (short 2 to 3-minute modules) to fit into busy employee schedules:</w:t>
      </w:r>
    </w:p>
    <w:p>
      <w:pPr>
        <w:spacing w:before="40" w:after="60"/>
        <w:ind w:left="360"/>
      </w:pPr>
      <w:r>
        <w:rPr>
          <w:rFonts w:ascii="Segoe UI" w:hAnsi="Segoe UI"/>
          <w:color w:val="1B365D"/>
          <w:sz w:val="21"/>
        </w:rPr>
        <w:t xml:space="preserve">•  </w:t>
      </w:r>
      <w:r>
        <w:rPr>
          <w:rFonts w:ascii="Segoe UI" w:hAnsi="Segoe UI"/>
          <w:b/>
          <w:color w:val="2D3748"/>
          <w:sz w:val="21"/>
        </w:rPr>
        <w:t>Interactive Storytelling:</w:t>
      </w:r>
      <w:r>
        <w:rPr>
          <w:rFonts w:ascii="Segoe UI" w:hAnsi="Segoe UI"/>
          <w:color w:val="2D3748"/>
          <w:sz w:val="21"/>
        </w:rPr>
        <w:t xml:space="preserve"> Use real-world sanitized threat scenarios rather than dry policy text.</w:t>
      </w:r>
    </w:p>
    <w:p>
      <w:pPr>
        <w:spacing w:before="40" w:after="60"/>
        <w:ind w:left="360"/>
      </w:pPr>
      <w:r>
        <w:rPr>
          <w:rFonts w:ascii="Segoe UI" w:hAnsi="Segoe UI"/>
          <w:color w:val="1B365D"/>
          <w:sz w:val="21"/>
        </w:rPr>
        <w:t xml:space="preserve">•  </w:t>
      </w:r>
      <w:r>
        <w:rPr>
          <w:rFonts w:ascii="Segoe UI" w:hAnsi="Segoe UI"/>
          <w:b/>
          <w:color w:val="2D3748"/>
          <w:sz w:val="21"/>
        </w:rPr>
        <w:t>Immediate Feedback Loop:</w:t>
      </w:r>
      <w:r>
        <w:rPr>
          <w:rFonts w:ascii="Segoe UI" w:hAnsi="Segoe UI"/>
          <w:color w:val="2D3748"/>
          <w:sz w:val="21"/>
        </w:rPr>
        <w:t xml:space="preserve"> When an employee reports a simulated phishing email, an automated pop-up immediately thanks them and confirms their positive behavior.</w:t>
      </w:r>
    </w:p>
    <w:p>
      <w:pPr>
        <w:spacing w:before="40" w:after="60"/>
        <w:ind w:left="360"/>
      </w:pPr>
      <w:r>
        <w:rPr>
          <w:rFonts w:ascii="Segoe UI" w:hAnsi="Segoe UI"/>
          <w:color w:val="1B365D"/>
          <w:sz w:val="21"/>
        </w:rPr>
        <w:t xml:space="preserve">•  </w:t>
      </w:r>
      <w:r>
        <w:rPr>
          <w:rFonts w:ascii="Segoe UI" w:hAnsi="Segoe UI"/>
          <w:b/>
          <w:color w:val="2D3748"/>
          <w:sz w:val="21"/>
        </w:rPr>
        <w:t>Point-of-Failure Micro-Training:</w:t>
      </w:r>
      <w:r>
        <w:rPr>
          <w:rFonts w:ascii="Segoe UI" w:hAnsi="Segoe UI"/>
          <w:color w:val="2D3748"/>
          <w:sz w:val="21"/>
        </w:rPr>
        <w:t xml:space="preserve"> If an employee clicks a simulated phishing link, they are automatically directed to a 60-second friendly, non-punitive training page explaining the specific indicator missed.</w:t>
      </w:r>
    </w:p>
    <w:p>
      <w:pPr>
        <w:spacing w:before="160" w:after="240"/>
      </w:pPr>
      <w:r>
        <w:rPr>
          <w:rFonts w:ascii="Segoe UI" w:hAnsi="Segoe UI"/>
          <w:color w:val="E2E8F0"/>
          <w:sz w:val="16"/>
        </w:rPr>
        <w:t>_________________________________________________________________________________</w:t>
      </w:r>
    </w:p>
    <w:p>
      <w:pPr>
        <w:keepNext/>
        <w:spacing w:before="360" w:after="120"/>
      </w:pPr>
      <w:r>
        <w:rPr>
          <w:rFonts w:ascii="Segoe UI" w:hAnsi="Segoe UI"/>
          <w:b/>
          <w:color w:val="1B365D"/>
          <w:sz w:val="30"/>
        </w:rPr>
        <w:t>19. Campaign Schedule and 12-Week Calendar</w:t>
      </w:r>
    </w:p>
    <w:p>
      <w:pPr>
        <w:spacing w:before="60" w:after="120" w:line="276" w:lineRule="auto"/>
      </w:pPr>
      <w:r>
        <w:rPr>
          <w:rFonts w:ascii="Segoe UI" w:hAnsi="Segoe UI"/>
          <w:color w:val="2D3748"/>
          <w:sz w:val="21"/>
        </w:rPr>
        <w:t>The 12-week campaign follows a structured sequence: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non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20"/>
              </w:rPr>
              <w:t>Week</w:t>
            </w:r>
          </w:p>
        </w:tc>
        <w:tc>
          <w:tcPr>
            <w:tcW w:type="dxa" w:w="2340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20"/>
              </w:rPr>
              <w:t>Focus Module</w:t>
            </w:r>
          </w:p>
        </w:tc>
        <w:tc>
          <w:tcPr>
            <w:tcW w:type="dxa" w:w="2340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20"/>
              </w:rPr>
              <w:t>Primary Activity &amp; Deliverable</w:t>
            </w:r>
          </w:p>
        </w:tc>
        <w:tc>
          <w:tcPr>
            <w:tcW w:type="dxa" w:w="2340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20"/>
              </w:rPr>
              <w:t>Target Success KPI</w:t>
            </w:r>
          </w:p>
        </w:tc>
      </w:tr>
      <w:tr>
        <w:tc>
          <w:tcPr>
            <w:tcW w:type="dxa" w:w="234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2D3748"/>
                <w:sz w:val="19"/>
              </w:rPr>
              <w:t>Week 1</w:t>
            </w:r>
          </w:p>
        </w:tc>
        <w:tc>
          <w:tcPr>
            <w:tcW w:type="dxa" w:w="234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D3748"/>
                <w:sz w:val="19"/>
              </w:rPr>
              <w:t>Campaign Launch &amp; Basics</w:t>
            </w:r>
          </w:p>
        </w:tc>
        <w:tc>
          <w:tcPr>
            <w:tcW w:type="dxa" w:w="234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D3748"/>
                <w:sz w:val="19"/>
              </w:rPr>
              <w:t>Executive Kickoff Video &amp; Intranet Launch</w:t>
            </w:r>
          </w:p>
        </w:tc>
        <w:tc>
          <w:tcPr>
            <w:tcW w:type="dxa" w:w="234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D3748"/>
                <w:sz w:val="19"/>
              </w:rPr>
              <w:t>95%+ Video view completion rate</w:t>
            </w:r>
          </w:p>
        </w:tc>
      </w:tr>
      <w:tr>
        <w:tc>
          <w:tcPr>
            <w:tcW w:type="dxa" w:w="2340"/>
            <w:shd w:fill="F7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2D3748"/>
                <w:sz w:val="19"/>
              </w:rPr>
              <w:t>Week 2</w:t>
            </w:r>
          </w:p>
        </w:tc>
        <w:tc>
          <w:tcPr>
            <w:tcW w:type="dxa" w:w="2340"/>
            <w:shd w:fill="F7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D3748"/>
                <w:sz w:val="19"/>
              </w:rPr>
              <w:t>Password Security &amp; Passphrases</w:t>
            </w:r>
          </w:p>
        </w:tc>
        <w:tc>
          <w:tcPr>
            <w:tcW w:type="dxa" w:w="2340"/>
            <w:shd w:fill="F7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D3748"/>
                <w:sz w:val="19"/>
              </w:rPr>
              <w:t>Passphrase Challenge &amp; Password Manager Clinic</w:t>
            </w:r>
          </w:p>
        </w:tc>
        <w:tc>
          <w:tcPr>
            <w:tcW w:type="dxa" w:w="2340"/>
            <w:shd w:fill="F7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D3748"/>
                <w:sz w:val="19"/>
              </w:rPr>
              <w:t>40% Increase in Enterprise Password Manager adoption</w:t>
            </w:r>
          </w:p>
        </w:tc>
      </w:tr>
      <w:tr>
        <w:tc>
          <w:tcPr>
            <w:tcW w:type="dxa" w:w="234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2D3748"/>
                <w:sz w:val="19"/>
              </w:rPr>
              <w:t>Week 3</w:t>
            </w:r>
          </w:p>
        </w:tc>
        <w:tc>
          <w:tcPr>
            <w:tcW w:type="dxa" w:w="234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D3748"/>
                <w:sz w:val="19"/>
              </w:rPr>
              <w:t>MFA &amp; FIDO2 Security</w:t>
            </w:r>
          </w:p>
        </w:tc>
        <w:tc>
          <w:tcPr>
            <w:tcW w:type="dxa" w:w="234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D3748"/>
                <w:sz w:val="19"/>
              </w:rPr>
              <w:t>FIDO2 Hardware Token Enrollment Drive</w:t>
            </w:r>
          </w:p>
        </w:tc>
        <w:tc>
          <w:tcPr>
            <w:tcW w:type="dxa" w:w="234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D3748"/>
                <w:sz w:val="19"/>
              </w:rPr>
              <w:t>100% Enrollment in FIDO2 hardware MFA</w:t>
            </w:r>
          </w:p>
        </w:tc>
      </w:tr>
      <w:tr>
        <w:tc>
          <w:tcPr>
            <w:tcW w:type="dxa" w:w="2340"/>
            <w:shd w:fill="F7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2D3748"/>
                <w:sz w:val="19"/>
              </w:rPr>
              <w:t>Week 4</w:t>
            </w:r>
          </w:p>
        </w:tc>
        <w:tc>
          <w:tcPr>
            <w:tcW w:type="dxa" w:w="2340"/>
            <w:shd w:fill="F7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D3748"/>
                <w:sz w:val="19"/>
              </w:rPr>
              <w:t>Phishing Recognition</w:t>
            </w:r>
          </w:p>
        </w:tc>
        <w:tc>
          <w:tcPr>
            <w:tcW w:type="dxa" w:w="2340"/>
            <w:shd w:fill="F7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D3748"/>
                <w:sz w:val="19"/>
              </w:rPr>
              <w:t>Baseline Simulated Phishing Campaign</w:t>
            </w:r>
          </w:p>
        </w:tc>
        <w:tc>
          <w:tcPr>
            <w:tcW w:type="dxa" w:w="2340"/>
            <w:shd w:fill="F7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D3748"/>
                <w:sz w:val="19"/>
              </w:rPr>
              <w:t>Click Rate &lt; 5%; Reporting Rate &gt; 70%</w:t>
            </w:r>
          </w:p>
        </w:tc>
      </w:tr>
      <w:tr>
        <w:tc>
          <w:tcPr>
            <w:tcW w:type="dxa" w:w="234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2D3748"/>
                <w:sz w:val="19"/>
              </w:rPr>
              <w:t>Week 5</w:t>
            </w:r>
          </w:p>
        </w:tc>
        <w:tc>
          <w:tcPr>
            <w:tcW w:type="dxa" w:w="234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D3748"/>
                <w:sz w:val="19"/>
              </w:rPr>
              <w:t>Social Engineering &amp; BEC</w:t>
            </w:r>
          </w:p>
        </w:tc>
        <w:tc>
          <w:tcPr>
            <w:tcW w:type="dxa" w:w="234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D3748"/>
                <w:sz w:val="19"/>
              </w:rPr>
              <w:t>Finance/HR BEC Role-Play Workshop</w:t>
            </w:r>
          </w:p>
        </w:tc>
        <w:tc>
          <w:tcPr>
            <w:tcW w:type="dxa" w:w="234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D3748"/>
                <w:sz w:val="19"/>
              </w:rPr>
              <w:t>100% Attendance for Finance &amp; HR teams</w:t>
            </w:r>
          </w:p>
        </w:tc>
      </w:tr>
      <w:tr>
        <w:tc>
          <w:tcPr>
            <w:tcW w:type="dxa" w:w="2340"/>
            <w:shd w:fill="F7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2D3748"/>
                <w:sz w:val="19"/>
              </w:rPr>
              <w:t>Week 6</w:t>
            </w:r>
          </w:p>
        </w:tc>
        <w:tc>
          <w:tcPr>
            <w:tcW w:type="dxa" w:w="2340"/>
            <w:shd w:fill="F7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D3748"/>
                <w:sz w:val="19"/>
              </w:rPr>
              <w:t>Safe Web &amp; Email Hygiene</w:t>
            </w:r>
          </w:p>
        </w:tc>
        <w:tc>
          <w:tcPr>
            <w:tcW w:type="dxa" w:w="2340"/>
            <w:shd w:fill="F7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D3748"/>
                <w:sz w:val="19"/>
              </w:rPr>
              <w:t>Interactive Web Safety Quiz &amp; Infographic</w:t>
            </w:r>
          </w:p>
        </w:tc>
        <w:tc>
          <w:tcPr>
            <w:tcW w:type="dxa" w:w="2340"/>
            <w:shd w:fill="F7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D3748"/>
                <w:sz w:val="19"/>
              </w:rPr>
              <w:t>Quiz completion rate &gt; 85%</w:t>
            </w:r>
          </w:p>
        </w:tc>
      </w:tr>
      <w:tr>
        <w:tc>
          <w:tcPr>
            <w:tcW w:type="dxa" w:w="234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2D3748"/>
                <w:sz w:val="19"/>
              </w:rPr>
              <w:t>Week 7</w:t>
            </w:r>
          </w:p>
        </w:tc>
        <w:tc>
          <w:tcPr>
            <w:tcW w:type="dxa" w:w="234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D3748"/>
                <w:sz w:val="19"/>
              </w:rPr>
              <w:t>Ransomware Evasion</w:t>
            </w:r>
          </w:p>
        </w:tc>
        <w:tc>
          <w:tcPr>
            <w:tcW w:type="dxa" w:w="234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D3748"/>
                <w:sz w:val="19"/>
              </w:rPr>
              <w:t>Developer/IT Secure Coding &amp; Macro Briefing</w:t>
            </w:r>
          </w:p>
        </w:tc>
        <w:tc>
          <w:tcPr>
            <w:tcW w:type="dxa" w:w="234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D3748"/>
                <w:sz w:val="19"/>
              </w:rPr>
              <w:t>Zero unapproved software installations</w:t>
            </w:r>
          </w:p>
        </w:tc>
      </w:tr>
      <w:tr>
        <w:tc>
          <w:tcPr>
            <w:tcW w:type="dxa" w:w="2340"/>
            <w:shd w:fill="F7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2D3748"/>
                <w:sz w:val="19"/>
              </w:rPr>
              <w:t>Week 8</w:t>
            </w:r>
          </w:p>
        </w:tc>
        <w:tc>
          <w:tcPr>
            <w:tcW w:type="dxa" w:w="2340"/>
            <w:shd w:fill="F7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D3748"/>
                <w:sz w:val="19"/>
              </w:rPr>
              <w:t>Data Protection &amp; Privacy</w:t>
            </w:r>
          </w:p>
        </w:tc>
        <w:tc>
          <w:tcPr>
            <w:tcW w:type="dxa" w:w="2340"/>
            <w:shd w:fill="F7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D3748"/>
                <w:sz w:val="19"/>
              </w:rPr>
              <w:t>Interactive Data Classification Game</w:t>
            </w:r>
          </w:p>
        </w:tc>
        <w:tc>
          <w:tcPr>
            <w:tcW w:type="dxa" w:w="2340"/>
            <w:shd w:fill="F7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D3748"/>
                <w:sz w:val="19"/>
              </w:rPr>
              <w:t>100% E-learning module completion</w:t>
            </w:r>
          </w:p>
        </w:tc>
      </w:tr>
      <w:tr>
        <w:tc>
          <w:tcPr>
            <w:tcW w:type="dxa" w:w="234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2D3748"/>
                <w:sz w:val="19"/>
              </w:rPr>
              <w:t>Week 9</w:t>
            </w:r>
          </w:p>
        </w:tc>
        <w:tc>
          <w:tcPr>
            <w:tcW w:type="dxa" w:w="234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D3748"/>
                <w:sz w:val="19"/>
              </w:rPr>
              <w:t>Device &amp; Remote Safety</w:t>
            </w:r>
          </w:p>
        </w:tc>
        <w:tc>
          <w:tcPr>
            <w:tcW w:type="dxa" w:w="234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D3748"/>
                <w:sz w:val="19"/>
              </w:rPr>
              <w:t>Remote Work Health-Check &amp; VPN Audit</w:t>
            </w:r>
          </w:p>
        </w:tc>
        <w:tc>
          <w:tcPr>
            <w:tcW w:type="dxa" w:w="234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D3748"/>
                <w:sz w:val="19"/>
              </w:rPr>
              <w:t>100% Endpoint encryption compliance</w:t>
            </w:r>
          </w:p>
        </w:tc>
      </w:tr>
      <w:tr>
        <w:tc>
          <w:tcPr>
            <w:tcW w:type="dxa" w:w="2340"/>
            <w:shd w:fill="F7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2D3748"/>
                <w:sz w:val="19"/>
              </w:rPr>
              <w:t>Week 10</w:t>
            </w:r>
          </w:p>
        </w:tc>
        <w:tc>
          <w:tcPr>
            <w:tcW w:type="dxa" w:w="2340"/>
            <w:shd w:fill="F7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D3748"/>
                <w:sz w:val="19"/>
              </w:rPr>
              <w:t>Incident Reporting Drive</w:t>
            </w:r>
          </w:p>
        </w:tc>
        <w:tc>
          <w:tcPr>
            <w:tcW w:type="dxa" w:w="2340"/>
            <w:shd w:fill="F7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D3748"/>
                <w:sz w:val="19"/>
              </w:rPr>
              <w:t>1-Click Phishing Report Button Drill</w:t>
            </w:r>
          </w:p>
        </w:tc>
        <w:tc>
          <w:tcPr>
            <w:tcW w:type="dxa" w:w="2340"/>
            <w:shd w:fill="F7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D3748"/>
                <w:sz w:val="19"/>
              </w:rPr>
              <w:t>Report button usage increase by 150%</w:t>
            </w:r>
          </w:p>
        </w:tc>
      </w:tr>
      <w:tr>
        <w:tc>
          <w:tcPr>
            <w:tcW w:type="dxa" w:w="234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2D3748"/>
                <w:sz w:val="19"/>
              </w:rPr>
              <w:t>Week 11</w:t>
            </w:r>
          </w:p>
        </w:tc>
        <w:tc>
          <w:tcPr>
            <w:tcW w:type="dxa" w:w="234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D3748"/>
                <w:sz w:val="19"/>
              </w:rPr>
              <w:t>Physical Security &amp; Clean Desk</w:t>
            </w:r>
          </w:p>
        </w:tc>
        <w:tc>
          <w:tcPr>
            <w:tcW w:type="dxa" w:w="234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D3748"/>
                <w:sz w:val="19"/>
              </w:rPr>
              <w:t>Physical Floor Sweep &amp; Badging Audit</w:t>
            </w:r>
          </w:p>
        </w:tc>
        <w:tc>
          <w:tcPr>
            <w:tcW w:type="dxa" w:w="234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D3748"/>
                <w:sz w:val="19"/>
              </w:rPr>
              <w:t>Zero exposed credentials / unlocked screens</w:t>
            </w:r>
          </w:p>
        </w:tc>
      </w:tr>
      <w:tr>
        <w:tc>
          <w:tcPr>
            <w:tcW w:type="dxa" w:w="2340"/>
            <w:shd w:fill="F7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2D3748"/>
                <w:sz w:val="19"/>
              </w:rPr>
              <w:t>Week 12</w:t>
            </w:r>
          </w:p>
        </w:tc>
        <w:tc>
          <w:tcPr>
            <w:tcW w:type="dxa" w:w="2340"/>
            <w:shd w:fill="F7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D3748"/>
                <w:sz w:val="19"/>
              </w:rPr>
              <w:t>Review &amp; Culture Awards</w:t>
            </w:r>
          </w:p>
        </w:tc>
        <w:tc>
          <w:tcPr>
            <w:tcW w:type="dxa" w:w="2340"/>
            <w:shd w:fill="F7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D3748"/>
                <w:sz w:val="19"/>
              </w:rPr>
              <w:t>Executive All-Hands &amp; Champion Ceremony</w:t>
            </w:r>
          </w:p>
        </w:tc>
        <w:tc>
          <w:tcPr>
            <w:tcW w:type="dxa" w:w="2340"/>
            <w:shd w:fill="F7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D3748"/>
                <w:sz w:val="19"/>
              </w:rPr>
              <w:t>SANS Maturity Score transition to Level 4</w:t>
            </w:r>
          </w:p>
        </w:tc>
      </w:tr>
    </w:tbl>
    <w:p>
      <w:pPr>
        <w:spacing w:before="0" w:after="160"/>
      </w:pPr>
    </w:p>
    <w:p>
      <w:pPr>
        <w:spacing w:before="160" w:after="240"/>
      </w:pPr>
      <w:r>
        <w:rPr>
          <w:rFonts w:ascii="Segoe UI" w:hAnsi="Segoe UI"/>
          <w:color w:val="E2E8F0"/>
          <w:sz w:val="16"/>
        </w:rPr>
        <w:t>_________________________________________________________________________________</w:t>
      </w:r>
    </w:p>
    <w:p>
      <w:pPr>
        <w:keepNext/>
        <w:spacing w:before="360" w:after="120"/>
      </w:pPr>
      <w:r>
        <w:rPr>
          <w:rFonts w:ascii="Segoe UI" w:hAnsi="Segoe UI"/>
          <w:b/>
          <w:color w:val="1B365D"/>
          <w:sz w:val="30"/>
        </w:rPr>
        <w:t>20. Measurement, KPIs and Effectiveness Evaluation</w:t>
      </w:r>
    </w:p>
    <w:p>
      <w:pPr>
        <w:spacing w:before="60" w:after="120" w:line="276" w:lineRule="auto"/>
      </w:pPr>
      <w:r>
        <w:rPr>
          <w:rFonts w:ascii="Segoe UI" w:hAnsi="Segoe UI"/>
          <w:color w:val="2D3748"/>
          <w:sz w:val="21"/>
        </w:rPr>
        <w:t xml:space="preserve">Program effectiveness is measured across quantitative behavioral metrics aligned with </w:t>
      </w:r>
      <w:r>
        <w:rPr>
          <w:rFonts w:ascii="Segoe UI" w:hAnsi="Segoe UI"/>
          <w:b/>
          <w:color w:val="2D3748"/>
          <w:sz w:val="21"/>
        </w:rPr>
        <w:t>NIST SP 800-50</w:t>
      </w:r>
      <w:r>
        <w:rPr>
          <w:rFonts w:ascii="Segoe UI" w:hAnsi="Segoe UI"/>
          <w:color w:val="2D3748"/>
          <w:sz w:val="21"/>
        </w:rPr>
        <w:t>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none"/>
          <w:left w:val="none"/>
          <w:right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20"/>
              </w:rPr>
              <w:t>Metric Domain</w:t>
            </w:r>
          </w:p>
        </w:tc>
        <w:tc>
          <w:tcPr>
            <w:tcW w:type="dxa" w:w="1872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20"/>
              </w:rPr>
              <w:t>Key Performance Indicator (KPI)</w:t>
            </w:r>
          </w:p>
        </w:tc>
        <w:tc>
          <w:tcPr>
            <w:tcW w:type="dxa" w:w="1872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20"/>
              </w:rPr>
              <w:t>Baseline</w:t>
            </w:r>
          </w:p>
        </w:tc>
        <w:tc>
          <w:tcPr>
            <w:tcW w:type="dxa" w:w="1872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20"/>
              </w:rPr>
              <w:t>Target Goal</w:t>
            </w:r>
          </w:p>
        </w:tc>
        <w:tc>
          <w:tcPr>
            <w:tcW w:type="dxa" w:w="1872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20"/>
              </w:rPr>
              <w:t>Measurement Frequency</w:t>
            </w:r>
          </w:p>
        </w:tc>
      </w:tr>
      <w:tr>
        <w:tc>
          <w:tcPr>
            <w:tcW w:type="dxa" w:w="187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2D3748"/>
                <w:sz w:val="19"/>
              </w:rPr>
              <w:t>Phishing Susceptibility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D3748"/>
                <w:sz w:val="19"/>
              </w:rPr>
              <w:t>Simulated Phishing Click-Through Rate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D3748"/>
                <w:sz w:val="19"/>
              </w:rPr>
              <w:t>18%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2D3748"/>
                <w:sz w:val="19"/>
              </w:rPr>
              <w:t>&lt; 5%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D3748"/>
                <w:sz w:val="19"/>
              </w:rPr>
              <w:t>Monthly Simulations</w:t>
            </w:r>
          </w:p>
        </w:tc>
      </w:tr>
      <w:tr>
        <w:tc>
          <w:tcPr>
            <w:tcW w:type="dxa" w:w="1872"/>
            <w:shd w:fill="F7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2D3748"/>
                <w:sz w:val="19"/>
              </w:rPr>
              <w:t>Threat Reporting</w:t>
            </w:r>
          </w:p>
        </w:tc>
        <w:tc>
          <w:tcPr>
            <w:tcW w:type="dxa" w:w="1872"/>
            <w:shd w:fill="F7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D3748"/>
                <w:sz w:val="19"/>
              </w:rPr>
              <w:t>Phishing Report Button Utilization Rate</w:t>
            </w:r>
          </w:p>
        </w:tc>
        <w:tc>
          <w:tcPr>
            <w:tcW w:type="dxa" w:w="1872"/>
            <w:shd w:fill="F7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D3748"/>
                <w:sz w:val="19"/>
              </w:rPr>
              <w:t>25%</w:t>
            </w:r>
          </w:p>
        </w:tc>
        <w:tc>
          <w:tcPr>
            <w:tcW w:type="dxa" w:w="1872"/>
            <w:shd w:fill="F7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2D3748"/>
                <w:sz w:val="19"/>
              </w:rPr>
              <w:t>&gt; 75%</w:t>
            </w:r>
          </w:p>
        </w:tc>
        <w:tc>
          <w:tcPr>
            <w:tcW w:type="dxa" w:w="1872"/>
            <w:shd w:fill="F7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D3748"/>
                <w:sz w:val="19"/>
              </w:rPr>
              <w:t>Continuous Real-Time</w:t>
            </w:r>
          </w:p>
        </w:tc>
      </w:tr>
      <w:tr>
        <w:tc>
          <w:tcPr>
            <w:tcW w:type="dxa" w:w="187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2D3748"/>
                <w:sz w:val="19"/>
              </w:rPr>
              <w:t>Reporting Speed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D3748"/>
                <w:sz w:val="19"/>
              </w:rPr>
              <w:t>Average Time to First Phishing Report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D3748"/>
                <w:sz w:val="19"/>
              </w:rPr>
              <w:t>4 Hours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2D3748"/>
                <w:sz w:val="19"/>
              </w:rPr>
              <w:t>&lt; 15 Minutes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D3748"/>
                <w:sz w:val="19"/>
              </w:rPr>
              <w:t>Monthly Simulations</w:t>
            </w:r>
          </w:p>
        </w:tc>
      </w:tr>
      <w:tr>
        <w:tc>
          <w:tcPr>
            <w:tcW w:type="dxa" w:w="1872"/>
            <w:shd w:fill="F7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2D3748"/>
                <w:sz w:val="19"/>
              </w:rPr>
              <w:t>Identity Hygiene</w:t>
            </w:r>
          </w:p>
        </w:tc>
        <w:tc>
          <w:tcPr>
            <w:tcW w:type="dxa" w:w="1872"/>
            <w:shd w:fill="F7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D3748"/>
                <w:sz w:val="19"/>
              </w:rPr>
              <w:t>Enterprise Password Manager Adoption</w:t>
            </w:r>
          </w:p>
        </w:tc>
        <w:tc>
          <w:tcPr>
            <w:tcW w:type="dxa" w:w="1872"/>
            <w:shd w:fill="F7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D3748"/>
                <w:sz w:val="19"/>
              </w:rPr>
              <w:t>35%</w:t>
            </w:r>
          </w:p>
        </w:tc>
        <w:tc>
          <w:tcPr>
            <w:tcW w:type="dxa" w:w="1872"/>
            <w:shd w:fill="F7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2D3748"/>
                <w:sz w:val="19"/>
              </w:rPr>
              <w:t>&gt; 90%</w:t>
            </w:r>
          </w:p>
        </w:tc>
        <w:tc>
          <w:tcPr>
            <w:tcW w:type="dxa" w:w="1872"/>
            <w:shd w:fill="F7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D3748"/>
                <w:sz w:val="19"/>
              </w:rPr>
              <w:t>Bi-Weekly Telemetry</w:t>
            </w:r>
          </w:p>
        </w:tc>
      </w:tr>
      <w:tr>
        <w:tc>
          <w:tcPr>
            <w:tcW w:type="dxa" w:w="187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2D3748"/>
                <w:sz w:val="19"/>
              </w:rPr>
              <w:t>MFA Compliance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D3748"/>
                <w:sz w:val="19"/>
              </w:rPr>
              <w:t>FIDO2 Hardware MFA Enrollment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D3748"/>
                <w:sz w:val="19"/>
              </w:rPr>
              <w:t>60%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2D3748"/>
                <w:sz w:val="19"/>
              </w:rPr>
              <w:t>100%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D3748"/>
                <w:sz w:val="19"/>
              </w:rPr>
              <w:t>Weekly Telemetry</w:t>
            </w:r>
          </w:p>
        </w:tc>
      </w:tr>
      <w:tr>
        <w:tc>
          <w:tcPr>
            <w:tcW w:type="dxa" w:w="1872"/>
            <w:shd w:fill="F7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2D3748"/>
                <w:sz w:val="19"/>
              </w:rPr>
              <w:t>Training Completion</w:t>
            </w:r>
          </w:p>
        </w:tc>
        <w:tc>
          <w:tcPr>
            <w:tcW w:type="dxa" w:w="1872"/>
            <w:shd w:fill="F7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D3748"/>
                <w:sz w:val="19"/>
              </w:rPr>
              <w:t>Micro-Module Completion Rate</w:t>
            </w:r>
          </w:p>
        </w:tc>
        <w:tc>
          <w:tcPr>
            <w:tcW w:type="dxa" w:w="1872"/>
            <w:shd w:fill="F7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D3748"/>
                <w:sz w:val="19"/>
              </w:rPr>
              <w:t>50%</w:t>
            </w:r>
          </w:p>
        </w:tc>
        <w:tc>
          <w:tcPr>
            <w:tcW w:type="dxa" w:w="1872"/>
            <w:shd w:fill="F7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2D3748"/>
                <w:sz w:val="19"/>
              </w:rPr>
              <w:t>&gt; 95%</w:t>
            </w:r>
          </w:p>
        </w:tc>
        <w:tc>
          <w:tcPr>
            <w:tcW w:type="dxa" w:w="1872"/>
            <w:shd w:fill="F7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D3748"/>
                <w:sz w:val="19"/>
              </w:rPr>
              <w:t>Monthly Tracking</w:t>
            </w:r>
          </w:p>
        </w:tc>
      </w:tr>
      <w:tr>
        <w:tc>
          <w:tcPr>
            <w:tcW w:type="dxa" w:w="187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2D3748"/>
                <w:sz w:val="19"/>
              </w:rPr>
              <w:t>Culture Maturity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D3748"/>
                <w:sz w:val="19"/>
              </w:rPr>
              <w:t>SANS Security Awareness Maturity Model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D3748"/>
                <w:sz w:val="19"/>
              </w:rPr>
              <w:t>Level 2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2D3748"/>
                <w:sz w:val="19"/>
              </w:rPr>
              <w:t>Level 4</w:t>
            </w:r>
          </w:p>
        </w:tc>
        <w:tc>
          <w:tcPr>
            <w:tcW w:type="dxa" w:w="187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D3748"/>
                <w:sz w:val="19"/>
              </w:rPr>
              <w:t>Annual Assessment</w:t>
            </w:r>
          </w:p>
        </w:tc>
      </w:tr>
    </w:tbl>
    <w:p>
      <w:pPr>
        <w:spacing w:before="0" w:after="160"/>
      </w:pPr>
    </w:p>
    <w:p>
      <w:pPr>
        <w:spacing w:before="160" w:after="240"/>
      </w:pPr>
      <w:r>
        <w:rPr>
          <w:rFonts w:ascii="Segoe UI" w:hAnsi="Segoe UI"/>
          <w:color w:val="E2E8F0"/>
          <w:sz w:val="16"/>
        </w:rPr>
        <w:t>_________________________________________________________________________________</w:t>
      </w:r>
    </w:p>
    <w:p>
      <w:pPr>
        <w:keepNext/>
        <w:spacing w:before="360" w:after="120"/>
      </w:pPr>
      <w:r>
        <w:rPr>
          <w:rFonts w:ascii="Segoe UI" w:hAnsi="Segoe UI"/>
          <w:b/>
          <w:color w:val="1B365D"/>
          <w:sz w:val="30"/>
        </w:rPr>
        <w:t>21. Roles and Responsibilities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none"/>
          <w:left w:val="none"/>
          <w:right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20"/>
              </w:rPr>
              <w:t>Role</w:t>
            </w:r>
          </w:p>
        </w:tc>
        <w:tc>
          <w:tcPr>
            <w:tcW w:type="dxa" w:w="3120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20"/>
              </w:rPr>
              <w:t>Primary Campaign Responsibilities</w:t>
            </w:r>
          </w:p>
        </w:tc>
        <w:tc>
          <w:tcPr>
            <w:tcW w:type="dxa" w:w="3120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20"/>
              </w:rPr>
              <w:t>Key Deliverables</w:t>
            </w:r>
          </w:p>
        </w:tc>
      </w:tr>
      <w:tr>
        <w:tc>
          <w:tcPr>
            <w:tcW w:type="dxa" w:w="312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2D3748"/>
                <w:sz w:val="19"/>
              </w:rPr>
              <w:t>CISO / Executive Sponsor</w:t>
            </w:r>
          </w:p>
        </w:tc>
        <w:tc>
          <w:tcPr>
            <w:tcW w:type="dxa" w:w="312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D3748"/>
                <w:sz w:val="19"/>
              </w:rPr>
              <w:t>Strategic oversight, budget approval, Town Hall presentations.</w:t>
            </w:r>
          </w:p>
        </w:tc>
        <w:tc>
          <w:tcPr>
            <w:tcW w:type="dxa" w:w="312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D3748"/>
                <w:sz w:val="19"/>
              </w:rPr>
              <w:t>Executive kickoff video; board updates.</w:t>
            </w:r>
          </w:p>
        </w:tc>
      </w:tr>
      <w:tr>
        <w:tc>
          <w:tcPr>
            <w:tcW w:type="dxa" w:w="3120"/>
            <w:shd w:fill="F7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2D3748"/>
                <w:sz w:val="19"/>
              </w:rPr>
              <w:t>Security Awareness Lead</w:t>
            </w:r>
          </w:p>
        </w:tc>
        <w:tc>
          <w:tcPr>
            <w:tcW w:type="dxa" w:w="3120"/>
            <w:shd w:fill="F7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D3748"/>
                <w:sz w:val="19"/>
              </w:rPr>
              <w:t>Overall campaign design, content creation, schedule management.</w:t>
            </w:r>
          </w:p>
        </w:tc>
        <w:tc>
          <w:tcPr>
            <w:tcW w:type="dxa" w:w="3120"/>
            <w:shd w:fill="F7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D3748"/>
                <w:sz w:val="19"/>
              </w:rPr>
              <w:t>12-Week content calendar; KPI reporting.</w:t>
            </w:r>
          </w:p>
        </w:tc>
      </w:tr>
      <w:tr>
        <w:tc>
          <w:tcPr>
            <w:tcW w:type="dxa" w:w="312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2D3748"/>
                <w:sz w:val="19"/>
              </w:rPr>
              <w:t>SOC / Technical Team</w:t>
            </w:r>
          </w:p>
        </w:tc>
        <w:tc>
          <w:tcPr>
            <w:tcW w:type="dxa" w:w="312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D3748"/>
                <w:sz w:val="19"/>
              </w:rPr>
              <w:t>Simulated phishing campaign execution; report button integration.</w:t>
            </w:r>
          </w:p>
        </w:tc>
        <w:tc>
          <w:tcPr>
            <w:tcW w:type="dxa" w:w="312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D3748"/>
                <w:sz w:val="19"/>
              </w:rPr>
              <w:t>Phishing simulation metrics; SIEM telemetry.</w:t>
            </w:r>
          </w:p>
        </w:tc>
      </w:tr>
      <w:tr>
        <w:tc>
          <w:tcPr>
            <w:tcW w:type="dxa" w:w="3120"/>
            <w:shd w:fill="F7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2D3748"/>
                <w:sz w:val="19"/>
              </w:rPr>
              <w:t>Corporate Communications</w:t>
            </w:r>
          </w:p>
        </w:tc>
        <w:tc>
          <w:tcPr>
            <w:tcW w:type="dxa" w:w="3120"/>
            <w:shd w:fill="F7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D3748"/>
                <w:sz w:val="19"/>
              </w:rPr>
              <w:t>Intranet design, email broadcasts, digital poster distribution.</w:t>
            </w:r>
          </w:p>
        </w:tc>
        <w:tc>
          <w:tcPr>
            <w:tcW w:type="dxa" w:w="3120"/>
            <w:shd w:fill="F7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D3748"/>
                <w:sz w:val="19"/>
              </w:rPr>
              <w:t>Weekly newsletter digests; intranet banners.</w:t>
            </w:r>
          </w:p>
        </w:tc>
      </w:tr>
      <w:tr>
        <w:tc>
          <w:tcPr>
            <w:tcW w:type="dxa" w:w="312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2D3748"/>
                <w:sz w:val="19"/>
              </w:rPr>
              <w:t>Security Champions</w:t>
            </w:r>
          </w:p>
        </w:tc>
        <w:tc>
          <w:tcPr>
            <w:tcW w:type="dxa" w:w="312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D3748"/>
                <w:sz w:val="19"/>
              </w:rPr>
              <w:t>Local department advocacy, peer mentoring, feedback collection.</w:t>
            </w:r>
          </w:p>
        </w:tc>
        <w:tc>
          <w:tcPr>
            <w:tcW w:type="dxa" w:w="312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Segoe UI" w:hAnsi="Segoe UI"/>
                <w:color w:val="2D3748"/>
                <w:sz w:val="19"/>
              </w:rPr>
              <w:t>Departmental Q&amp;A sessions; clean desk sweeps.</w:t>
            </w:r>
          </w:p>
        </w:tc>
      </w:tr>
    </w:tbl>
    <w:p>
      <w:pPr>
        <w:spacing w:before="0" w:after="160"/>
      </w:pPr>
    </w:p>
    <w:p>
      <w:pPr>
        <w:spacing w:before="160" w:after="240"/>
      </w:pPr>
      <w:r>
        <w:rPr>
          <w:rFonts w:ascii="Segoe UI" w:hAnsi="Segoe UI"/>
          <w:color w:val="E2E8F0"/>
          <w:sz w:val="16"/>
        </w:rPr>
        <w:t>_________________________________________________________________________________</w:t>
      </w:r>
    </w:p>
    <w:p>
      <w:pPr>
        <w:keepNext/>
        <w:spacing w:before="360" w:after="120"/>
      </w:pPr>
      <w:r>
        <w:rPr>
          <w:rFonts w:ascii="Segoe UI" w:hAnsi="Segoe UI"/>
          <w:b/>
          <w:color w:val="1B365D"/>
          <w:sz w:val="30"/>
        </w:rPr>
        <w:t>22. Implementation Plan</w:t>
      </w:r>
    </w:p>
    <w:p>
      <w:pPr>
        <w:keepNext/>
        <w:spacing w:before="280" w:after="80"/>
      </w:pPr>
      <w:r>
        <w:rPr>
          <w:rFonts w:ascii="Segoe UI" w:hAnsi="Segoe UI"/>
          <w:b/>
          <w:color w:val="2B6CB0"/>
          <w:sz w:val="25"/>
        </w:rPr>
        <w:t>22.1 Execution Phases:</w:t>
      </w:r>
    </w:p>
    <w:p>
      <w:pPr>
        <w:spacing w:before="60" w:after="80"/>
        <w:ind w:left="360"/>
      </w:pPr>
      <w:r>
        <w:rPr>
          <w:rFonts w:ascii="Segoe UI" w:hAnsi="Segoe UI"/>
          <w:b/>
          <w:color w:val="1B365D"/>
          <w:sz w:val="21"/>
        </w:rPr>
        <w:t xml:space="preserve">1.  </w:t>
      </w:r>
      <w:r>
        <w:rPr>
          <w:rFonts w:ascii="Segoe UI" w:hAnsi="Segoe UI"/>
          <w:b/>
          <w:color w:val="2D3748"/>
          <w:sz w:val="21"/>
        </w:rPr>
        <w:t>Phase 1: Preparation (Weeks -4 to 0):</w:t>
      </w:r>
      <w:r>
        <w:rPr>
          <w:rFonts w:ascii="Segoe UI" w:hAnsi="Segoe UI"/>
          <w:color w:val="2D3748"/>
          <w:sz w:val="21"/>
        </w:rPr>
        <w:t xml:space="preserve"> Develop content modules, integrate 1-click Outlook report button, baseline simulated phishing run, and record executive video messages.</w:t>
      </w:r>
    </w:p>
    <w:p>
      <w:pPr>
        <w:spacing w:before="60" w:after="80"/>
        <w:ind w:left="360"/>
      </w:pPr>
      <w:r>
        <w:rPr>
          <w:rFonts w:ascii="Segoe UI" w:hAnsi="Segoe UI"/>
          <w:b/>
          <w:color w:val="1B365D"/>
          <w:sz w:val="21"/>
        </w:rPr>
        <w:t xml:space="preserve">2.  </w:t>
      </w:r>
      <w:r>
        <w:rPr>
          <w:rFonts w:ascii="Segoe UI" w:hAnsi="Segoe UI"/>
          <w:b/>
          <w:color w:val="2D3748"/>
          <w:sz w:val="21"/>
        </w:rPr>
        <w:t>Phase 2: Execution (Weeks 1 to 12):</w:t>
      </w:r>
      <w:r>
        <w:rPr>
          <w:rFonts w:ascii="Segoe UI" w:hAnsi="Segoe UI"/>
          <w:color w:val="2D3748"/>
          <w:sz w:val="21"/>
        </w:rPr>
        <w:t xml:space="preserve"> Roll out weekly awareness themes, launch monthly micro-learning modules, conduct simulated phishing drills, and execute gamified contests.</w:t>
      </w:r>
    </w:p>
    <w:p>
      <w:pPr>
        <w:spacing w:before="60" w:after="80"/>
        <w:ind w:left="360"/>
      </w:pPr>
      <w:r>
        <w:rPr>
          <w:rFonts w:ascii="Segoe UI" w:hAnsi="Segoe UI"/>
          <w:b/>
          <w:color w:val="1B365D"/>
          <w:sz w:val="21"/>
        </w:rPr>
        <w:t xml:space="preserve">3.  </w:t>
      </w:r>
      <w:r>
        <w:rPr>
          <w:rFonts w:ascii="Segoe UI" w:hAnsi="Segoe UI"/>
          <w:b/>
          <w:color w:val="2D3748"/>
          <w:sz w:val="21"/>
        </w:rPr>
        <w:t>Phase 3: Evaluation (Weeks 13 to 14):</w:t>
      </w:r>
      <w:r>
        <w:rPr>
          <w:rFonts w:ascii="Segoe UI" w:hAnsi="Segoe UI"/>
          <w:color w:val="2D3748"/>
          <w:sz w:val="21"/>
        </w:rPr>
        <w:t xml:space="preserve"> Analyze KPI metrics, evaluate SANS maturity level, publish CISO Executive Summary, and transition to continuous annual awareness cycles.</w:t>
      </w:r>
    </w:p>
    <w:p>
      <w:pPr>
        <w:spacing w:before="160" w:after="240"/>
      </w:pPr>
      <w:r>
        <w:rPr>
          <w:rFonts w:ascii="Segoe UI" w:hAnsi="Segoe UI"/>
          <w:color w:val="E2E8F0"/>
          <w:sz w:val="16"/>
        </w:rPr>
        <w:t>_________________________________________________________________________________</w:t>
      </w:r>
    </w:p>
    <w:p>
      <w:pPr>
        <w:keepNext/>
        <w:spacing w:before="360" w:after="120"/>
      </w:pPr>
      <w:r>
        <w:rPr>
          <w:rFonts w:ascii="Segoe UI" w:hAnsi="Segoe UI"/>
          <w:b/>
          <w:color w:val="1B365D"/>
          <w:sz w:val="30"/>
        </w:rPr>
        <w:t>23. Conclusion</w:t>
      </w:r>
    </w:p>
    <w:p>
      <w:pPr>
        <w:spacing w:before="60" w:after="120" w:line="276" w:lineRule="auto"/>
      </w:pPr>
      <w:r>
        <w:rPr>
          <w:rFonts w:ascii="Segoe UI" w:hAnsi="Segoe UI"/>
          <w:color w:val="2D3748"/>
          <w:sz w:val="21"/>
        </w:rPr>
        <w:t xml:space="preserve">The 12-Week Security Awareness Campaign Plan provides </w:t>
      </w:r>
      <w:r>
        <w:rPr>
          <w:rFonts w:ascii="Segoe UI" w:hAnsi="Segoe UI"/>
          <w:b/>
          <w:color w:val="2D3748"/>
          <w:sz w:val="21"/>
        </w:rPr>
        <w:t>Apex Global Technologies</w:t>
      </w:r>
      <w:r>
        <w:rPr>
          <w:rFonts w:ascii="Segoe UI" w:hAnsi="Segoe UI"/>
          <w:color w:val="2D3748"/>
          <w:sz w:val="21"/>
        </w:rPr>
        <w:t xml:space="preserve"> with a structured, engaging, and measurable framework to transform workforce behavior. By aligning campaign pillars with </w:t>
      </w:r>
      <w:r>
        <w:rPr>
          <w:rFonts w:ascii="Segoe UI" w:hAnsi="Segoe UI"/>
          <w:b/>
          <w:color w:val="2D3748"/>
          <w:sz w:val="21"/>
        </w:rPr>
        <w:t>CISA's "Secure Our World"</w:t>
      </w:r>
      <w:r>
        <w:rPr>
          <w:rFonts w:ascii="Segoe UI" w:hAnsi="Segoe UI"/>
          <w:color w:val="2D3748"/>
          <w:sz w:val="21"/>
        </w:rPr>
        <w:t xml:space="preserve">, </w:t>
      </w:r>
      <w:r>
        <w:rPr>
          <w:rFonts w:ascii="Segoe UI" w:hAnsi="Segoe UI"/>
          <w:b/>
          <w:color w:val="2D3748"/>
          <w:sz w:val="21"/>
        </w:rPr>
        <w:t>NIST SP 800-50</w:t>
      </w:r>
      <w:r>
        <w:rPr>
          <w:rFonts w:ascii="Segoe UI" w:hAnsi="Segoe UI"/>
          <w:color w:val="2D3748"/>
          <w:sz w:val="21"/>
        </w:rPr>
        <w:t xml:space="preserve">, and </w:t>
      </w:r>
      <w:r>
        <w:rPr>
          <w:rFonts w:ascii="Segoe UI" w:hAnsi="Segoe UI"/>
          <w:b/>
          <w:color w:val="2D3748"/>
          <w:sz w:val="21"/>
        </w:rPr>
        <w:t>NIST SP 800-53</w:t>
      </w:r>
      <w:r>
        <w:rPr>
          <w:rFonts w:ascii="Segoe UI" w:hAnsi="Segoe UI"/>
          <w:color w:val="2D3748"/>
          <w:sz w:val="21"/>
        </w:rPr>
        <w:t>, the organization reduces human threat susceptibility, accelerates incident reporting timelines, and builds an enduring culture of security resilience.</w:t>
      </w:r>
    </w:p>
    <w:p>
      <w:pPr>
        <w:spacing w:before="160" w:after="240"/>
      </w:pPr>
      <w:r>
        <w:rPr>
          <w:rFonts w:ascii="Segoe UI" w:hAnsi="Segoe UI"/>
          <w:color w:val="E2E8F0"/>
          <w:sz w:val="16"/>
        </w:rPr>
        <w:t>_________________________________________________________________________________</w:t>
      </w:r>
    </w:p>
    <w:p>
      <w:pPr>
        <w:keepNext/>
        <w:spacing w:before="360" w:after="120"/>
      </w:pPr>
      <w:r>
        <w:rPr>
          <w:rFonts w:ascii="Segoe UI" w:hAnsi="Segoe UI"/>
          <w:b/>
          <w:color w:val="1B365D"/>
          <w:sz w:val="30"/>
        </w:rPr>
        <w:t>24. References</w:t>
      </w:r>
    </w:p>
    <w:p>
      <w:pPr>
        <w:spacing w:before="60" w:after="80"/>
        <w:ind w:left="360"/>
      </w:pPr>
      <w:r>
        <w:rPr>
          <w:rFonts w:ascii="Segoe UI" w:hAnsi="Segoe UI"/>
          <w:b/>
          <w:color w:val="1B365D"/>
          <w:sz w:val="21"/>
        </w:rPr>
        <w:t xml:space="preserve">1.  </w:t>
      </w:r>
      <w:r>
        <w:rPr>
          <w:rFonts w:ascii="Segoe UI" w:hAnsi="Segoe UI"/>
          <w:b/>
          <w:color w:val="2D3748"/>
          <w:sz w:val="21"/>
        </w:rPr>
        <w:t>Cybersecurity and Infrastructure Security Agency (CISA).</w:t>
      </w:r>
      <w:r>
        <w:rPr>
          <w:rFonts w:ascii="Segoe UI" w:hAnsi="Segoe UI"/>
          <w:color w:val="2D3748"/>
          <w:sz w:val="21"/>
        </w:rPr>
        <w:t xml:space="preserve"> (2023). </w:t>
      </w:r>
      <w:r>
        <w:rPr>
          <w:rFonts w:ascii="Segoe UI" w:hAnsi="Segoe UI"/>
          <w:i/>
          <w:color w:val="2D3748"/>
          <w:sz w:val="21"/>
        </w:rPr>
        <w:t>Secure Our World Public Awareness Campaign</w:t>
      </w:r>
      <w:r>
        <w:rPr>
          <w:rFonts w:ascii="Segoe UI" w:hAnsi="Segoe UI"/>
          <w:color w:val="2D3748"/>
          <w:sz w:val="21"/>
        </w:rPr>
        <w:t xml:space="preserve">. U.S. Department of Homeland Security. </w:t>
      </w:r>
      <w:r>
        <w:rPr>
          <w:rFonts w:ascii="Segoe UI" w:hAnsi="Segoe UI"/>
          <w:color w:val="1B365D"/>
          <w:sz w:val="21"/>
          <w:u w:val="single"/>
        </w:rPr>
        <w:t>https://www.cisa.gov/secure-our-world (https://www.cisa.gov/secure-our-world)</w:t>
      </w:r>
    </w:p>
    <w:p>
      <w:pPr>
        <w:spacing w:before="60" w:after="80"/>
        <w:ind w:left="360"/>
      </w:pPr>
      <w:r>
        <w:rPr>
          <w:rFonts w:ascii="Segoe UI" w:hAnsi="Segoe UI"/>
          <w:b/>
          <w:color w:val="1B365D"/>
          <w:sz w:val="21"/>
        </w:rPr>
        <w:t xml:space="preserve">2.  </w:t>
      </w:r>
      <w:r>
        <w:rPr>
          <w:rFonts w:ascii="Segoe UI" w:hAnsi="Segoe UI"/>
          <w:b/>
          <w:color w:val="2D3748"/>
          <w:sz w:val="21"/>
        </w:rPr>
        <w:t>National Institute of Standards and Technology (NIST).</w:t>
      </w:r>
      <w:r>
        <w:rPr>
          <w:rFonts w:ascii="Segoe UI" w:hAnsi="Segoe UI"/>
          <w:color w:val="2D3748"/>
          <w:sz w:val="21"/>
        </w:rPr>
        <w:t xml:space="preserve"> (2003). </w:t>
      </w:r>
      <w:r>
        <w:rPr>
          <w:rFonts w:ascii="Segoe UI" w:hAnsi="Segoe UI"/>
          <w:i/>
          <w:color w:val="2D3748"/>
          <w:sz w:val="21"/>
        </w:rPr>
        <w:t>Building an Information Technology Security Awareness and Training Program</w:t>
      </w:r>
      <w:r>
        <w:rPr>
          <w:rFonts w:ascii="Segoe UI" w:hAnsi="Segoe UI"/>
          <w:color w:val="2D3748"/>
          <w:sz w:val="21"/>
        </w:rPr>
        <w:t xml:space="preserve">. NIST Special Publication 800-50. U.S. Department of Commerce. </w:t>
      </w:r>
      <w:r>
        <w:rPr>
          <w:rFonts w:ascii="Segoe UI" w:hAnsi="Segoe UI"/>
          <w:color w:val="1B365D"/>
          <w:sz w:val="21"/>
          <w:u w:val="single"/>
        </w:rPr>
        <w:t>https://csrc.nist.gov/publications/detail/sp/800-50/final (https://csrc.nist.gov/publications/detail/sp/800-50/final)</w:t>
      </w:r>
    </w:p>
    <w:p>
      <w:pPr>
        <w:spacing w:before="60" w:after="80"/>
        <w:ind w:left="360"/>
      </w:pPr>
      <w:r>
        <w:rPr>
          <w:rFonts w:ascii="Segoe UI" w:hAnsi="Segoe UI"/>
          <w:b/>
          <w:color w:val="1B365D"/>
          <w:sz w:val="21"/>
        </w:rPr>
        <w:t xml:space="preserve">3.  </w:t>
      </w:r>
      <w:r>
        <w:rPr>
          <w:rFonts w:ascii="Segoe UI" w:hAnsi="Segoe UI"/>
          <w:b/>
          <w:color w:val="2D3748"/>
          <w:sz w:val="21"/>
        </w:rPr>
        <w:t>National Institute of Standards and Technology (NIST).</w:t>
      </w:r>
      <w:r>
        <w:rPr>
          <w:rFonts w:ascii="Segoe UI" w:hAnsi="Segoe UI"/>
          <w:color w:val="2D3748"/>
          <w:sz w:val="21"/>
        </w:rPr>
        <w:t xml:space="preserve"> (2020). </w:t>
      </w:r>
      <w:r>
        <w:rPr>
          <w:rFonts w:ascii="Segoe UI" w:hAnsi="Segoe UI"/>
          <w:i/>
          <w:color w:val="2D3748"/>
          <w:sz w:val="21"/>
        </w:rPr>
        <w:t>Security and Privacy Controls for Information Systems and Organizations</w:t>
      </w:r>
      <w:r>
        <w:rPr>
          <w:rFonts w:ascii="Segoe UI" w:hAnsi="Segoe UI"/>
          <w:color w:val="2D3748"/>
          <w:sz w:val="21"/>
        </w:rPr>
        <w:t xml:space="preserve">. NIST Special Publication 800-53 Revision 5 (Awareness &amp; Training Control Family AT-1 to AT-4). </w:t>
      </w:r>
      <w:r>
        <w:rPr>
          <w:rFonts w:ascii="Segoe UI" w:hAnsi="Segoe UI"/>
          <w:color w:val="1B365D"/>
          <w:sz w:val="21"/>
          <w:u w:val="single"/>
        </w:rPr>
        <w:t>https://csrc.nist.gov/publications/detail/sp/800-53/rev-5/final (https://csrc.nist.gov/publications/detail/sp/800-53/rev-5/final)</w:t>
      </w:r>
    </w:p>
    <w:p>
      <w:pPr>
        <w:spacing w:before="60" w:after="80"/>
        <w:ind w:left="360"/>
      </w:pPr>
      <w:r>
        <w:rPr>
          <w:rFonts w:ascii="Segoe UI" w:hAnsi="Segoe UI"/>
          <w:b/>
          <w:color w:val="1B365D"/>
          <w:sz w:val="21"/>
        </w:rPr>
        <w:t xml:space="preserve">4.  </w:t>
      </w:r>
      <w:r>
        <w:rPr>
          <w:rFonts w:ascii="Segoe UI" w:hAnsi="Segoe UI"/>
          <w:b/>
          <w:color w:val="2D3748"/>
          <w:sz w:val="21"/>
        </w:rPr>
        <w:t>SANS Institute.</w:t>
      </w:r>
      <w:r>
        <w:rPr>
          <w:rFonts w:ascii="Segoe UI" w:hAnsi="Segoe UI"/>
          <w:color w:val="2D3748"/>
          <w:sz w:val="21"/>
        </w:rPr>
        <w:t xml:space="preserve"> (2023). </w:t>
      </w:r>
      <w:r>
        <w:rPr>
          <w:rFonts w:ascii="Segoe UI" w:hAnsi="Segoe UI"/>
          <w:i/>
          <w:color w:val="2D3748"/>
          <w:sz w:val="21"/>
        </w:rPr>
        <w:t>SANS Security Awareness Maturity Model</w:t>
      </w:r>
      <w:r>
        <w:rPr>
          <w:rFonts w:ascii="Segoe UI" w:hAnsi="Segoe UI"/>
          <w:color w:val="2D3748"/>
          <w:sz w:val="21"/>
        </w:rPr>
        <w:t xml:space="preserve">. SANS Security Awareness. </w:t>
      </w:r>
      <w:r>
        <w:rPr>
          <w:rFonts w:ascii="Segoe UI" w:hAnsi="Segoe UI"/>
          <w:color w:val="1B365D"/>
          <w:sz w:val="21"/>
          <w:u w:val="single"/>
        </w:rPr>
        <w:t>https://www.sans.org/security-awareness-training/ (https://www.sans.org/security-awareness-training/)</w:t>
      </w:r>
    </w:p>
    <w:p>
      <w:pPr>
        <w:spacing w:before="60" w:after="80"/>
        <w:ind w:left="360"/>
      </w:pPr>
      <w:r>
        <w:rPr>
          <w:rFonts w:ascii="Segoe UI" w:hAnsi="Segoe UI"/>
          <w:b/>
          <w:color w:val="1B365D"/>
          <w:sz w:val="21"/>
        </w:rPr>
        <w:t xml:space="preserve">5.  </w:t>
      </w:r>
      <w:r>
        <w:rPr>
          <w:rFonts w:ascii="Segoe UI" w:hAnsi="Segoe UI"/>
          <w:b/>
          <w:color w:val="2D3748"/>
          <w:sz w:val="21"/>
        </w:rPr>
        <w:t>Cybersecurity and Infrastructure Security Agency (CISA).</w:t>
      </w:r>
      <w:r>
        <w:rPr>
          <w:rFonts w:ascii="Segoe UI" w:hAnsi="Segoe UI"/>
          <w:color w:val="2D3748"/>
          <w:sz w:val="21"/>
        </w:rPr>
        <w:t xml:space="preserve"> (2024). </w:t>
      </w:r>
      <w:r>
        <w:rPr>
          <w:rFonts w:ascii="Segoe UI" w:hAnsi="Segoe UI"/>
          <w:i/>
          <w:color w:val="2D3748"/>
          <w:sz w:val="21"/>
        </w:rPr>
        <w:t>Phishing Guidance and Phishing-Resistant Multi-Factor Authentication Advisories</w:t>
      </w:r>
      <w:r>
        <w:rPr>
          <w:rFonts w:ascii="Segoe UI" w:hAnsi="Segoe UI"/>
          <w:color w:val="2D3748"/>
          <w:sz w:val="21"/>
        </w:rPr>
        <w:t xml:space="preserve">. </w:t>
      </w:r>
      <w:r>
        <w:rPr>
          <w:rFonts w:ascii="Segoe UI" w:hAnsi="Segoe UI"/>
          <w:color w:val="1B365D"/>
          <w:sz w:val="21"/>
          <w:u w:val="single"/>
        </w:rPr>
        <w:t>https://www.cisa.gov/phishing (https://www.cisa.gov/phishing)</w:t>
      </w:r>
    </w:p>
    <w:p>
      <w:pPr>
        <w:spacing w:before="60" w:after="80"/>
        <w:ind w:left="360"/>
      </w:pPr>
      <w:r>
        <w:rPr>
          <w:rFonts w:ascii="Segoe UI" w:hAnsi="Segoe UI"/>
          <w:b/>
          <w:color w:val="1B365D"/>
          <w:sz w:val="21"/>
        </w:rPr>
        <w:t xml:space="preserve">6.  </w:t>
      </w:r>
      <w:r>
        <w:rPr>
          <w:rFonts w:ascii="Segoe UI" w:hAnsi="Segoe UI"/>
          <w:b/>
          <w:color w:val="2D3748"/>
          <w:sz w:val="21"/>
        </w:rPr>
        <w:t>National Institute of Standards and Technology (NIST).</w:t>
      </w:r>
      <w:r>
        <w:rPr>
          <w:rFonts w:ascii="Segoe UI" w:hAnsi="Segoe UI"/>
          <w:color w:val="2D3748"/>
          <w:sz w:val="21"/>
        </w:rPr>
        <w:t xml:space="preserve"> (2024). </w:t>
      </w:r>
      <w:r>
        <w:rPr>
          <w:rFonts w:ascii="Segoe UI" w:hAnsi="Segoe UI"/>
          <w:i/>
          <w:color w:val="2D3748"/>
          <w:sz w:val="21"/>
        </w:rPr>
        <w:t>Digital Identity Guidelines: Authentication and Lifecycle Management</w:t>
      </w:r>
      <w:r>
        <w:rPr>
          <w:rFonts w:ascii="Segoe UI" w:hAnsi="Segoe UI"/>
          <w:color w:val="2D3748"/>
          <w:sz w:val="21"/>
        </w:rPr>
        <w:t xml:space="preserve">. NIST Special Publication 800-63B. </w:t>
      </w:r>
      <w:r>
        <w:rPr>
          <w:rFonts w:ascii="Segoe UI" w:hAnsi="Segoe UI"/>
          <w:color w:val="1B365D"/>
          <w:sz w:val="21"/>
          <w:u w:val="single"/>
        </w:rPr>
        <w:t>https://pages.nist.gov/800-63-3/sp800-63b.html (https://pages.nist.gov/800-63-3/sp800-63b.html)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Segoe UI" w:hAnsi="Segoe UI"/>
        <w:color w:val="718096"/>
        <w:sz w:val="18"/>
      </w:rPr>
      <w:t xml:space="preserve">Security Awareness Campaign Plan  |  Page </w:t>
    </w:r>
    <w:r>
      <w:fldChar w:fldCharType="begin"/>
      <w:instrText xml:space="preserve"> PAGE </w:instrText>
      <w:fldChar w:fldCharType="separate"/>
      <w:fldChar w:fldCharType="end"/>
    </w:r>
    <w:r>
      <w:rPr>
        <w:rFonts w:ascii="Segoe UI" w:hAnsi="Segoe UI"/>
        <w:color w:val="718096"/>
        <w:sz w:val="18"/>
      </w:rPr>
      <w:t xml:space="preserve"> of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Segoe UI" w:hAnsi="Segoe UI"/>
        <w:color w:val="718096"/>
        <w:sz w:val="17"/>
      </w:rPr>
      <w:t>YuvaIntern Cyber Security Analyst Internship  |  Week 4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