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t xml:space="preserve">herby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639770"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639771"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 xml:space="preserve">from a </w:t>
      </w:r>
      <w:r w:rsidR="002E545D">
        <w:rPr>
          <w:rFonts w:ascii="Arial" w:hAnsi="Arial" w:cs="Arial"/>
          <w:sz w:val="20"/>
          <w:szCs w:val="20"/>
        </w:rPr>
        <w:t>somewhat more sophisticated proof-of-concept</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1" w:name="RBA"/>
      <w:bookmarkEnd w:id="1"/>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2" w:name="SEO"/>
      <w:bookmarkEnd w:id="2"/>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639772"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2E545D" w:rsidRDefault="002E545D" w:rsidP="00C17D8A">
      <w:pPr>
        <w:spacing w:after="0"/>
        <w:rPr>
          <w:rFonts w:ascii="Arial" w:hAnsi="Arial" w:cs="Arial"/>
          <w:sz w:val="20"/>
          <w:szCs w:val="20"/>
        </w:rPr>
      </w:pPr>
    </w:p>
    <w:p w:rsidR="002E545D" w:rsidRDefault="002E545D" w:rsidP="003F6EFB">
      <w:pPr>
        <w:spacing w:after="120"/>
        <w:rPr>
          <w:rFonts w:ascii="Arial" w:hAnsi="Arial" w:cs="Arial"/>
          <w:sz w:val="20"/>
          <w:szCs w:val="20"/>
        </w:rPr>
      </w:pPr>
      <w:r>
        <w:rPr>
          <w:rFonts w:ascii="Arial" w:hAnsi="Arial" w:cs="Arial"/>
          <w:sz w:val="20"/>
          <w:szCs w:val="20"/>
        </w:rPr>
        <w:t>However, non-direct payment requests also need dedicated UI support, at least if using the integrated concept described in this document.  If for example a gas station payment is to be performed</w:t>
      </w:r>
      <w:r w:rsidR="00C23D6E">
        <w:rPr>
          <w:rFonts w:ascii="Arial" w:hAnsi="Arial" w:cs="Arial"/>
          <w:sz w:val="20"/>
          <w:szCs w:val="20"/>
        </w:rPr>
        <w:t>,</w:t>
      </w:r>
      <w:r>
        <w:rPr>
          <w:rFonts w:ascii="Arial" w:hAnsi="Arial" w:cs="Arial"/>
          <w:sz w:val="20"/>
          <w:szCs w:val="20"/>
        </w:rPr>
        <w:t xml:space="preserve"> the Wallet will </w:t>
      </w:r>
      <w:r w:rsidR="00C23D6E">
        <w:rPr>
          <w:rFonts w:ascii="Arial" w:hAnsi="Arial" w:cs="Arial"/>
          <w:sz w:val="20"/>
          <w:szCs w:val="20"/>
        </w:rPr>
        <w:t>display</w:t>
      </w:r>
      <w:r>
        <w:rPr>
          <w:rFonts w:ascii="Arial" w:hAnsi="Arial" w:cs="Arial"/>
          <w:sz w:val="20"/>
          <w:szCs w:val="20"/>
        </w:rPr>
        <w:t xml:space="preserve"> an amount which typically is much higher than the actual amount because </w:t>
      </w:r>
      <w:r w:rsidR="00C23D6E">
        <w:rPr>
          <w:rFonts w:ascii="Arial" w:hAnsi="Arial" w:cs="Arial"/>
          <w:sz w:val="20"/>
          <w:szCs w:val="20"/>
        </w:rPr>
        <w:t>an automated</w:t>
      </w:r>
      <w:r>
        <w:rPr>
          <w:rFonts w:ascii="Arial" w:hAnsi="Arial" w:cs="Arial"/>
          <w:sz w:val="20"/>
          <w:szCs w:val="20"/>
        </w:rPr>
        <w:t xml:space="preserve"> gas station can’t know the </w:t>
      </w:r>
      <w:r w:rsidR="00C23D6E">
        <w:rPr>
          <w:rFonts w:ascii="Arial" w:hAnsi="Arial" w:cs="Arial"/>
          <w:sz w:val="20"/>
          <w:szCs w:val="20"/>
        </w:rPr>
        <w:t xml:space="preserve">fuel </w:t>
      </w:r>
      <w:bookmarkStart w:id="3" w:name="_GoBack"/>
      <w:bookmarkEnd w:id="3"/>
      <w:r>
        <w:rPr>
          <w:rFonts w:ascii="Arial" w:hAnsi="Arial" w:cs="Arial"/>
          <w:sz w:val="20"/>
          <w:szCs w:val="20"/>
        </w:rPr>
        <w:t xml:space="preserve">quantity in advance.  The UI </w:t>
      </w:r>
      <w:r w:rsidR="00337FD8">
        <w:rPr>
          <w:rFonts w:ascii="Arial" w:hAnsi="Arial" w:cs="Arial"/>
          <w:sz w:val="20"/>
          <w:szCs w:val="20"/>
        </w:rPr>
        <w:t xml:space="preserve">extract </w:t>
      </w:r>
      <w:r>
        <w:rPr>
          <w:rFonts w:ascii="Arial" w:hAnsi="Arial" w:cs="Arial"/>
          <w:sz w:val="20"/>
          <w:szCs w:val="20"/>
        </w:rPr>
        <w:t>below shows a possible solution:</w:t>
      </w:r>
    </w:p>
    <w:p w:rsidR="002E545D" w:rsidRDefault="00F53CB6" w:rsidP="003F6EFB">
      <w:pPr>
        <w:spacing w:after="0"/>
        <w:jc w:val="center"/>
        <w:rPr>
          <w:rFonts w:ascii="Arial" w:hAnsi="Arial" w:cs="Arial"/>
          <w:sz w:val="20"/>
          <w:szCs w:val="20"/>
        </w:rPr>
      </w:pPr>
      <w:r w:rsidRPr="003F6EFB">
        <w:rPr>
          <w:rFonts w:ascii="Arial" w:hAnsi="Arial" w:cs="Arial"/>
          <w:noProof/>
          <w:sz w:val="20"/>
          <w:szCs w:val="20"/>
        </w:rPr>
        <mc:AlternateContent>
          <mc:Choice Requires="wps">
            <w:drawing>
              <wp:anchor distT="0" distB="0" distL="114300" distR="114300" simplePos="0" relativeHeight="251660288" behindDoc="0" locked="0" layoutInCell="1" allowOverlap="1" wp14:anchorId="44B55D77" wp14:editId="7CCF6542">
                <wp:simplePos x="0" y="0"/>
                <wp:positionH relativeFrom="column">
                  <wp:posOffset>1461770</wp:posOffset>
                </wp:positionH>
                <wp:positionV relativeFrom="paragraph">
                  <wp:posOffset>266700</wp:posOffset>
                </wp:positionV>
                <wp:extent cx="751840" cy="4445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444500"/>
                        </a:xfrm>
                        <a:prstGeom prst="rect">
                          <a:avLst/>
                        </a:prstGeom>
                        <a:noFill/>
                        <a:ln w="9525">
                          <a:noFill/>
                          <a:miter lim="800000"/>
                          <a:headEnd/>
                          <a:tailEnd/>
                        </a:ln>
                      </wps:spPr>
                      <wps:txbx>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wps:txbx>
                      <wps:bodyPr rot="0" vert="horz" wrap="square" lIns="72000" tIns="72000" rIns="3600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115.1pt;margin-top:21pt;width:59.2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" filled="f" stroked="f">
                <v:textbox inset="2mm,2mm,1mm">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4384" behindDoc="0" locked="0" layoutInCell="1" allowOverlap="1" wp14:anchorId="1B3AA794" wp14:editId="343B8653">
                <wp:simplePos x="0" y="0"/>
                <wp:positionH relativeFrom="column">
                  <wp:posOffset>2229485</wp:posOffset>
                </wp:positionH>
                <wp:positionV relativeFrom="paragraph">
                  <wp:posOffset>423545</wp:posOffset>
                </wp:positionV>
                <wp:extent cx="306895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3985"/>
                        </a:xfrm>
                        <a:prstGeom prst="rect">
                          <a:avLst/>
                        </a:prstGeom>
                        <a:noFill/>
                        <a:ln w="9525">
                          <a:noFill/>
                          <a:miter lim="800000"/>
                          <a:headEnd/>
                          <a:tailEnd/>
                        </a:ln>
                      </wps:spPr>
                      <wps:txbx>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75.55pt;margin-top:33.35pt;width:241.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" filled="f" stroked="f">
                <v:textbox style="mso-fit-shape-to-text:t">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2336" behindDoc="0" locked="0" layoutInCell="1" allowOverlap="1" wp14:anchorId="069BA1B6" wp14:editId="1B976CEE">
                <wp:simplePos x="0" y="0"/>
                <wp:positionH relativeFrom="column">
                  <wp:posOffset>2223546</wp:posOffset>
                </wp:positionH>
                <wp:positionV relativeFrom="paragraph">
                  <wp:posOffset>247650</wp:posOffset>
                </wp:positionV>
                <wp:extent cx="2896870" cy="1403985"/>
                <wp:effectExtent l="0" t="0" r="17780"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403985"/>
                        </a:xfrm>
                        <a:prstGeom prst="rect">
                          <a:avLst/>
                        </a:prstGeom>
                        <a:solidFill>
                          <a:srgbClr val="FFFFFF"/>
                        </a:solidFill>
                        <a:ln w="9525">
                          <a:solidFill>
                            <a:srgbClr val="FF0000"/>
                          </a:solidFill>
                          <a:miter lim="800000"/>
                          <a:headEnd/>
                          <a:tailEnd/>
                        </a:ln>
                      </wps:spPr>
                      <wps:txbx>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75.1pt;margin-top:19.5pt;width:228.1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" strokecolor="red">
                <v:textbox style="mso-fit-shape-to-text:t">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v:textbox>
              </v:shape>
            </w:pict>
          </mc:Fallback>
        </mc:AlternateContent>
      </w:r>
      <w:r w:rsidR="003F6EFB">
        <w:rPr>
          <w:rFonts w:ascii="Arial" w:hAnsi="Arial" w:cs="Arial"/>
          <w:noProof/>
          <w:sz w:val="20"/>
          <w:szCs w:val="20"/>
        </w:rPr>
        <mc:AlternateContent>
          <mc:Choice Requires="wps">
            <w:drawing>
              <wp:inline distT="0" distB="0" distL="0" distR="0" wp14:anchorId="0AAA394D" wp14:editId="3F64E928">
                <wp:extent cx="3998259" cy="1007633"/>
                <wp:effectExtent l="0" t="0" r="21590" b="21590"/>
                <wp:docPr id="14" name="Rectangle 14"/>
                <wp:cNvGraphicFramePr/>
                <a:graphic xmlns:a="http://schemas.openxmlformats.org/drawingml/2006/main">
                  <a:graphicData uri="http://schemas.microsoft.com/office/word/2010/wordprocessingShape">
                    <wps:wsp>
                      <wps:cNvSpPr/>
                      <wps:spPr>
                        <a:xfrm>
                          <a:off x="0" y="0"/>
                          <a:ext cx="3998259" cy="1007633"/>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4" o:spid="_x0000_s1026" style="width:314.8pt;height:7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" filled="f" strokecolor="black [3213]">
                <w10:anchorlock/>
              </v:rect>
            </w:pict>
          </mc:Fallback>
        </mc:AlternateContent>
      </w:r>
    </w:p>
    <w:p w:rsidR="00BD39D2" w:rsidRDefault="00BD39D2" w:rsidP="00C17D8A">
      <w:pPr>
        <w:spacing w:after="0"/>
        <w:rPr>
          <w:rFonts w:ascii="Arial" w:hAnsi="Arial" w:cs="Arial"/>
          <w:sz w:val="20"/>
          <w:szCs w:val="20"/>
        </w:rPr>
      </w:pPr>
    </w:p>
    <w:p w:rsidR="00337FD8" w:rsidRDefault="00337FD8" w:rsidP="00BD39D2">
      <w:pPr>
        <w:spacing w:after="120"/>
        <w:rPr>
          <w:rFonts w:ascii="Arial" w:hAnsi="Arial" w:cs="Arial"/>
          <w:sz w:val="20"/>
          <w:szCs w:val="20"/>
        </w:rPr>
      </w:pPr>
      <w:bookmarkStart w:id="4" w:name="authobj"/>
      <w:bookmarkEnd w:id="4"/>
      <w:r w:rsidRPr="00337FD8">
        <w:rPr>
          <w:rFonts w:ascii="Arial" w:hAnsi="Arial" w:cs="Arial"/>
          <w:sz w:val="20"/>
          <w:szCs w:val="20"/>
        </w:rPr>
        <w:t xml:space="preserve">In a real-world implementation the </w:t>
      </w:r>
      <w:r w:rsidRPr="00337FD8">
        <w:rPr>
          <w:rFonts w:ascii="Arial" w:hAnsi="Arial" w:cs="Arial"/>
          <w:i/>
          <w:sz w:val="20"/>
          <w:szCs w:val="20"/>
        </w:rPr>
        <w:t>Reserve</w:t>
      </w:r>
      <w:r>
        <w:rPr>
          <w:rFonts w:ascii="Arial" w:hAnsi="Arial" w:cs="Arial"/>
          <w:sz w:val="20"/>
          <w:szCs w:val="20"/>
        </w:rPr>
        <w:t>,</w:t>
      </w:r>
      <w:r w:rsidRPr="00337FD8">
        <w:rPr>
          <w:rFonts w:ascii="Arial" w:hAnsi="Arial" w:cs="Arial"/>
          <w:sz w:val="20"/>
          <w:szCs w:val="20"/>
        </w:rPr>
        <w:t xml:space="preserve"> etc</w:t>
      </w:r>
      <w:r>
        <w:rPr>
          <w:rFonts w:ascii="Arial" w:hAnsi="Arial" w:cs="Arial"/>
          <w:sz w:val="20"/>
          <w:szCs w:val="20"/>
        </w:rPr>
        <w:t xml:space="preserve">. would preferably be implemented as </w:t>
      </w:r>
      <w:r w:rsidRPr="00337FD8">
        <w:rPr>
          <w:rFonts w:ascii="Arial" w:hAnsi="Arial" w:cs="Arial"/>
          <w:i/>
          <w:sz w:val="20"/>
          <w:szCs w:val="20"/>
        </w:rPr>
        <w:t>rotating text</w:t>
      </w:r>
      <w:r>
        <w:rPr>
          <w:rFonts w:ascii="Arial" w:hAnsi="Arial" w:cs="Arial"/>
          <w:sz w:val="20"/>
          <w:szCs w:val="20"/>
        </w:rPr>
        <w:t xml:space="preserve"> to not require excessive screen width!</w:t>
      </w:r>
    </w:p>
    <w:p w:rsidR="00BD39D2" w:rsidRPr="00BD39D2" w:rsidRDefault="00337FD8" w:rsidP="00BD39D2">
      <w:pPr>
        <w:spacing w:after="120"/>
        <w:rPr>
          <w:rFonts w:ascii="Arial" w:hAnsi="Arial" w:cs="Arial"/>
          <w:b/>
          <w:sz w:val="28"/>
          <w:szCs w:val="28"/>
        </w:rPr>
      </w:pPr>
      <w:r>
        <w:rPr>
          <w:rFonts w:ascii="Arial" w:hAnsi="Arial" w:cs="Arial"/>
          <w:sz w:val="20"/>
          <w:szCs w:val="20"/>
        </w:rPr>
        <w:t>The type of</w:t>
      </w:r>
      <w:r w:rsidR="00F53CB6">
        <w:rPr>
          <w:rFonts w:ascii="Arial" w:hAnsi="Arial" w:cs="Arial"/>
          <w:sz w:val="20"/>
          <w:szCs w:val="20"/>
        </w:rPr>
        <w:t xml:space="preserve"> payment</w:t>
      </w:r>
      <w:r>
        <w:rPr>
          <w:rFonts w:ascii="Arial" w:hAnsi="Arial" w:cs="Arial"/>
          <w:sz w:val="20"/>
          <w:szCs w:val="20"/>
        </w:rPr>
        <w:t xml:space="preserve"> authorization </w:t>
      </w:r>
      <w:r w:rsidR="00F53CB6">
        <w:rPr>
          <w:rFonts w:ascii="Arial" w:hAnsi="Arial" w:cs="Arial"/>
          <w:sz w:val="20"/>
          <w:szCs w:val="20"/>
        </w:rPr>
        <w:t xml:space="preserve">requested </w:t>
      </w:r>
      <w:r>
        <w:rPr>
          <w:rFonts w:ascii="Arial" w:hAnsi="Arial" w:cs="Arial"/>
          <w:sz w:val="20"/>
          <w:szCs w:val="20"/>
        </w:rPr>
        <w:t xml:space="preserve">would have to </w:t>
      </w:r>
      <w:r w:rsidR="00F53CB6">
        <w:rPr>
          <w:rFonts w:ascii="Arial" w:hAnsi="Arial" w:cs="Arial"/>
          <w:sz w:val="20"/>
          <w:szCs w:val="20"/>
        </w:rPr>
        <w:t xml:space="preserve">be </w:t>
      </w:r>
      <w:r>
        <w:rPr>
          <w:rFonts w:ascii="Arial" w:hAnsi="Arial" w:cs="Arial"/>
          <w:sz w:val="20"/>
          <w:szCs w:val="20"/>
        </w:rPr>
        <w:t>signal</w:t>
      </w:r>
      <w:r w:rsidR="00F53CB6">
        <w:rPr>
          <w:rFonts w:ascii="Arial" w:hAnsi="Arial" w:cs="Arial"/>
          <w:sz w:val="20"/>
          <w:szCs w:val="20"/>
        </w:rPr>
        <w:t>l</w:t>
      </w:r>
      <w:r>
        <w:rPr>
          <w:rFonts w:ascii="Arial" w:hAnsi="Arial" w:cs="Arial"/>
          <w:sz w:val="20"/>
          <w:szCs w:val="20"/>
        </w:rPr>
        <w:t xml:space="preserve">ed through an </w:t>
      </w:r>
      <w:r w:rsidRPr="00F53CB6">
        <w:rPr>
          <w:rFonts w:ascii="Arial" w:hAnsi="Arial" w:cs="Arial"/>
          <w:i/>
          <w:sz w:val="20"/>
          <w:szCs w:val="20"/>
        </w:rPr>
        <w:t>additional</w:t>
      </w:r>
      <w:r>
        <w:rPr>
          <w:rFonts w:ascii="Arial" w:hAnsi="Arial" w:cs="Arial"/>
          <w:sz w:val="20"/>
          <w:szCs w:val="20"/>
        </w:rPr>
        <w:t xml:space="preserve"> property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step 2.</w:t>
      </w:r>
      <w:r w:rsidR="003F6EFB" w:rsidRPr="00337FD8">
        <w:rPr>
          <w:rFonts w:ascii="Arial" w:hAnsi="Arial" w:cs="Arial"/>
          <w:sz w:val="20"/>
          <w:szCs w:val="20"/>
        </w:rPr>
        <w:br w:type="column"/>
      </w:r>
      <w:r w:rsidR="00BD39D2" w:rsidRPr="00BD39D2">
        <w:rPr>
          <w:rFonts w:ascii="Arial" w:hAnsi="Arial" w:cs="Arial"/>
          <w:b/>
          <w:sz w:val="28"/>
          <w:szCs w:val="28"/>
        </w:rPr>
        <w:lastRenderedPageBreak/>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FC4B74" w:rsidRDefault="00FC4B74" w:rsidP="00B44F07">
      <w:pPr>
        <w:spacing w:after="120"/>
        <w:rPr>
          <w:rFonts w:ascii="Arial" w:hAnsi="Arial" w:cs="Arial"/>
          <w:b/>
          <w:sz w:val="28"/>
          <w:szCs w:val="28"/>
        </w:rPr>
      </w:pPr>
      <w:r>
        <w:rPr>
          <w:rFonts w:ascii="Arial" w:hAnsi="Arial" w:cs="Arial"/>
          <w:b/>
          <w:sz w:val="28"/>
          <w:szCs w:val="28"/>
        </w:rPr>
        <w:t>Security Considerations</w:t>
      </w:r>
    </w:p>
    <w:p w:rsidR="0057419B" w:rsidRDefault="00AA1403" w:rsidP="00B44F07">
      <w:pPr>
        <w:spacing w:after="120"/>
        <w:rPr>
          <w:rFonts w:ascii="Arial" w:hAnsi="Arial" w:cs="Arial"/>
          <w:sz w:val="20"/>
          <w:szCs w:val="20"/>
        </w:rPr>
      </w:pPr>
      <w:r>
        <w:rPr>
          <w:rFonts w:ascii="Arial" w:hAnsi="Arial" w:cs="Arial"/>
          <w:sz w:val="20"/>
          <w:szCs w:val="20"/>
        </w:rPr>
        <w:t xml:space="preserve">Since a valid transaction request is bound to both a Merchant and a User account, it appears that the described system </w:t>
      </w:r>
      <w:r w:rsidR="0057419B">
        <w:rPr>
          <w:rFonts w:ascii="Arial" w:hAnsi="Arial" w:cs="Arial"/>
          <w:sz w:val="20"/>
          <w:szCs w:val="20"/>
        </w:rPr>
        <w:t>effectively thwarts</w:t>
      </w:r>
      <w:r>
        <w:rPr>
          <w:rFonts w:ascii="Arial" w:hAnsi="Arial" w:cs="Arial"/>
          <w:sz w:val="20"/>
          <w:szCs w:val="20"/>
        </w:rPr>
        <w:t xml:space="preserve"> large scale attacks</w:t>
      </w:r>
      <w:r w:rsidR="0057419B">
        <w:rPr>
          <w:rFonts w:ascii="Arial" w:hAnsi="Arial" w:cs="Arial"/>
          <w:sz w:val="20"/>
          <w:szCs w:val="20"/>
        </w:rPr>
        <w:t>.</w:t>
      </w:r>
    </w:p>
    <w:p w:rsidR="003F6EFB" w:rsidRDefault="00504762" w:rsidP="003F6EFB">
      <w:pPr>
        <w:spacing w:after="0"/>
        <w:rPr>
          <w:rFonts w:ascii="Arial" w:hAnsi="Arial" w:cs="Arial"/>
          <w:sz w:val="20"/>
          <w:szCs w:val="20"/>
        </w:rPr>
      </w:pPr>
      <w:hyperlink w:anchor="RBA" w:history="1">
        <w:r w:rsidR="0057419B" w:rsidRPr="0057419B">
          <w:rPr>
            <w:rStyle w:val="Hyperlink"/>
            <w:rFonts w:ascii="Arial" w:hAnsi="Arial" w:cs="Arial"/>
            <w:sz w:val="20"/>
            <w:szCs w:val="20"/>
          </w:rPr>
          <w:t>Risk Based Authentication</w:t>
        </w:r>
      </w:hyperlink>
      <w:r w:rsidR="0057419B">
        <w:rPr>
          <w:rFonts w:ascii="Arial" w:hAnsi="Arial" w:cs="Arial"/>
          <w:sz w:val="20"/>
          <w:szCs w:val="20"/>
        </w:rPr>
        <w:t xml:space="preserve"> and account limits should further reduce the ability to perform high-value attacks.</w:t>
      </w:r>
    </w:p>
    <w:p w:rsidR="003F6EFB" w:rsidRDefault="003F6EFB" w:rsidP="003F6EFB">
      <w:pPr>
        <w:spacing w:after="0"/>
        <w:rPr>
          <w:rFonts w:ascii="Arial" w:hAnsi="Arial" w:cs="Arial"/>
          <w:sz w:val="20"/>
          <w:szCs w:val="20"/>
        </w:rPr>
      </w:pPr>
    </w:p>
    <w:p w:rsidR="00B44F07" w:rsidRPr="00B44F07" w:rsidRDefault="00B44F07" w:rsidP="00B44F07">
      <w:pPr>
        <w:spacing w:after="120"/>
        <w:rPr>
          <w:rFonts w:ascii="Arial" w:hAnsi="Arial" w:cs="Arial"/>
          <w:b/>
          <w:sz w:val="28"/>
          <w:szCs w:val="28"/>
        </w:rPr>
      </w:pPr>
      <w:r>
        <w:rPr>
          <w:rFonts w:ascii="Arial" w:hAnsi="Arial" w:cs="Arial"/>
          <w:b/>
          <w:sz w:val="28"/>
          <w:szCs w:val="28"/>
        </w:rPr>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3F6EFB" w:rsidP="003478C6">
      <w:pPr>
        <w:spacing w:after="120"/>
        <w:rPr>
          <w:rFonts w:ascii="Arial" w:hAnsi="Arial" w:cs="Arial"/>
          <w:b/>
          <w:sz w:val="28"/>
          <w:szCs w:val="28"/>
        </w:rPr>
      </w:pPr>
      <w:r>
        <w:rPr>
          <w:rFonts w:ascii="Arial" w:hAnsi="Arial" w:cs="Arial"/>
          <w:b/>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7473E2" w:rsidRDefault="007473E2"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non-direct payment</w:t>
      </w:r>
      <w:r w:rsidR="00F53CB6">
        <w:rPr>
          <w:rFonts w:ascii="Arial" w:hAnsi="Arial" w:cs="Arial"/>
          <w:sz w:val="20"/>
          <w:szCs w:val="20"/>
        </w:rPr>
        <w:t>s</w:t>
      </w:r>
      <w:r>
        <w:rPr>
          <w:rFonts w:ascii="Arial" w:hAnsi="Arial" w:cs="Arial"/>
          <w:sz w:val="20"/>
          <w:szCs w:val="20"/>
        </w:rPr>
        <w:t xml:space="preserve"> can be dealt with both at the messaging and UI level.</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504762"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504762"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504762"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504762"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504762"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504762"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504762"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504762"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504762"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504762"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504762"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504762"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Default="00BD39D2"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Pr="00BD39D2" w:rsidRDefault="00F53CB6" w:rsidP="00AD418F">
      <w:pPr>
        <w:spacing w:after="120"/>
        <w:rPr>
          <w:rFonts w:ascii="Arial" w:hAnsi="Arial" w:cs="Arial"/>
          <w:sz w:val="20"/>
          <w:szCs w:val="20"/>
          <w:lang w:val="sv-SE"/>
        </w:rPr>
      </w:pPr>
    </w:p>
    <w:p w:rsidR="00D96788" w:rsidRPr="00EB062B" w:rsidRDefault="00F53CB6"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762" w:rsidRDefault="00504762" w:rsidP="00FB12F7">
      <w:pPr>
        <w:spacing w:after="0" w:line="240" w:lineRule="auto"/>
      </w:pPr>
      <w:r>
        <w:separator/>
      </w:r>
    </w:p>
  </w:endnote>
  <w:endnote w:type="continuationSeparator" w:id="0">
    <w:p w:rsidR="00504762" w:rsidRDefault="00504762"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2E545D">
      <w:rPr>
        <w:rFonts w:ascii="Arial" w:hAnsi="Arial" w:cs="Arial"/>
        <w:sz w:val="16"/>
        <w:szCs w:val="16"/>
      </w:rPr>
      <w:t>3</w:t>
    </w:r>
    <w:r w:rsidR="002E545D">
      <w:rPr>
        <w:rFonts w:ascii="Arial" w:hAnsi="Arial" w:cs="Arial"/>
        <w:sz w:val="16"/>
        <w:szCs w:val="16"/>
      </w:rPr>
      <w:tab/>
      <w:t>2016-11-14</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C23D6E">
      <w:rPr>
        <w:rFonts w:ascii="Arial" w:hAnsi="Arial" w:cs="Arial"/>
        <w:noProof/>
        <w:sz w:val="16"/>
        <w:szCs w:val="16"/>
      </w:rPr>
      <w:t>10</w:t>
    </w:r>
    <w:r w:rsidRPr="00FB12F7">
      <w:rPr>
        <w:rFonts w:ascii="Arial" w:hAnsi="Arial" w:cs="Arial"/>
        <w:noProof/>
        <w:sz w:val="16"/>
        <w:szCs w:val="16"/>
      </w:rPr>
      <w:fldChar w:fldCharType="end"/>
    </w:r>
    <w:r w:rsidR="003F6EFB">
      <w:rPr>
        <w:rFonts w:ascii="Arial" w:hAnsi="Arial" w:cs="Arial"/>
        <w:noProof/>
        <w:sz w:val="16"/>
        <w:szCs w:val="16"/>
      </w:rPr>
      <w:t>/11</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762" w:rsidRDefault="00504762" w:rsidP="00FB12F7">
      <w:pPr>
        <w:spacing w:after="0" w:line="240" w:lineRule="auto"/>
      </w:pPr>
      <w:r>
        <w:separator/>
      </w:r>
    </w:p>
  </w:footnote>
  <w:footnote w:type="continuationSeparator" w:id="0">
    <w:p w:rsidR="00504762" w:rsidRDefault="00504762"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B6C64"/>
    <w:rsid w:val="000C6DB5"/>
    <w:rsid w:val="000D73C6"/>
    <w:rsid w:val="000E2202"/>
    <w:rsid w:val="000E28D7"/>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545D"/>
    <w:rsid w:val="002E6700"/>
    <w:rsid w:val="002F7F0B"/>
    <w:rsid w:val="00303FC8"/>
    <w:rsid w:val="003135A2"/>
    <w:rsid w:val="00327EDD"/>
    <w:rsid w:val="003306F5"/>
    <w:rsid w:val="0033133B"/>
    <w:rsid w:val="00335EEF"/>
    <w:rsid w:val="00337FD8"/>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3F6EFB"/>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4762"/>
    <w:rsid w:val="00506C83"/>
    <w:rsid w:val="00515D9F"/>
    <w:rsid w:val="005249E6"/>
    <w:rsid w:val="00531268"/>
    <w:rsid w:val="005429DC"/>
    <w:rsid w:val="00546ACD"/>
    <w:rsid w:val="0054761A"/>
    <w:rsid w:val="005539FF"/>
    <w:rsid w:val="00560325"/>
    <w:rsid w:val="00560E47"/>
    <w:rsid w:val="0057419B"/>
    <w:rsid w:val="00576291"/>
    <w:rsid w:val="00576C69"/>
    <w:rsid w:val="005808B2"/>
    <w:rsid w:val="00587D13"/>
    <w:rsid w:val="00590EAD"/>
    <w:rsid w:val="005B3D3C"/>
    <w:rsid w:val="005B70F2"/>
    <w:rsid w:val="005C5048"/>
    <w:rsid w:val="005C55CD"/>
    <w:rsid w:val="005C5752"/>
    <w:rsid w:val="005C7FDD"/>
    <w:rsid w:val="005D049C"/>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473E2"/>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1403"/>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23D6E"/>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06CA5"/>
    <w:rsid w:val="00F2093E"/>
    <w:rsid w:val="00F30245"/>
    <w:rsid w:val="00F3481E"/>
    <w:rsid w:val="00F36482"/>
    <w:rsid w:val="00F365D9"/>
    <w:rsid w:val="00F42A3B"/>
    <w:rsid w:val="00F519BA"/>
    <w:rsid w:val="00F525C9"/>
    <w:rsid w:val="00F53CB6"/>
    <w:rsid w:val="00F611BF"/>
    <w:rsid w:val="00F65AFB"/>
    <w:rsid w:val="00F7148B"/>
    <w:rsid w:val="00F72A22"/>
    <w:rsid w:val="00F81FAD"/>
    <w:rsid w:val="00F87E26"/>
    <w:rsid w:val="00F90853"/>
    <w:rsid w:val="00F91C3D"/>
    <w:rsid w:val="00FA1B83"/>
    <w:rsid w:val="00FB12F7"/>
    <w:rsid w:val="00FC403C"/>
    <w:rsid w:val="00FC4B74"/>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5D970-5C4F-467A-986A-80767F8EE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11</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20014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228</cp:revision>
  <cp:lastPrinted>2016-11-14T13:43:00Z</cp:lastPrinted>
  <dcterms:created xsi:type="dcterms:W3CDTF">2016-10-29T08:19:00Z</dcterms:created>
  <dcterms:modified xsi:type="dcterms:W3CDTF">2016-11-14T13:43:00Z</dcterms:modified>
  <cp:category>Payments, Security</cp:category>
</cp:coreProperties>
</file>