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 MERGEFORMAT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fldChar w:fldCharType="separate"/>
      </w:r>
      <w:r w:rsidR="00287024" w:rsidRPr="00287024">
        <w:rPr>
          <w:rFonts w:eastAsia="Times New Roman" w:cstheme="minorHAnsi"/>
          <w:color w:val="365F91" w:themeColor="accent1" w:themeShade="BF"/>
          <w:spacing w:val="-2"/>
          <w:sz w:val="24"/>
          <w:szCs w:val="24"/>
        </w:rPr>
        <w:t xml:space="preserve">7. </w:t>
      </w:r>
      <w:proofErr w:type="gramStart"/>
      <w:r w:rsidR="00287024" w:rsidRPr="00287024">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pt;height:300.65pt" o:ole="">
            <v:imagedata r:id="rId9" o:title=""/>
          </v:shape>
          <o:OLEObject Type="Embed" ProgID="PowerPoint.Show.12" ShapeID="_x0000_i1025" DrawAspect="Content" ObjectID="_1655789666"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0"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0"/>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By building on OAuth2</w:t>
      </w:r>
      <w:r w:rsidR="001A5953">
        <w:rPr>
          <w:rFonts w:eastAsia="Times New Roman" w:cstheme="minorHAnsi"/>
          <w:bCs/>
          <w:i/>
          <w:color w:val="172B4D"/>
          <w:spacing w:val="-1"/>
          <w:sz w:val="24"/>
          <w:szCs w:val="24"/>
        </w:rPr>
        <w:t xml:space="preserve"> and SCA</w:t>
      </w:r>
      <w:r w:rsidRPr="009C7394">
        <w:rPr>
          <w:rFonts w:eastAsia="Times New Roman" w:cstheme="minorHAnsi"/>
          <w:bCs/>
          <w:i/>
          <w:color w:val="172B4D"/>
          <w:spacing w:val="-1"/>
          <w:sz w:val="24"/>
          <w:szCs w:val="24"/>
        </w:rPr>
        <w:t xml:space="preserve">,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1"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1"/>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proofErr w:type="gramStart"/>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 MERGEFORMAT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fldChar w:fldCharType="separate"/>
      </w:r>
      <w:r w:rsidR="00287024" w:rsidRPr="00287024">
        <w:rPr>
          <w:rFonts w:eastAsia="Times New Roman" w:cstheme="minorHAnsi"/>
          <w:color w:val="365F91" w:themeColor="accent1" w:themeShade="BF"/>
          <w:spacing w:val="-2"/>
          <w:sz w:val="24"/>
          <w:szCs w:val="24"/>
        </w:rPr>
        <w:t>3. 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2" w:name="appnote"/>
      <w:r w:rsidR="00B5419E">
        <w:rPr>
          <w:rFonts w:eastAsia="Times New Roman" w:cstheme="minorHAnsi"/>
          <w:color w:val="172B4D"/>
          <w:spacing w:val="-2"/>
          <w:sz w:val="34"/>
          <w:szCs w:val="34"/>
        </w:rPr>
        <w:lastRenderedPageBreak/>
        <w:t>7. Application Notes</w:t>
      </w:r>
      <w:bookmarkEnd w:id="2"/>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644571"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331" w:dyaOrig="3538">
          <v:shape id="_x0000_i1026" type="#_x0000_t75" style="width:388.65pt;height:257.3pt" o:ole="">
            <v:imagedata r:id="rId11" o:title=""/>
          </v:shape>
          <o:OLEObject Type="Embed" ProgID="PowerPoint.Show.12" ShapeID="_x0000_i1026" DrawAspect="Content" ObjectID="_1655789667"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proofErr w:type="gramStart"/>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 MERGEFORMAT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fldChar w:fldCharType="separate"/>
      </w:r>
      <w:r w:rsidR="00287024" w:rsidRPr="00287024">
        <w:rPr>
          <w:rFonts w:eastAsia="Times New Roman" w:cstheme="minorHAnsi"/>
          <w:color w:val="365F91" w:themeColor="accent1" w:themeShade="BF"/>
          <w:spacing w:val="-2"/>
          <w:sz w:val="24"/>
          <w:szCs w:val="24"/>
        </w:rPr>
        <w:t>2. 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t>
      </w:r>
      <w:r w:rsidR="00644571">
        <w:rPr>
          <w:rFonts w:eastAsia="Times New Roman" w:cstheme="minorHAnsi"/>
          <w:color w:val="172B4D"/>
          <w:spacing w:val="-1"/>
          <w:sz w:val="24"/>
          <w:szCs w:val="24"/>
        </w:rPr>
        <w:t>would use AIS methods.  How balance</w:t>
      </w:r>
      <w:r w:rsidR="00F5050B">
        <w:rPr>
          <w:rFonts w:eastAsia="Times New Roman" w:cstheme="minorHAnsi"/>
          <w:color w:val="172B4D"/>
          <w:spacing w:val="-1"/>
          <w:sz w:val="24"/>
          <w:szCs w:val="24"/>
        </w:rPr>
        <w:t xml:space="preserve">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w:t>
      </w:r>
      <w:r w:rsidR="00644571">
        <w:rPr>
          <w:rFonts w:eastAsia="Times New Roman" w:cstheme="minorHAnsi"/>
          <w:color w:val="172B4D"/>
          <w:spacing w:val="-1"/>
          <w:sz w:val="24"/>
          <w:szCs w:val="24"/>
        </w:rPr>
        <w:t xml:space="preserve">For merchant-initiated payments, the invocation </w:t>
      </w:r>
      <w:proofErr w:type="gramStart"/>
      <w:r w:rsidR="00644571">
        <w:rPr>
          <w:rFonts w:eastAsia="Times New Roman" w:cstheme="minorHAnsi"/>
          <w:color w:val="172B4D"/>
          <w:spacing w:val="-1"/>
          <w:sz w:val="24"/>
          <w:szCs w:val="24"/>
        </w:rPr>
        <w:t>would typically be performed</w:t>
      </w:r>
      <w:proofErr w:type="gramEnd"/>
      <w:r w:rsidR="00644571">
        <w:rPr>
          <w:rFonts w:eastAsia="Times New Roman" w:cstheme="minorHAnsi"/>
          <w:color w:val="172B4D"/>
          <w:spacing w:val="-1"/>
          <w:sz w:val="24"/>
          <w:szCs w:val="24"/>
        </w:rPr>
        <w:t xml:space="preserve"> by a TPP, while P2P payments would be invoked by a wallet or mobile banking application.  How payment</w:t>
      </w:r>
      <w:r w:rsidRPr="00F5050B">
        <w:rPr>
          <w:rFonts w:eastAsia="Times New Roman" w:cstheme="minorHAnsi"/>
          <w:color w:val="172B4D"/>
          <w:spacing w:val="-1"/>
          <w:sz w:val="24"/>
          <w:szCs w:val="24"/>
        </w:rPr>
        <w:t xml:space="preserve">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r w:rsidR="00644571">
        <w:rPr>
          <w:rFonts w:eastAsia="Times New Roman" w:cstheme="minorHAnsi"/>
          <w:color w:val="172B4D"/>
          <w:spacing w:val="-1"/>
          <w:sz w:val="24"/>
          <w:szCs w:val="24"/>
        </w:rPr>
        <w:t xml:space="preserve"> </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644571" w:rsidRDefault="00644571"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644571">
        <w:rPr>
          <w:rFonts w:eastAsia="Times New Roman" w:cstheme="minorHAnsi"/>
          <w:color w:val="172B4D"/>
          <w:spacing w:val="-1"/>
          <w:sz w:val="20"/>
          <w:szCs w:val="20"/>
        </w:rPr>
        <w:t>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644571">
        <w:rPr>
          <w:rFonts w:eastAsia="Times New Roman" w:cstheme="minorHAnsi"/>
          <w:color w:val="172B4D"/>
          <w:spacing w:val="-1"/>
          <w:sz w:val="20"/>
          <w:szCs w:val="20"/>
        </w:rPr>
        <w:t>ren.net@gmail.com, 2020-07-09</w:t>
      </w:r>
      <w:bookmarkStart w:id="3" w:name="_GoBack"/>
      <w:bookmarkEnd w:id="3"/>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643" w:rsidRDefault="007A2643" w:rsidP="004F21FA">
      <w:pPr>
        <w:spacing w:after="0" w:line="240" w:lineRule="auto"/>
      </w:pPr>
      <w:r>
        <w:separator/>
      </w:r>
    </w:p>
  </w:endnote>
  <w:endnote w:type="continuationSeparator" w:id="0">
    <w:p w:rsidR="007A2643" w:rsidRDefault="007A2643"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293D4C65" wp14:editId="2FA89323">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644571">
      <w:rPr>
        <w:noProof/>
      </w:rPr>
      <w:t>2</w:t>
    </w:r>
    <w:r>
      <w:tab/>
    </w:r>
    <w:r>
      <w:tab/>
      <w:t xml:space="preserve">Page </w:t>
    </w:r>
    <w:r>
      <w:fldChar w:fldCharType="begin"/>
    </w:r>
    <w:r>
      <w:instrText xml:space="preserve"> PAGE   \* MERGEFORMAT </w:instrText>
    </w:r>
    <w:r>
      <w:fldChar w:fldCharType="separate"/>
    </w:r>
    <w:r w:rsidR="00287024">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287024">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643" w:rsidRDefault="007A2643" w:rsidP="004F21FA">
      <w:pPr>
        <w:spacing w:after="0" w:line="240" w:lineRule="auto"/>
      </w:pPr>
      <w:r>
        <w:separator/>
      </w:r>
    </w:p>
  </w:footnote>
  <w:footnote w:type="continuationSeparator" w:id="0">
    <w:p w:rsidR="007A2643" w:rsidRDefault="007A2643"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A5953"/>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51796"/>
    <w:rsid w:val="0027165F"/>
    <w:rsid w:val="00272AD1"/>
    <w:rsid w:val="00273229"/>
    <w:rsid w:val="00274253"/>
    <w:rsid w:val="002751FC"/>
    <w:rsid w:val="00280A8F"/>
    <w:rsid w:val="0028122A"/>
    <w:rsid w:val="00283AB2"/>
    <w:rsid w:val="00285707"/>
    <w:rsid w:val="00287024"/>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44571"/>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2643"/>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515F5"/>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36D6"/>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2D42"/>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C6D8-5EFF-4DD1-B899-C8B53E18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7</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155</cp:revision>
  <cp:lastPrinted>2020-07-09T06:47:00Z</cp:lastPrinted>
  <dcterms:created xsi:type="dcterms:W3CDTF">2020-05-26T16:08:00Z</dcterms:created>
  <dcterms:modified xsi:type="dcterms:W3CDTF">2020-07-09T06:48:00Z</dcterms:modified>
</cp:coreProperties>
</file>