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3C7F8170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To </w:t>
      </w:r>
      <w:r w:rsidR="00AF6AC7">
        <w:rPr>
          <w:rFonts w:ascii="Arial" w:hAnsi="Arial" w:cs="Arial"/>
        </w:rPr>
        <w:t xml:space="preserve">make things worse, existing Open Banking systems are based on a </w:t>
      </w:r>
      <w:r w:rsidR="00AF6AC7" w:rsidRPr="00AF6AC7">
        <w:rPr>
          <w:rFonts w:ascii="Arial" w:hAnsi="Arial" w:cs="Arial"/>
          <w:i/>
          <w:iCs/>
        </w:rPr>
        <w:t>single-level, monolithic architecture</w:t>
      </w:r>
      <w:r w:rsidR="00AF6AC7">
        <w:rPr>
          <w:rFonts w:ascii="Arial" w:hAnsi="Arial" w:cs="Arial"/>
        </w:rPr>
        <w:t xml:space="preserve"> making the addition of new features very costly and cumbersome, as well as</w:t>
      </w:r>
      <w:r w:rsidRPr="00DF0CBD">
        <w:rPr>
          <w:rFonts w:ascii="Arial" w:hAnsi="Arial" w:cs="Arial"/>
        </w:rPr>
        <w:t xml:space="preserve"> effectively block</w:t>
      </w:r>
      <w:r w:rsidR="00AF6AC7">
        <w:rPr>
          <w:rFonts w:ascii="Arial" w:hAnsi="Arial" w:cs="Arial"/>
        </w:rPr>
        <w:t>ing</w:t>
      </w:r>
      <w:r w:rsidRPr="00DF0CBD">
        <w:rPr>
          <w:rFonts w:ascii="Arial" w:hAnsi="Arial" w:cs="Arial"/>
        </w:rPr>
        <w:t xml:space="preserve"> third party development.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6FBE070C" w:rsidR="0063378E" w:rsidRPr="00DF0CBD" w:rsidRDefault="0010591C" w:rsidP="0063378E">
      <w:pPr>
        <w:jc w:val="center"/>
      </w:pPr>
      <w:r>
        <w:object w:dxaOrig="7194" w:dyaOrig="5407" w14:anchorId="5E2D4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1pt;height:274.95pt" o:ole="">
            <v:imagedata r:id="rId8" o:title="" croptop="12369f" cropbottom="8246f"/>
          </v:shape>
          <o:OLEObject Type="Embed" ProgID="PowerPoint.Show.12" ShapeID="_x0000_i1025" DrawAspect="Content" ObjectID="_1767527869" r:id="rId9"/>
        </w:object>
      </w:r>
    </w:p>
    <w:p w14:paraId="4297995E" w14:textId="09AFC903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</w:t>
      </w:r>
      <w:r w:rsidR="007B5551">
        <w:rPr>
          <w:rFonts w:ascii="Arial" w:hAnsi="Arial" w:cs="Arial"/>
        </w:rPr>
        <w:t>s</w:t>
      </w:r>
      <w:r w:rsidR="00DC68D3" w:rsidRPr="005466BA">
        <w:rPr>
          <w:rFonts w:ascii="Arial" w:hAnsi="Arial" w:cs="Arial"/>
        </w:rPr>
        <w:t xml:space="preserve">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Loosely coupled application services can be built on </w:t>
      </w:r>
      <w:r w:rsidRPr="007B5551">
        <w:rPr>
          <w:rFonts w:ascii="Arial" w:hAnsi="Arial" w:cs="Arial"/>
          <w:i/>
          <w:iCs/>
        </w:rPr>
        <w:t>vendor</w:t>
      </w:r>
      <w:r w:rsidR="009E34FA" w:rsidRPr="007B5551">
        <w:rPr>
          <w:rFonts w:ascii="Arial" w:hAnsi="Arial" w:cs="Arial"/>
          <w:i/>
          <w:iCs/>
        </w:rPr>
        <w:t xml:space="preserve"> specific</w:t>
      </w:r>
      <w:r w:rsidR="00215C7A" w:rsidRPr="007B5551">
        <w:rPr>
          <w:rFonts w:ascii="Arial" w:hAnsi="Arial" w:cs="Arial"/>
          <w:i/>
          <w:iCs/>
        </w:rPr>
        <w:t xml:space="preserve"> platforms</w:t>
      </w:r>
      <w:r w:rsidR="00215C7A" w:rsidRPr="005466BA">
        <w:rPr>
          <w:rFonts w:ascii="Arial" w:hAnsi="Arial" w:cs="Arial"/>
        </w:rPr>
        <w:t>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EC0DB1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E9F9" w14:textId="77777777" w:rsidR="00EC0DB1" w:rsidRDefault="00EC0DB1" w:rsidP="0063378E">
      <w:pPr>
        <w:spacing w:after="0" w:line="240" w:lineRule="auto"/>
      </w:pPr>
      <w:r>
        <w:separator/>
      </w:r>
    </w:p>
  </w:endnote>
  <w:endnote w:type="continuationSeparator" w:id="0">
    <w:p w14:paraId="7D74EED6" w14:textId="77777777" w:rsidR="00EC0DB1" w:rsidRDefault="00EC0DB1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BE9A" w14:textId="77777777" w:rsidR="00EC0DB1" w:rsidRDefault="00EC0DB1" w:rsidP="0063378E">
      <w:pPr>
        <w:spacing w:after="0" w:line="240" w:lineRule="auto"/>
      </w:pPr>
      <w:r>
        <w:separator/>
      </w:r>
    </w:p>
  </w:footnote>
  <w:footnote w:type="continuationSeparator" w:id="0">
    <w:p w14:paraId="0033677A" w14:textId="77777777" w:rsidR="00EC0DB1" w:rsidRDefault="00EC0DB1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0591C"/>
    <w:rsid w:val="00136E23"/>
    <w:rsid w:val="001754A9"/>
    <w:rsid w:val="001B3474"/>
    <w:rsid w:val="001E2F7B"/>
    <w:rsid w:val="00215C7A"/>
    <w:rsid w:val="0028242A"/>
    <w:rsid w:val="00284755"/>
    <w:rsid w:val="002F1619"/>
    <w:rsid w:val="003B72DB"/>
    <w:rsid w:val="003C0EF4"/>
    <w:rsid w:val="003D2464"/>
    <w:rsid w:val="0040096E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14BDE"/>
    <w:rsid w:val="00752128"/>
    <w:rsid w:val="007B5551"/>
    <w:rsid w:val="009E34FA"/>
    <w:rsid w:val="00A35B6A"/>
    <w:rsid w:val="00A76939"/>
    <w:rsid w:val="00A87EA5"/>
    <w:rsid w:val="00AF6AC7"/>
    <w:rsid w:val="00B35015"/>
    <w:rsid w:val="00B57DC1"/>
    <w:rsid w:val="00CE4C68"/>
    <w:rsid w:val="00D0534C"/>
    <w:rsid w:val="00D42D53"/>
    <w:rsid w:val="00DC68D3"/>
    <w:rsid w:val="00DF0CBD"/>
    <w:rsid w:val="00E71FEC"/>
    <w:rsid w:val="00EB2518"/>
    <w:rsid w:val="00EC0DB1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25</cp:revision>
  <cp:lastPrinted>2024-01-05T06:09:00Z</cp:lastPrinted>
  <dcterms:created xsi:type="dcterms:W3CDTF">2024-01-01T07:13:00Z</dcterms:created>
  <dcterms:modified xsi:type="dcterms:W3CDTF">2024-01-23T14:11:00Z</dcterms:modified>
</cp:coreProperties>
</file>