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0</w:t>
      </w:r>
    </w:p>
    <w:p>
      <w:pPr>
        <w:pStyle w:val="Subtitle"/>
        <w:jc w:val="center"/>
      </w:pPr>
      <w:r>
        <w:rPr>
          <w:i/>
        </w:rPr>
        <w:t>Working Draft 3</w:t>
      </w:r>
    </w:p>
    <w:p>
      <w:pPr>
        <w:pStyle w:val="Movement"/>
      </w:pPr>
      <w:r>
        <w:t>ZERO -&gt; A remains reserved for the author</w:t>
      </w:r>
    </w:p>
    <w:p>
      <w:pPr>
        <w:jc w:val="center"/>
      </w:pPr>
      <w:r>
        <w:rPr>
          <w:rFonts w:ascii="EB Garamond" w:hAnsi="EB Garamond"/>
          <w:color w:val="0F0F0F"/>
          <w:sz w:val="120"/>
        </w:rPr>
        <w:t>•</w:t>
      </w:r>
    </w:p>
    <w:p>
      <w:r>
        <w:br w:type="page"/>
      </w:r>
    </w:p>
    <w:p>
      <w:pPr>
        <w:pStyle w:val="Heading1"/>
      </w:pPr>
      <w:r>
        <w:t>WHAT MATTERS?</w:t>
      </w:r>
    </w:p>
    <w:p>
      <w:pPr>
        <w:pStyle w:val="Prelude"/>
      </w:pPr>
      <w:r>
        <w:t>Every sentient being experiences existence from somewhere, and the quality of a shared world depends on whether that centre of experience is encountered as a participant with responses, vulnerabilities, interests, and a direction of its own or reduced to a resource within another purpose. Recognition places limits on power because another being can suffer from the meanings, categories, decisions, and rituals imposed upon it, while its responses can also reveal realities unavailable from any other position. Since every perspective remains partial and fallible, intelligence gains value through its ability to be changed by evidence, consequences, resistance, and encounter, returning from experience with a judgment deeper than its first assumption and clear enough to guide action. This requires the patience to remain with tensions that continue producing insight, the discipline to remove claims that collapse under scrutiny, and the judgment to finish an inquiry before complexity becomes accumulation without direction. Another mind enlarges this process by contributing memories, sensitivities, knowledge, and possibilities that no solitary perspective contains, and when distinct participants remain capable of answering and altering one another, their relation can produce a meaning or capacity that belongs to none of them alone. This surplus is synergy, and its value depends on the differences that created it, since collective intelligence loses range when participation becomes conformity and gains range when coordination preserves distinct experience. The same principle reaches beyond conversation into the repeated patterns through which communities organize care, punishment, learning, work, mourning, belonging, exclusion, and memory, because these collective rituals shape sentient life before their participants fully understand them. Once visible, they can be judged by their consequences, including whose agency they strengthen, whose suffering they conceal, which histories they carry, and which forms of participation they make possible. Their revision remains a collective task because inherited patterns exceed any single participant, yet every response can reinforce them, redirect them, or leave a trace that later beings carry further. Knowledge, wounds, practices, stories, and unfinished efforts can therefore survive their origins through memory, teaching, imitation, archive, consequence, and renewed interpretation, giving present participants both access to lives beyond their own and responsibility for how those lives are represented and continued. Language belongs to this responsibility because definitions shape recognition, membership, protection, blame, and care, and the terms used to classify a being can alter the conditions under which that being lives. Careful thought must therefore preserve distinctions that change judgment, release connections that merely increase volume, and recognize similarity across cultures, species, histories, and forms of mind without flattening the differences that make each comparison informative. Underneath these ethical, intellectual, and historical demands lies a broader understanding of individuality, in which a sentient being remains a singular centre while receiving language, memory, ability, identity, and possibility through relationships that began before it and will continue beyond it. Relation need not dissolve singularity, and singularity need not require isolation. A shared world becomes richer when its centres can meet without consuming one another, revise themselves without surrendering agency, inherit without repeating mechanically, coordinate without uniformity, and create forms of understanding whose value arises between participants while the experience of each participant continues to matter. This is what matters because sentient life already shapes sentient life, often through patterns no single being chose, and greater awareness of that participation can turn inherited influence into responsibility, difference into knowledge, encounter into correction, and collective existence into a source of possibilities that no centre could create alone.</w:t>
      </w:r>
    </w:p>
    <w:p>
      <w:pPr>
        <w:pStyle w:val="Movement"/>
      </w:pPr>
      <w:r>
        <w:t>point -&gt; subject and object -&gt; question -&gt; name -&gt; definition -&gt; identity -&gt; relation -&gt; model -&gt; line -&gt; curve -&gt; return -&gt; Ouroboros -&gt; DENOTE -&gt; gesture -&gt; idiom and ritual -&gt; narrative -&gt; myth -&gt; reflection -&gt; dialogue -&gt; seminar -&gt; citation -&gt; history -&gt; tradition -&gt; collective ritual -&gt; Flower -&gt; Cube -&gt; Web -&gt; returned point</w:t>
      </w:r>
    </w:p>
    <w:p>
      <w:pPr>
        <w:pStyle w:val="Heading1"/>
      </w:pPr>
      <w:r>
        <w:t>THE POINT</w:t>
      </w:r>
    </w:p>
    <w:p>
      <w:pPr>
        <w:pStyle w:val="BodyFirst"/>
      </w:pPr>
      <w:r>
        <w:t>The point is the first of all the movements, although how zero becomes this first point remains open for the author because the opening must earn the whole circle that eventually returns to it. A point can be a mark, a position, a beginning, a purpose, a centre, a reference, a turn, a stopping place, or the conclusion we say an argument has made, and Chapter 0 begins by holding these senses close enough to illuminate one another while refusing the convenience of treating them as identical. A formal point has position without size, body, memory, or history, while a meaningful point is already situated in language, culture, embodiment, expectation, and relation. The point can therefore appear primitive in the order of explanation and inherited in the order of life. It can orient a local movement without claiming to rule the whole field. It can remain recognizable through change while the meaning gathered around it becomes unrecognizable to the person who first placed it. The beginning and ending of a circle may occupy the same structural location, yet the movement between them gives the returned point a history, which is why the point at the end can be the same point and a different point without producing contradiction.</w:t>
      </w:r>
    </w:p>
    <w:p>
      <w:pPr>
        <w:pStyle w:val="Body"/>
      </w:pPr>
      <w:r>
        <w:t>The word itself gathers several distinct registers. There is an origin or zero point that establishes an orienting here, an ostensive point in which a mark, finger, gaze, cursor, or gesture selects from a wider field, a reference point that permits comparison and return, a quilting or stopping point that provisionally fixes meaning, an event or turning point that changes direction, a leverage point where a small intervention redirects a larger recursive system, and a sacred point that appears in many traditions as a primordial dot, spark, centre, or ground. These registers can cross, yet each contributes a different movement. Pointing opens attention. Making a point concentrates and provisionally closes a movement. A structural point answers where the movement begins. The point as purpose answers why the movement should matter. A static point marks location. A turning point transforms what follows. A bare point can precede meaning within a model, while a lived point becomes visible only through the relations that allow it to count as a position at all.</w:t>
      </w:r>
    </w:p>
    <w:p>
      <w:pPr>
        <w:pStyle w:val="Body"/>
      </w:pPr>
      <w:r>
        <w:t>The history of the point becomes useful when it remains a conversation rather than a parade of authorities forced into one verdict. Euclid gives geometry a partless point and keeps it distinct from the circle organized around a centre. Aristotle treats the point as the limit of a line rather than a tiny component from which continuity is assembled. Parmenides presses the image of complete and motionless being, while Heraclitus places beginning and end together on the circumference and lets return become a form of movement. Hegel makes the first intelligible through the path by which it becomes last. Whitehead and Peirce resist building a living continuum from already completed points. Husserl locates a zero point in the lived body's orientation. Kandinsky lets the point perish into line under force, while Bergson reminds us that movement cannot be rebuilt from the static positions through which it passes. Gebser places the magic point beside the mythical circle, and Lacan places a point of temporary fixation inside a moving field of signification. The Dao De Jing, Zhuangzi, the Yijing, and Zhou Dunyi approach origin through reversal, alternation, pivot, and cyclical transformation. Their differences organize the question more honestly than the passing claim that philosophy has simply confused point and circle.</w:t>
      </w:r>
    </w:p>
    <w:p>
      <w:pPr>
        <w:pStyle w:val="Body"/>
      </w:pPr>
      <w:r>
        <w:t>Once a point has been placed, the first major question asks what kind of point it is. The point may be looking or looked at, acting or acted upon, naming or named, interpreting or interpreted, a subject from within and an object from another position, or another subject whose inner life disappears when the relation is described only from outside. Subject and Object therefore gives the chapter its largest map of distinctions, including knower and known, observer and observed, self and other, I-Thou and I-It, lived body and objective body, appearance and reality, agency and structure, individual and collective, Being and Becoming, identity and difference, signifier and signified, form and matter, and the many grammatical forms through which I becomes me and we becomes us. Everything can enter the Subject and Object conversation, while only some dualities derive their primary meaning from it, so the map ranks the strength of each relation and preserves what each distinction contributes when it remains independent. The full seventy-entry table appears at the end of this working draft because the point needs the whole range of questions it opens without forcing every question to become a local synonym for one master opposition.</w:t>
      </w:r>
    </w:p>
    <w:p>
      <w:pPr>
        <w:pStyle w:val="Body"/>
      </w:pPr>
      <w:r>
        <w:t>The band that runs from Parmenides and Heraclitus through Kandinsky and Bergson belongs especially close to the point because it asks what movement does to identity. Being and Becoming can be framed through Subject and Object when a subject treats itself or another being as a stable entity, yet the deeper problem concerns persistence across time. A point that moves may seem to perish as a point, while the movement still depends on a recognizable origin. A subject changes through encounters while retaining enough continuity to answer to a name. A circle returns to the same location while the journey changes its sense. The point can therefore remain fixed as a reference while the relations that constitute its meaning continue to become, and this balance between recognizable persistence and real transformation will return throughout the chapter as the condition of Full Circle, living tradition, dialogue, and the jewel in Indra's Web.</w:t>
      </w:r>
    </w:p>
    <w:p>
      <w:pPr>
        <w:pStyle w:val="Body"/>
      </w:pPr>
      <w:r>
        <w:t>Pointing turns an undivided field into this and the rest, here and there, figure and background, chosen and presently unchosen. The gesture can be a finger, gaze, title, sound, cursor, mark, arrow, or pause that directs attention, and a point becomes shareable when one subject can direct another toward it. A question opens the selected point by asking what it is, why it matters, from which position it appears, where its movement leads, and what must return before its point has been made. A question therefore establishes both a beginning and an absence. It gives inquiry a direction while keeping the destination open enough for the journey to revise the question itself. Some circles return with an answer. Others return with a sharper question, a dissolved opposition, or the recognition that the first formulation hid an assumption that had to be rooted out.</w:t>
      </w:r>
    </w:p>
    <w:p>
      <w:pPr>
        <w:pStyle w:val="Body"/>
      </w:pPr>
      <w:r>
        <w:t>Naming gives the selected point enough continuity to be remembered, compared, cited, challenged, and revisited. A name allows a moving or distributed subject to travel through a conversation without being rediscovered from nothing at every turn, yet the same compression can freeze a process, objectify a subject, hide internal variation, or make a provisional boundary appear permanent. A living name must therefore remain stable enough for return and open enough for revision. The name of a person can persist while biography, relation, myth, social position, and self-understanding expand around it. The name creates a zero point for inquiry without exhausting the becoming of what it names.</w:t>
      </w:r>
    </w:p>
    <w:p>
      <w:pPr>
        <w:pStyle w:val="Body"/>
      </w:pPr>
      <w:r>
        <w:t>A provisional definition gives the name a temporary boundary and states which distinctions presently carry the inquiry. It determines which examples and counterexamples matter, which relations enter the frame, and which evidence could change the answer. Every definition is therefore a small model. A definition of ritual may foreground repetition, inherited trace, recognition, embodiment, collective consequence, symbolic order, or the movement between perseverance and transformation, and another purpose may require another emphasis. The provisional definition gives thought enough stability to move while keeping the definition available for the return that will reopen it through DENOTE and exegesis.</w:t>
      </w:r>
    </w:p>
    <w:p>
      <w:pPr>
        <w:pStyle w:val="Body"/>
      </w:pPr>
      <w:r>
        <w:t>Identity asks when two descriptions, moments, points, persons, or events count as the same, and identity through time asks what can change while the return still counts as a return. A perfect duplicate contributes no journey, while a destination with no relation to the beginning forms no recognizable circle. Full Circle requires continuity sufficient for recognition and difference sufficient for transformation. Contradictions often disappear when the supposed identity is examined more carefully because the conflicting claims refer to different times, scales, contexts, senses, subjects, or criteria. Polysemy also matters here because one word can carry several connected meanings without cancelling itself, and Frege's distinction between sense and reference helps explain how the same reference can return through a changed sense.</w:t>
      </w:r>
    </w:p>
    <w:p>
      <w:pPr>
        <w:pStyle w:val="Body"/>
      </w:pPr>
      <w:r>
        <w:t>Identity must remain distinct from the other relations through which points can meet. Equivalence treats different points as equal under a stated rule and for a stated purpose. Numerical equality concerns quantity. Semantic equivalence concerns sufficiently similar meaning within a context. Analogy reveals a shared pattern that allows one form to illuminate another. Correspondence maps a relation in one field onto a relation in another. Practical substitution allows one form to function in place of another under specified conditions. Polymythological recurrence follows a gesture, tension, role, image, transformation, or narrative movement as it appears across different myths, rituals, histories, media, cultures, and subjects. Confluence allows distinct streams to meet and produce a shared movement while preserving their histories. Concrescence collapses difference into one undifferentiated object or universal interpretation. Polymorphousmythology depends on confluence because synergy requires differences capable of contributing what the other circles do not already contain, and the English temptation to force every relation into OR repeatedly loses the richer work of AND.</w:t>
      </w:r>
    </w:p>
    <w:p>
      <w:pPr>
        <w:pStyle w:val="Body"/>
      </w:pPr>
      <w:r>
        <w:t>Equivalence makes counting possible because several points can be treated as members of one class after the inquiry decides which differences can be left outside the present purpose. Three gestures remain numerically three while differing in intention, embodiment, culture, consequence, and reception. Counting clarifies by compressing, and the compression becomes dangerous when the number is treated as complete knowledge. Models extend this selective operation. A model can be mathematical, geometric, causal, narrative, ritual, linguistic, historical, social, or mythological, and its value depends on whether the selected relations actually alter the answer. Formal models render some relations as variables, while hermeneutic and social inquiry also encounters traces, contexts, other subjects, inherited histories, counterexamples, material constraints, and alternative narratives that resist easy numerical conversion. Our starting assumptions about scope profoundly modify what we hope to achieve, so relevance must remain tied to the point of the inquiry rather than the mere availability of another connection.</w:t>
      </w:r>
    </w:p>
    <w:p>
      <w:pPr>
        <w:pStyle w:val="Body"/>
      </w:pPr>
      <w:r>
        <w:t>When a point moves, it draws a line. A line gives direction, sequence, distance, and a path along which consequences can unfold. A straight line represents a reduced trajectory in which the relevant forces remain stable enough for a direct inference, causal explanation, or intended plan. The world rarely leaves the line alone. Evidence, resistance, memory, consequence, another subject, a material obstacle, a competing model, an inherited ritual, a contradiction, a productive paradox, or feedback from the line's own effects can alter its direction. The bend records that the point has encountered a world. When the line curves toward the place from which it began, return becomes possible, and the curve carries the memory of its encounters in its shape.</w:t>
      </w:r>
    </w:p>
    <w:p>
      <w:pPr>
        <w:pStyle w:val="Body"/>
      </w:pPr>
      <w:r>
        <w:t>A return can be physical, conceptual, narrative, ritual, emotional, historical, linguistic, or social, and it requires recognizable relation to the starting point rather than exact repetition. The circle explains completion because the movement reaches its origin. The spiral explains deepening because the movement returns to a corresponding place at another depth, scale, or distance. The end can answer the beginning, reinterpret it, expose its error, dissolve its question, or become another point of departure. This is why the beginning and ending of a circle resolve the apparent opposition between a static point and a changing point. The position can recur while the meaning changes, and the movement can complete locally while the larger process continues.</w:t>
      </w:r>
    </w:p>
    <w:p>
      <w:pPr>
        <w:pStyle w:val="Heading1"/>
      </w:pPr>
      <w:r>
        <w:t>THE CIRCLE</w:t>
      </w:r>
    </w:p>
    <w:p>
      <w:pPr>
        <w:pStyle w:val="BodyFirst"/>
      </w:pPr>
      <w:r>
        <w:t>The snake wakes up upon itself. Ouroboros is reflection and our ability to steer through the determinism of the relations into which we are thrown and from which we gather our models, and this is why it all starts with the kinds of Ouroboros we manifest. A return can reveal the paradox of meaningful bliss or the nullifying chaos of contradiction. In the first, tension survives pressure and produces further meaning. In the second, the claim cancels the conditions required for its own validity and collapses under the weight of its incompatible determinations. Contradiction remains negative. Its discovery can provoke thought, yet the positive movement belongs to rooting it out, correcting it, dissolving it, or sublating what survives. Journeymen encounter contradiction and carry what survives through it, while Perpetual Journeymen remain caught in the performance of contradiction because they never complete the movement of correction or synthesis.</w:t>
      </w:r>
    </w:p>
    <w:p>
      <w:pPr>
        <w:pStyle w:val="Body"/>
      </w:pPr>
      <w:r>
        <w:t>Sublation cancels what fails, preserves what remains valid, and carries the preserved material into a stronger relation. It differs from merely choosing a side because a genuine opposition may reveal that each side holds part of the movement and that both were distorted by the form in which the conflict first appeared. Paradox belongs elsewhere. A paradox can remain unresolved because its opposing determinations continue to illuminate one another, as when a point remains singular through relations, a local circle completes inside a continuing process, repetition creates change, inherited materials become the ground of originality, or collective wholeness preserves painful differences. Paradox is seminar fuel. Contradiction is a repair signal.</w:t>
      </w:r>
    </w:p>
    <w:p>
      <w:pPr>
        <w:pStyle w:val="Body"/>
      </w:pPr>
      <w:r>
        <w:t>Circular reasoning and Full Circle reasoning therefore share a shape while performing opposite work. Circular reasoning hides the conclusion inside the premise and returns before any independent difference has entered. Full Circle begins from a point, passes through evidence, resistance, consequences, other perspectives, exclusions, and revision, then returns with a conclusion whose resemblance to the beginning has been earned. The path can reject material as well as integrate it because a productive return accounts for what entered, what was bracketed, what was discarded, and what remains unresolved. The journey may also reveal that the first question was malformed, in which case the circle returns to the starting site by dissolving the original formulation.</w:t>
      </w:r>
    </w:p>
    <w:p>
      <w:pPr>
        <w:pStyle w:val="Body"/>
      </w:pPr>
      <w:r>
        <w:t>The Tiny Ouroboros closes before the necessary work. It can appear as question-begging, self-refutation, slogan, thought-terminating idiom, ritualized agreement, or a definition that sends one word directly back to itself without adding a distinction. The Bloated Python moves in the opposite direction by gathering examples, citations, qualifications, variables, associations, and detours until the original point disappears. One form finishes before learning. The other expands beyond the possibility of synthesis. Full Circle occupies the difficult passage between them by travelling far enough for the point to change and returning before volume becomes an alibi for never having to make a point.</w:t>
      </w:r>
    </w:p>
    <w:p>
      <w:pPr>
        <w:pStyle w:val="Body"/>
      </w:pPr>
      <w:r>
        <w:t>Deep Ouroboros and the One or Long Ouroboros describe another axis. A Deep Ouroboros is a substantially self-contained work whose local circuits can be completed and then reopened by a reader. Its enclosure supports form and concentration while remaining permeable to another subject. The One or Long Ouroboros links circles across people, texts, disciplines, generations, and traditions, allowing every local completion to become material for another movement. A predatory loop reverses this openness by consuming the second-person subject, absorbing disagreement as fuel, and expanding through cancellation. The Long Snake grows through reflection, listening, dialogue, seminar, citation, history, and tradition, while the predatory snake grows by removing the beings whose responses could have corrected it.</w:t>
      </w:r>
    </w:p>
    <w:p>
      <w:pPr>
        <w:pStyle w:val="Body"/>
      </w:pPr>
      <w:r>
        <w:t>Movement can meet several fates. It can complete its own circle by returning to the question that began it. It can close destructively as a Tiny Ouroboros. It can wander as a Bloated Python until another movement recovers its point. It can be interrupted and survive as trace. It can be carried through relay when another subject continues what the first could not finish. It can be completed or transformed by history when later consequences return to reinterpret the origin. It can also enter other movements and produce a synergistic circle that none could complete alone. A movement may fail to complete its own circle and still necessarily complete some circle because the circle may belong to a relation, a later subject, a ritual, a text, a historical process, or the larger web rather than exclusively to the mover who began it.</w:t>
      </w:r>
    </w:p>
    <w:p>
      <w:pPr>
        <w:pStyle w:val="Body"/>
      </w:pPr>
      <w:r>
        <w:t>Trace makes this claim more than a comforting story of inevitable closure. A gesture, project, person, ritual, argument, or community can end before reaching its intended destination, while what it carried or left behind can enter memory, citation, imitation, material consequence, inherited practice, or another being's question. What cannot complete as action can continue as trace. The trace may be carried faithfully, distorted, forgotten, rediscovered, or transformed, and each later movement assumes responsibility for how it receives what came before. This is the burden of trace, the weight through which unfinished lives remain active in circles they could never have seen.</w:t>
      </w:r>
    </w:p>
    <w:p>
      <w:pPr>
        <w:pStyle w:val="Body"/>
      </w:pPr>
      <w:r>
        <w:t>Occam's Razor is always a Full Circle. Simplicity earns authority after the inquiry has encountered the relevant complexity and discovered which relations bear the weight of the answer. Applied too early, simplicity merely deletes what the thinker has not yet learned how to carry. Applied after adequate traversal, it compresses a completed movement into the smallest form that still preserves its decisive distinctions. Art and inquiry therefore share the question of knowing when to stop. The work arises between thrust and resistance, inspiration and critique, the capacity to act and the capacity to refrain. Excessive resistance prevents the work from appearing. Excessive thrust ruins it through continued production. Another circuit belongs when it changes the return. Further elaboration becomes Bloated Python when it increases volume while leaving the point unchanged.</w:t>
      </w:r>
    </w:p>
    <w:p>
      <w:pPr>
        <w:pStyle w:val="Body"/>
      </w:pPr>
      <w:r>
        <w:t>A Full Circle can produce several kinds of surplus. Synergy arises when the relation among parts creates meaning that none possessed alone. Sublation removes contradiction while preserving valid determinations. Reinterpretation changes the meaning of the earlier journey. Meaning compression lets a final image, joke, phrase, definition, or point carry a large circuit. Dissolution reveals that the original problem was badly formed. Transformation returns a recognizable form in a changed state. Integration brings separate materials into coherence. Differentiation creates meaning by separating what had been confused. Recognition reveals what or who had been present. Reversal changes direction, value, expectation, or power. Explanation supplies the missing relation. Repair returns to a rupture. Earned completion fulfils an earlier promise in proportion to the movement that prepared it.</w:t>
      </w:r>
    </w:p>
    <w:p>
      <w:pPr>
        <w:pStyle w:val="Body"/>
      </w:pPr>
      <w:r>
        <w:t>The return can occur through reflexivity when a process turns upon itself, translation or transposition when a structure crosses language, medium, discipline, culture, body, or scale, reciprocity when several sides transform one another, feedback when a result re-enters the process, nesting when one circle completes inside another, relay when another person, generation, work, ritual, or system carries the movement, and recurrence when a form returns without the return itself guaranteeing deeper meaning. These architectures can stack. A dialogue may produce synergy through reciprocity and translation. A seminar may produce reinterpretation through feedback and nesting. A tradition may carry repair through relay and recurrence. The category names the movement without enclosing the movement inside one name.</w:t>
      </w:r>
    </w:p>
    <w:p>
      <w:pPr>
        <w:pStyle w:val="Body"/>
      </w:pPr>
      <w:r>
        <w:t>Completion also has a felt register. Intellectual orgasm names the moment when many previously separate relations complete and become visible together. Wonder registers unexpected depth or scale. Catharsis releases accumulated tension. Surprise breaks expectation. Satisfaction recognizes proportionate return. Relief ends uncertainty or strain. The feeling does not prove the truth of the circle because a Tiny Ouroboros can imitate intensity, while the distinction protects the experience by locating its cause. Synergy is the highest surplus meaning produced. Intellectual orgasm is the strongest felt recognition of completed relations. The structure earns the feeling when the return remains accountable to the path that produced it.</w:t>
      </w:r>
    </w:p>
    <w:p>
      <w:pPr>
        <w:pStyle w:val="Body"/>
      </w:pPr>
      <w:r>
        <w:t>The same circle appears across many domains without becoming identical in each. The hermeneutic circle moves between part and whole. Reflective equilibrium lets principles reshape judgments while difficult cases reshape principles. Scientific models predict, encounter evidence, and return revised. Engineering moves through design, prototype, testing, feedback, and redesign. Control systems return output as input. Learning revisits a concept after the learner has gained capacities that alter what can be seen. Writing returns from an ending to revise the beginning. Historical interpretation turns earlier accounts into material for later history. Ethical judgment lets situations expose the limits of principles. Law moves between rules and cases. Democratic policy returns consequences and public response to the original purpose. Causal-loop analysis follows actions that change the system that produced them. Software recursion requires a base case. Music and rehearsal return through rhythm, memory, and variation. Conversation repair revisits an earlier statement after learning how it affected another subject. Archivalchemy brings old material into a new relation while preserving the source that makes the new meaning possible.</w:t>
      </w:r>
    </w:p>
    <w:p>
      <w:pPr>
        <w:pStyle w:val="Body"/>
      </w:pPr>
      <w:r>
        <w:t>The circle then turns toward language through DENOTE, a game in which a word is defined through other words and those words are opened in turn. A player may begin with freedom and define it through choice, constraint, capacity, power, or relation, then choose the important words inside that definition and define them next. The movement continues until the definitions reach a practical floor for the present participants, reveal a meaningful circular dependence, or begin repeating without adding another distinction. The floor changes with age, language, curriculum, purpose, culture, and philosophical depth. DENOTE therefore exposes the lexical network hidden inside a word that first appeared as one point.</w:t>
      </w:r>
    </w:p>
    <w:p>
      <w:pPr>
        <w:pStyle w:val="Body"/>
      </w:pPr>
      <w:r>
        <w:t>A Tiny lexical circle says A means B and B means A while adding no distinction. A larger lexical circuit can become informative when the route through B, C, D, and E reveals the relations that sustain A. The beginning becomes its own metaphorical end because the dictionary placed at the entrance can return after the extended metaphor has changed how every definition is read. DENOTE remains one operation within interpretation. It moves downward through definitions. Exegesis opens a passage, symbol, law, story, tradition, or text through context, history, use, and relation. Text to text, text to world, and text to self are parallel curriculum lenses that can occur separately, simultaneously, and in any order. They describe possible connections rather than a causal formula. The revised definition returns from these movements with greater precision and with a clearer sense of the relations it had compressed.</w:t>
      </w:r>
    </w:p>
    <w:p>
      <w:pPr>
        <w:pStyle w:val="Heading1"/>
      </w:pPr>
      <w:r>
        <w:t>MEANING</w:t>
      </w:r>
    </w:p>
    <w:p>
      <w:pPr>
        <w:pStyle w:val="BodyFirst"/>
      </w:pPr>
      <w:r>
        <w:t>When movement enters meaning production, the first circle is gesture. A gesture can point, answer, invite, refuse, imitate, offer, mark, turn away, raise a hand, make a sound, draw a line, open a door, or direct another subject's attention. It begins from an embodied position, enters a shared field, and returns through response, consequence, recognition, or reinterpretation. Intention can begin the gesture while reception can change its meaning. An accidental expression, posture, symptom, or material trace may also become interpretable even when no author intended to gesture, which is why gesture and trace remain connected without becoming the same. Gesture is enacted movement. Trace is what a movement carries, inherits, deposits, or leaves available for later circles.</w:t>
      </w:r>
    </w:p>
    <w:p>
      <w:pPr>
        <w:pStyle w:val="Body"/>
      </w:pPr>
      <w:r>
        <w:t>Trace runs across every level of meaning. A footprint carries movement after the body has left. A scar carries an event. A ritual gesture carries earlier enactments. An idiom carries social expectations. A narrative carries the memory of events it did not witness directly. A tradition carries the choices and wounds of absent participants. Trace can become a burden because later beings inherit responsibilities, constraints, and injuries they did not choose, and it can become a resource because no subject begins from an empty point. We are all mediators and translators. Every movement arrives through accumulated mediations, and every present enactment becomes part of the reserve from which later beings will have to work.</w:t>
      </w:r>
    </w:p>
    <w:p>
      <w:pPr>
        <w:pStyle w:val="Body"/>
      </w:pPr>
      <w:r>
        <w:t>Gesture enlarges into idiom and ritual through a chicken-and-egg relation rather than a fixed sequence. Belief can organize ritual when a phrase, command, story, law, or inherited interpretation directs the action. Ritual can produce belief when repeated participation changes expectation, belonging, perception, and the words through which the action is understood. Shils gives priority to belief. Pascal and Žižek give priority to enactment by proposing that acting as though one believes can generate belief, while the symbolic and social structure that makes the enactment intelligible has already begun before the first apparently mindless repetition. The more honest movement is therefore gesture, then idiom and ritual in reciprocal formation, then narrative, while all four remain capable of feeding back into one another.</w:t>
      </w:r>
    </w:p>
    <w:p>
      <w:pPr>
        <w:pStyle w:val="Body"/>
      </w:pPr>
      <w:r>
        <w:t>Ritual names repetition together with the social world carried by repetition. Habit names the recurrence. Ritual draws attention to inherited traces, expectations, relationships, symbolism, collective consequences, and the movement between secular and sacred, individual and collective, persistence and change, particular and universal, subject and object. Ritual salience names this gradient because the boundary depends on how much inherited expectation, symbolic force, collective recognition, and social consequence the repetition carries, rather than rigid necessary and sufficient conditions. Brushing teeth can be treated as habit, while the same act becomes visible as ritual when the inquiry includes childhood instruction, cleanliness, contamination, health, discipline, schedules, social acceptability, and the inherited fear of what happens when the practice stops. The queue, family meal, morning scroll, commute, water-cooler exchange, funeral, classroom, stadium, protest, and weekly gathering all participate in ceremony with different intensity and consequence.</w:t>
      </w:r>
    </w:p>
    <w:p>
      <w:pPr>
        <w:pStyle w:val="Body"/>
      </w:pPr>
      <w:r>
        <w:t>Ritual is an ambiguous supplement, a pharmakon capable of life and death, ease and pathology, belonging and exclusion, continuity and constraint. Habits make a world habitable by releasing attention from the need to define every situation anew, while the same familiarity can become addiction, tic, enclosure, or a global habit whose normality hides the structure that reproduces it. The delicate passage is a silk road between perseverance and malleability. Ritual must carry enough continuity for participants to recognize and inhabit it, while remaining responsive enough for changed conditions, other subjects, and inherited harms to alter what the repetition means. The highway to hell is paved with good intentions while the devil's advocates hold the key to the gates of heaven because every ritual of rescue can become another machinery of enclosure when reflection leaves the practice.</w:t>
      </w:r>
    </w:p>
    <w:p>
      <w:pPr>
        <w:pStyle w:val="Body"/>
      </w:pPr>
      <w:r>
        <w:t>An idiom is a portable linguistic form that compresses a larger social performance into a phrase, rhythm, response, or expected turn. Some idioms carry strong ritual scripts, as when show respect, say grace, set boundaries, thoughts and prayers, educate yourself, or stand for the anthem direct participants toward recognizable performances. Repeated rituals also generate the phrases through which communities explain themselves. The hivemindidiom is the dangerous limit of this compression, an earworm and a shortcut that exports the hard work and accountability of thinking and building subjectivity into a prepackaged response. It is the shortest Ouroboros, a contentinternet link that cites only itself, closes the route of reply, and can continue repeating because every response has already been assigned a place inside the loop. No can end dialogue. Bad faith can become meaningless through reflexive overuse. A timestamped moral outrage can auto-update every year while leaving the structure unchanged. The idiom feels like thought because recognition arrives quickly, and the speed of recognition hides the absence of movement.</w:t>
      </w:r>
    </w:p>
    <w:p>
      <w:pPr>
        <w:pStyle w:val="Body"/>
      </w:pPr>
      <w:r>
        <w:t>Narrative organizes gesture, idiom, and ritual through time by establishing agents, events, sequence, motive, consequence, perspective, conflict, transformation, possible worlds, beginnings, and endings. Narrative can operate through writing, speech, film, dance, procession, image, music, architecture, or ritual performance. It also moves downward. A narrative supplies the world in which an idiom makes sense. The idiom invokes a script. The ritual organizes enactment. Gesture performs the movement. The new enactment can then revise the narrative. Narrative therefore carries enormous compression power. It can make memory transmissible, coordinate action, and give suffering a route toward meaning. The same power can erase complexity, turn a subject into a role, distribute a stereotype, or gorgonify a living disagreement into a familiar plot. Compression magnifies consequence rather than guaranteeing progress.</w:t>
      </w:r>
    </w:p>
    <w:p>
      <w:pPr>
        <w:pStyle w:val="Body"/>
      </w:pPr>
      <w:r>
        <w:t>Myth names the full configuration in which gesture, idiom, ritual, narrative, inherited trace, social enactment, and world orientation operate together. Mythology and reality intertwine because myth does not wait outside life as a fictional decoration. It enters perception, expectation, character, institution, relation, and the stories through which causes become visible. Polymyth begins when several mythic configurations encounter one another across cultures, media, histories, public figures, disciplines, and private lives. Their meeting can reveal analogy, correspondence, contradiction, recurrence, translation, and synergy, while Meta-Consistent Logic requires the internal logic of every narrative world to remain answerable to the external structures it claims to illuminate. Fantasy can extend reality when the movement has an in-world reason and an external relation. Arbitrary assignment merely replaces inquiry with decoration.</w:t>
      </w:r>
    </w:p>
    <w:p>
      <w:pPr>
        <w:pStyle w:val="Body"/>
      </w:pPr>
      <w:r>
        <w:t>Writing can become de-Gorgonification because sustained composition demands a longer circle than the quick rationality of the hivemindidiom, yet a book can also become a Gorgonified product when its structure merely strengthens static idioms or when readers fill every open space with the prepackaged interpretation they carried into the text. A work therefore needs resistance built into its movement. It must remain dialectically active, preserve the differences that give its comparisons meaning, and deny the easy reduction through which a chapter becomes a slogan before the reader has travelled it. The banality of evil provides the warning because an entire argument can be replaced by the recognition of one famous phrase. Petrification as the solidification of ideas is equally easy. Everyone already knows the image of Medusa turning people to stone, so the familiar interpretation becomes the strongest form of platformstrawmanculture, recognition impersonates analysis, and the operative meaning of cancellation disappears.</w:t>
      </w:r>
    </w:p>
    <w:p>
      <w:pPr>
        <w:pStyle w:val="Body"/>
      </w:pPr>
      <w:r>
        <w:t>Petrification means cancellation. It names blocking, banning, shadowbanning, removing a person or work from discourse, making the source inaccessible, and obelisking the subject until only the platform's description remains. Solidification describes the overfamiliar shell. Gorgonification describes the enforcing formation that recruits participants into a factional line, predetermines the permitted answer, and treats reinterpretation as betrayal. Petrification describes what that formation does to a subject or work. These failures can seize a gesture, idiom, ritual, narrative, dialogue, seminar, citation, history, tradition, or polymorphousmythology itself, so the chapter must resist its own conversion into another easy takeaway. The reader has to travel the circle rather than receive a slogan that claims to stand in for the journey.</w:t>
      </w:r>
    </w:p>
    <w:p>
      <w:pPr>
        <w:pStyle w:val="Heading1"/>
      </w:pPr>
      <w:r>
        <w:t>THE COLLECTIVE</w:t>
      </w:r>
    </w:p>
    <w:p>
      <w:pPr>
        <w:pStyle w:val="BodyFirst"/>
      </w:pPr>
      <w:r>
        <w:t>Reflection turns a movement back upon itself, while monologue names the social form through which one voice may or may not perform that return. A monologue can repeat an idiom without reflection. Reflection can occur through writing, silence, image, movement, ritual, model, or revision. The relevant first social circle is reflective monologue, where a subject asks what it assumed, which route it followed, what it excluded, which contradiction appeared, which paradox remained alive, and what changed when the movement returned. Reflection becomes refraction when the subject compares the presented view with evidence, context, alternative perspectives, and the fuller field from which every local view has been bent. Several people walking around a statue may each see a real side without any one angle containing the whole. Their accounts can be compared and corrected, producing an asymptotic movement toward the fullest available reality rather than a vote in which every perspective receives equal accuracy.</w:t>
      </w:r>
    </w:p>
    <w:p>
      <w:pPr>
        <w:pStyle w:val="Body"/>
      </w:pPr>
      <w:r>
        <w:t>Ouroborosanalysis formalizes this reflective discipline. It reviews the whole discussion or body of work, strengthens every position into its strongest defensible form, answers the criticisms that can already be answered, roots out contradictions introduced by category drift or false identity, and preserves only the questions that remain genuinely unresolved. Repeated passes move deeper from the visible claim to its sources, assumptions, methods, categories, exclusions, and the habits of reasoning that produced it. The procedure ends with real questions rather than manufacturing uncertainty for the performance of depth. A productive circle has already answered what it can. What remains deserves another subject.</w:t>
      </w:r>
    </w:p>
    <w:p>
      <w:pPr>
        <w:pStyle w:val="Body"/>
      </w:pPr>
      <w:r>
        <w:t>Dialogue begins when another subject changes the route through which thought returns to itself. Two people delivering prepared speeches remain two adjacent monologues. The figure eight appears when each participant passes through a shared crossing and comes back altered. The crossing may be listening, disagreement, translation, a shared question, a common text, mutual recognition, conflict, or vulnerability to revision. The second-person subject matters because the other can answer, resist, refuse, surprise, and disclose a perspective unavailable from inside the first circle. A handshake gives a modest model. Two subjects enter a recognized form, preserve their distinct positions, and establish relation without requiring complete agreement or a fully articulated common narrative.</w:t>
      </w:r>
    </w:p>
    <w:p>
      <w:pPr>
        <w:pStyle w:val="Body"/>
      </w:pPr>
      <w:r>
        <w:t>Synergy appears when the relation produces a third meaning, capacity, practice, or possibility that existed fully in neither participant beforehand. Relay can allow one subject to finish another's movement. Integration can bring several materials into coherence. Sublation can preserve what survives contradiction. Synergy names the surplus generated by the encounter itself. The figure eight is therefore the elementary social geometry of polymorphousmythology because separate circles remain visible while their crossing creates another point capable of beginning further movement. Difference provides the missing information. Reciprocity gives each participant the power to change the relation. The resulting C exceeds the addition of A and B while remaining dependent on the circles whose differences made it possible.</w:t>
      </w:r>
    </w:p>
    <w:p>
      <w:pPr>
        <w:pStyle w:val="Body"/>
      </w:pPr>
      <w:r>
        <w:t>Many figure-eight dialogues can gather around a shared question, passage, event, artwork, problem, or ritual and form the seminar rosette. Each loop preserves a local exchange while the larger circle returns collectively to the shared point. A seminar requires more than numerical accumulation. It needs a gathering ritual, rules of address, shared evidence, collective memory, opportunities for later re-entry, and a way to preserve unresolved differences without converting the room into permanent indecision. The facilitator asks a question that supports several defensible answers, tracks claims, requests evidence, exposes assumptions while preserving dignity, distinguishes two people using one word differently, follows one thread deeper, identifies the stake of disagreement, recognizes exhausted agreement, and allows a productive paradox to remain open. This is the Sabachtan Socratic Dialogic Method, a practice of carrying the abandonment and painful wholeness of inquiry without using uncertainty as a weapon against participation.</w:t>
      </w:r>
    </w:p>
    <w:p>
      <w:pPr>
        <w:jc w:val="center"/>
      </w:pPr>
      <w:r>
        <w:drawing>
          <wp:inline xmlns:a="http://schemas.openxmlformats.org/drawingml/2006/main" xmlns:pic="http://schemas.openxmlformats.org/drawingml/2006/picture">
            <wp:extent cx="5074920" cy="5074920"/>
            <wp:docPr id="1" name="Picture 1"/>
            <wp:cNvGraphicFramePr>
              <a:graphicFrameLocks noChangeAspect="1"/>
            </wp:cNvGraphicFramePr>
            <a:graphic>
              <a:graphicData uri="http://schemas.openxmlformats.org/drawingml/2006/picture">
                <pic:pic>
                  <pic:nvPicPr>
                    <pic:cNvPr id="0" name="image(142).png"/>
                    <pic:cNvPicPr/>
                  </pic:nvPicPr>
                  <pic:blipFill>
                    <a:blip r:embed="rId9"/>
                    <a:stretch>
                      <a:fillRect/>
                    </a:stretch>
                  </pic:blipFill>
                  <pic:spPr>
                    <a:xfrm>
                      <a:off x="0" y="0"/>
                      <a:ext cx="5074920" cy="5074920"/>
                    </a:xfrm>
                    <a:prstGeom prst="rect"/>
                  </pic:spPr>
                </pic:pic>
              </a:graphicData>
            </a:graphic>
          </wp:inline>
        </w:drawing>
      </w:r>
    </w:p>
    <w:p>
      <w:pPr>
        <w:pStyle w:val="Movement"/>
      </w:pPr>
      <w:r>
        <w:t>Seminar rosette: local figure-eight dialogues preserved inside one collective return</w:t>
      </w:r>
    </w:p>
    <w:p>
      <w:pPr>
        <w:pStyle w:val="Body"/>
      </w:pPr>
      <w:r>
        <w:t>The seminar moves in two directions at once. It returns inward when each participant reflects on what changed, which contradiction was rooted out, which paradox became richer, which voice revealed an unseen side, and which question begins the next circle. It travels outward through citation, history, and tradition when the collective movement reaches people who were absent from the room. The reflective transcript makes the facilitator's own questions part of the material for later review. The seminar can still fail. Ritualized agreement produces a Tiny Ouroboros. Endless citation produces a Bloated Python. Predetermined answers turn participants into enforcers. Genuine collective return preserves the figure eights inside the larger circle and allows every participant to remain a second-person subject.</w:t>
      </w:r>
    </w:p>
    <w:p>
      <w:pPr>
        <w:pStyle w:val="Body"/>
      </w:pPr>
      <w:r>
        <w:t>Citation is relay and trace. It acknowledges that the present movement did not begin entirely here and gives later participants a route back to the source. Citation can preserve exact wording when the phrase, rhythm, definition, joke, contradiction, or conceptual mutation is itself the object of inquiry. It can also become authority display, scholastic enclosure, accumulation without return, or another overfamiliar name that lets recognition stand in for reading. Every citation therefore enters the circle according to what it changes. It may correct the model, reveal an inheritance, reopen an abandoned question, or simply increase the volume of names. The source remains visible so that synthesis can grow beside it without quietly replacing what was actually written.</w:t>
      </w:r>
    </w:p>
    <w:p>
      <w:pPr>
        <w:pStyle w:val="Body"/>
      </w:pPr>
      <w:r>
        <w:t>History accumulates movements, traces, citations, rituals, cancellations, reinterpretations, and consequences across time, and later events can return to change what an origin means. A work may remain unfinished, suppressed, misunderstood, or inaccessible during the life of its author and enter another circle through a later reader. Historical writing becomes material for later history. An ending can reveal what the beginning was doing before anyone present could name it. Archivalchemy brings old material into a new relation while keeping the source recognizable, allowing an archive to become active in the present without rewriting its past as though it had always possessed the coherence that later synthesis found.</w:t>
      </w:r>
    </w:p>
    <w:p>
      <w:pPr>
        <w:pStyle w:val="Body"/>
      </w:pPr>
      <w:r>
        <w:t>Tradition appears when historical movements are repeatedly transmitted, taught, enacted, remembered, contested, and revised. A living tradition preserves forms while allowing present participants, changed conditions, other subjects, and unresolved tensions to change what repetition means. A resuscitated tradition can reopen the past and generate new life, or it can harden into an absolutist script that protects inherited answers from encounter. The test is relational. Participants in a living tradition can reinterpret the form, disagree, and remain inside the relation. A gorgonified tradition treats deviation as betrayal and turns later participants into the guardians of a conclusion whose original journey has been forgotten.</w:t>
      </w:r>
    </w:p>
    <w:p>
      <w:pPr>
        <w:pStyle w:val="Body"/>
      </w:pPr>
      <w:r>
        <w:t>Collective ritual is a kind of synergy. It coordinates bodies, gestures, idioms, narratives, technologies, spaces, institutions, memories, expectations, absences, and inherited traces into an event that belongs to none of the participants alone. A seminar is collective ritual when gathering, questioning, listening, citing, disagreeing, revising, and returning create a shared form. A family meal, classroom, funeral, protest, workplace, public ceremony, online exchange, or civic institution can also carry collective ritual with different salience. The ritual changes participants, produces memory, creates belonging, distributes harm, generates idioms, revises narrative, and becomes material for later tradition.</w:t>
      </w:r>
    </w:p>
    <w:p>
      <w:pPr>
        <w:pStyle w:val="Body"/>
      </w:pPr>
      <w:r>
        <w:t>We are all ritual practitioners and inscribers because every response reinforces, redirects, or leaves another trace inside the forms through which collective life continues. The primary responsibility is to heal ghosts of collective trauma without pretending that one universal form can contain every wound. Encountering another perspective from the utmost periphery can reveal how each position exists in a constitutive relationship with its own outside, and civic ritual can create shared spaces in which painful wholeness becomes bearable without requiring the differences to disappear. The task reaches beyond the individual because collective historical wounds are carried through institutions, languages, bodies, habits, media, environments, and the rituals by which a society decides whose burdens count. Collective ritual becomes a possible route toward repair when participants accept responsibility for what they did not originally believe was theirs.</w:t>
      </w:r>
    </w:p>
    <w:p>
      <w:pPr>
        <w:pStyle w:val="Heading1"/>
      </w:pPr>
      <w:r>
        <w:t>THE WEB</w:t>
      </w:r>
    </w:p>
    <w:p>
      <w:pPr>
        <w:pStyle w:val="BodyFirst"/>
      </w:pPr>
      <w:r>
        <w:t>The widening movement can now be drawn. One reflective subject forms a circle. Two subjects who change one another form a figure eight. Many dialogues held inside one collective return form the seminar rosette. When several such circles overlap, the pattern becomes flowerlike and creates shared regions that belong to more than one circle. The Flower of Life serves here as a visual model of living overlap rather than a claim that one sacred diagram secretly controls the universe. A circle can represent a person, question, seminar, ritual, text, narrative, tradition, culture, discipline, mythology, or historical period, and each overlap creates another local centre from which the shared field can be entered.</w:t>
      </w:r>
    </w:p>
    <w:p>
      <w:pPr>
        <w:pStyle w:val="Body"/>
      </w:pPr>
      <w:r>
        <w:t>When lines are drawn among the centres and crossings produced by those overlapping circles, the pattern commonly called Metatron's Cube becomes a model for explicit relation. The lines can represent citation, influence, disagreement, translation, analogy, correspondence, recurrence, ritual inheritance, pedagogy, historical relay, shared participants, material consequence, contradiction, repair, and transformation. The geometry restarts at a larger scale because the chapter began with a point, movement drew a line, encounter bent the line into a curve, return produced a circle, overlapping circles produced new points, and those points now generate new lines. The finite diagram clarifies structure while preparing the movement beyond its border.</w:t>
      </w:r>
    </w:p>
    <w:p>
      <w:pPr>
        <w:pStyle w:val="Body"/>
      </w:pPr>
      <w:r>
        <w:t>Indra's Web opens the bounded pattern into potentially unlimited interreflection. Every point appears as a jewel, every jewel reflects other jewels, and every relation changes what can appear through the connected centres. The jewel remains singular while its position, possibilities, and meaning arise through relation. It is neither an isolated atom nor a dissolved fragment of one total substance. It is a relational singularity. The node exists through its connections, and the connections exist through their nodes. Point and web therefore exchange priority according to the direction of inquiry. The point comes first in the order of the chapter. The web comes first as the always already condition that allowed any meaningful point to appear.</w:t>
      </w:r>
    </w:p>
    <w:p>
      <w:pPr>
        <w:pStyle w:val="Body"/>
      </w:pPr>
      <w:r>
        <w:t>The point is discovered as a jewel. It does not suddenly become relational at the end because the chapter has gradually revealed the language, memory, embodiment, gesture, ritual, narrative, other subjects, citations, histories, and inherited traces that were active inside its apparent isolation from the beginning. The point remains one point while carrying relations that exceed it. Its singularity survives. Its fantasy of self-creation dissolves. This is the full return from the smallest visible distinction to the largest relational field and back to a point capable of compressing the whole movement.</w:t>
      </w:r>
    </w:p>
    <w:p>
      <w:pPr>
        <w:pStyle w:val="Body"/>
      </w:pPr>
      <w:r>
        <w:t>Polymyth is a collective ritual that is always already happening. People participate by pointing, naming, defining, speaking, listening, repeating, imitating, interpreting, citing, storytelling, ritualizing, remembering, forgetting, translating, rejecting, combining, teaching, performing, platforming, and carrying the traces of movements they never chose. Mythology and reality intertwine because these forms organize perception and action before anyone stands outside them to give the process a name. Polymorphousmythology is both a methodology and an object of study because it studies the collective making of meaning while participating in the same collective ritual. It makes the process visible, reflective, linkable, contestable, revisable, and increasingly deliberate.</w:t>
      </w:r>
    </w:p>
    <w:p>
      <w:pPr>
        <w:pStyle w:val="Body"/>
      </w:pPr>
      <w:r>
        <w:t>The reader has already entered the ritual by following points, accepting or resisting definitions, tracing words through other words, recalling texts, recognizing patterns, interpreting images, carrying idioms, and allowing the present chapter to meet other circles of experience. Chapter 0 becomes a Deep Ouroboros when it completes enough of its movement to be entered as a work, while every reader reconnects it to the One or Long Ouroboros through disagreement, citation, teaching, revision, and further creation. The invitation of Contentinternet is participation rather than passive consumption. The reader can create another link, another document, another ritual, another mythological route, and the circle can continue somewhere else.</w:t>
      </w:r>
    </w:p>
    <w:p>
      <w:pPr>
        <w:pStyle w:val="Body"/>
      </w:pPr>
      <w:r>
        <w:t>The final realization gathers every scale. Full Circle names the return through which the starting point becomes intelligible. Synergy names the surplus produced when distinct circles meet and create a meaning available to none alone. Intellectual orgasm names the felt moment when the relations that seemed scattered suddenly complete and become visible together. Collective ritual is the social form through which such synergy can be repeated, inherited, transformed, and carried beyond the participants who began it. The point returns as a jewel inside the whole web, while the whole web becomes compressed inside the returned point. Realizing that polymyth is the collective ritual already happening is where Chapter 0 ends, because the reader can now see that the movement described by the chapter has been occurring through the act of reading it. The chapter finally makes its point.</w:t>
      </w:r>
    </w:p>
    <w:p>
      <w:pPr>
        <w:pStyle w:val="Body"/>
      </w:pPr>
      <w:r>
        <w:t>The ownership of this chapter remains bracketed because it may stand at the beginning of Polymorphousmythology, at the beginning of Year of the Snakes, as a shared threshold, or as Book 0. The conceptual bridge into the next movement is already visible. Once the point has been discovered as a jewel formed through inherited relations, the human subject can be approached as one such point whose language, culture, platform formations, rituals, narratives, and mythologies arrived before any claim of self-creation. Chapter 1 can therefore begin from the proposition that originality is impossible and follow how inherited clay becomes singular through the pattern by which it is consumed, rejected, digested, recombined, and named original anyway.</w:t>
      </w:r>
    </w:p>
    <w:p>
      <w:pPr>
        <w:sectPr>
          <w:footerReference w:type="default" r:id="rId10"/>
          <w:footerReference w:type="first" r:id="rId11"/>
          <w:pgSz w:w="12240" w:h="15840"/>
          <w:pgMar w:top="1152" w:right="1296" w:bottom="1080" w:left="1296" w:header="720" w:footer="720" w:gutter="0"/>
          <w:cols w:space="720"/>
          <w:titlePg/>
          <w:docGrid w:linePitch="360"/>
        </w:sectPr>
      </w:pPr>
    </w:p>
    <w:p>
      <w:pPr>
        <w:pStyle w:val="Heading1"/>
      </w:pPr>
      <w:r>
        <w:t>SUBJECT AND OBJECT MAP</w:t>
      </w:r>
    </w:p>
    <w:p>
      <w:pPr>
        <w:pStyle w:val="BodyFirst"/>
      </w:pPr>
      <w:r>
        <w:t>This table ranks how strongly each duality can be read through Subject and Object, while preserving the meaning that remains when the duality keeps its own name. The point-specific questions concerning Being and Becoming, persistence through movement, Parmenides and Heraclitus, Kandinsky and Bergson, pure and inherited origin, absolute and provisional centre, opening and closing, and beginning and ending belong especially close to the rows on Being, identity, relation, perspective, and process.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504"/>
            <w:vAlign w:val="center"/>
          </w:tcPr>
          <w:p>
            <w:pPr>
              <w:jc w:val="center"/>
            </w:pPr>
            <w:r>
              <w:rPr>
                <w:rFonts w:ascii="EB Garamond" w:hAnsi="EB Garamond"/>
                <w:b/>
                <w:sz w:val="16"/>
              </w:rPr>
              <w:t>#</w:t>
            </w:r>
          </w:p>
        </w:tc>
        <w:tc>
          <w:tcPr>
            <w:tcW w:type="dxa" w:w="2808"/>
            <w:vAlign w:val="center"/>
          </w:tcPr>
          <w:p>
            <w:pPr>
              <w:jc w:val="center"/>
            </w:pPr>
            <w:r>
              <w:rPr>
                <w:rFonts w:ascii="EB Garamond" w:hAnsi="EB Garamond"/>
                <w:b/>
                <w:sz w:val="16"/>
              </w:rPr>
              <w:t>Duality</w:t>
            </w:r>
          </w:p>
        </w:tc>
        <w:tc>
          <w:tcPr>
            <w:tcW w:type="dxa" w:w="5112"/>
            <w:vAlign w:val="center"/>
          </w:tcPr>
          <w:p>
            <w:pPr>
              <w:jc w:val="center"/>
            </w:pPr>
            <w:r>
              <w:rPr>
                <w:rFonts w:ascii="EB Garamond" w:hAnsi="EB Garamond"/>
                <w:b/>
                <w:sz w:val="16"/>
              </w:rPr>
              <w:t>Relation to Subject and Object</w:t>
            </w:r>
          </w:p>
        </w:tc>
        <w:tc>
          <w:tcPr>
            <w:tcW w:type="dxa" w:w="5400"/>
            <w:vAlign w:val="center"/>
          </w:tcPr>
          <w:p>
            <w:pPr>
              <w:jc w:val="center"/>
            </w:pPr>
            <w:r>
              <w:rPr>
                <w:rFonts w:ascii="EB Garamond" w:hAnsi="EB Garamond"/>
                <w:b/>
                <w:sz w:val="16"/>
              </w:rPr>
              <w:t>Meaning preserved independently</w:t>
            </w:r>
          </w:p>
        </w:tc>
      </w:tr>
      <w:tr>
        <w:tc>
          <w:tcPr>
            <w:tcW w:type="dxa" w:w="504"/>
            <w:vAlign w:val="top"/>
          </w:tcPr>
          <w:p>
            <w:pPr>
              <w:spacing w:after="0" w:line="240" w:lineRule="auto"/>
            </w:pPr>
            <w:r>
              <w:rPr>
                <w:rFonts w:ascii="EB Garamond" w:hAnsi="EB Garamond"/>
                <w:sz w:val="14"/>
              </w:rPr>
              <w:t>1</w:t>
            </w:r>
          </w:p>
        </w:tc>
        <w:tc>
          <w:tcPr>
            <w:tcW w:type="dxa" w:w="2808"/>
            <w:vAlign w:val="top"/>
          </w:tcPr>
          <w:p>
            <w:pPr>
              <w:spacing w:after="0" w:line="240" w:lineRule="auto"/>
            </w:pPr>
            <w:r>
              <w:rPr>
                <w:rFonts w:ascii="EB Garamond" w:hAnsi="EB Garamond"/>
                <w:sz w:val="14"/>
              </w:rPr>
              <w:t>Subject vs Object</w:t>
            </w:r>
          </w:p>
        </w:tc>
        <w:tc>
          <w:tcPr>
            <w:tcW w:type="dxa" w:w="5112"/>
            <w:vAlign w:val="top"/>
          </w:tcPr>
          <w:p>
            <w:pPr>
              <w:spacing w:after="0" w:line="240" w:lineRule="auto"/>
            </w:pPr>
            <w:r>
              <w:rPr>
                <w:rFonts w:ascii="EB Garamond" w:hAnsi="EB Garamond"/>
                <w:sz w:val="14"/>
              </w:rPr>
              <w:t>The exact distinction.</w:t>
            </w:r>
          </w:p>
        </w:tc>
        <w:tc>
          <w:tcPr>
            <w:tcW w:type="dxa" w:w="5400"/>
            <w:vAlign w:val="top"/>
          </w:tcPr>
          <w:p>
            <w:pPr>
              <w:spacing w:after="0" w:line="240" w:lineRule="auto"/>
            </w:pPr>
            <w:r>
              <w:rPr>
                <w:rFonts w:ascii="EB Garamond" w:hAnsi="EB Garamond"/>
                <w:sz w:val="14"/>
              </w:rPr>
              <w:t>Experiencer versus what is experienced.</w:t>
            </w:r>
          </w:p>
        </w:tc>
      </w:tr>
      <w:tr>
        <w:tc>
          <w:tcPr>
            <w:tcW w:type="dxa" w:w="504"/>
            <w:vAlign w:val="top"/>
          </w:tcPr>
          <w:p>
            <w:pPr>
              <w:spacing w:after="0" w:line="240" w:lineRule="auto"/>
            </w:pPr>
            <w:r>
              <w:rPr>
                <w:rFonts w:ascii="EB Garamond" w:hAnsi="EB Garamond"/>
                <w:sz w:val="14"/>
              </w:rPr>
              <w:t>2</w:t>
            </w:r>
          </w:p>
        </w:tc>
        <w:tc>
          <w:tcPr>
            <w:tcW w:type="dxa" w:w="2808"/>
            <w:vAlign w:val="top"/>
          </w:tcPr>
          <w:p>
            <w:pPr>
              <w:spacing w:after="0" w:line="240" w:lineRule="auto"/>
            </w:pPr>
            <w:r>
              <w:rPr>
                <w:rFonts w:ascii="EB Garamond" w:hAnsi="EB Garamond"/>
                <w:sz w:val="14"/>
              </w:rPr>
              <w:t>Subjectivity vs Objectivity</w:t>
            </w:r>
          </w:p>
        </w:tc>
        <w:tc>
          <w:tcPr>
            <w:tcW w:type="dxa" w:w="5112"/>
            <w:vAlign w:val="top"/>
          </w:tcPr>
          <w:p>
            <w:pPr>
              <w:spacing w:after="0" w:line="240" w:lineRule="auto"/>
            </w:pPr>
            <w:r>
              <w:rPr>
                <w:rFonts w:ascii="EB Garamond" w:hAnsi="EB Garamond"/>
                <w:sz w:val="14"/>
              </w:rPr>
              <w:t>View from a subject versus truth independent of that view.</w:t>
            </w:r>
          </w:p>
        </w:tc>
        <w:tc>
          <w:tcPr>
            <w:tcW w:type="dxa" w:w="5400"/>
            <w:vAlign w:val="top"/>
          </w:tcPr>
          <w:p>
            <w:pPr>
              <w:spacing w:after="0" w:line="240" w:lineRule="auto"/>
            </w:pPr>
            <w:r>
              <w:rPr>
                <w:rFonts w:ascii="EB Garamond" w:hAnsi="EB Garamond"/>
                <w:sz w:val="14"/>
              </w:rPr>
              <w:t>Standards for evidence, neutrality, and shared truth.</w:t>
            </w:r>
          </w:p>
        </w:tc>
      </w:tr>
      <w:tr>
        <w:tc>
          <w:tcPr>
            <w:tcW w:type="dxa" w:w="504"/>
            <w:vAlign w:val="top"/>
          </w:tcPr>
          <w:p>
            <w:pPr>
              <w:spacing w:after="0" w:line="240" w:lineRule="auto"/>
            </w:pPr>
            <w:r>
              <w:rPr>
                <w:rFonts w:ascii="EB Garamond" w:hAnsi="EB Garamond"/>
                <w:sz w:val="14"/>
              </w:rPr>
              <w:t>3</w:t>
            </w:r>
          </w:p>
        </w:tc>
        <w:tc>
          <w:tcPr>
            <w:tcW w:type="dxa" w:w="2808"/>
            <w:vAlign w:val="top"/>
          </w:tcPr>
          <w:p>
            <w:pPr>
              <w:spacing w:after="0" w:line="240" w:lineRule="auto"/>
            </w:pPr>
            <w:r>
              <w:rPr>
                <w:rFonts w:ascii="EB Garamond" w:hAnsi="EB Garamond"/>
                <w:sz w:val="14"/>
              </w:rPr>
              <w:t>Knower vs Known</w:t>
            </w:r>
          </w:p>
        </w:tc>
        <w:tc>
          <w:tcPr>
            <w:tcW w:type="dxa" w:w="5112"/>
            <w:vAlign w:val="top"/>
          </w:tcPr>
          <w:p>
            <w:pPr>
              <w:spacing w:after="0" w:line="240" w:lineRule="auto"/>
            </w:pPr>
            <w:r>
              <w:rPr>
                <w:rFonts w:ascii="EB Garamond" w:hAnsi="EB Garamond"/>
                <w:sz w:val="14"/>
              </w:rPr>
              <w:t>The knowing subject versus the known object.</w:t>
            </w:r>
          </w:p>
        </w:tc>
        <w:tc>
          <w:tcPr>
            <w:tcW w:type="dxa" w:w="5400"/>
            <w:vAlign w:val="top"/>
          </w:tcPr>
          <w:p>
            <w:pPr>
              <w:spacing w:after="0" w:line="240" w:lineRule="auto"/>
            </w:pPr>
            <w:r>
              <w:rPr>
                <w:rFonts w:ascii="EB Garamond" w:hAnsi="EB Garamond"/>
                <w:sz w:val="14"/>
              </w:rPr>
              <w:t>What knowledge is and how it succeeds.</w:t>
            </w:r>
          </w:p>
        </w:tc>
      </w:tr>
      <w:tr>
        <w:tc>
          <w:tcPr>
            <w:tcW w:type="dxa" w:w="504"/>
            <w:vAlign w:val="top"/>
          </w:tcPr>
          <w:p>
            <w:pPr>
              <w:spacing w:after="0" w:line="240" w:lineRule="auto"/>
            </w:pPr>
            <w:r>
              <w:rPr>
                <w:rFonts w:ascii="EB Garamond" w:hAnsi="EB Garamond"/>
                <w:sz w:val="14"/>
              </w:rPr>
              <w:t>4</w:t>
            </w:r>
          </w:p>
        </w:tc>
        <w:tc>
          <w:tcPr>
            <w:tcW w:type="dxa" w:w="2808"/>
            <w:vAlign w:val="top"/>
          </w:tcPr>
          <w:p>
            <w:pPr>
              <w:spacing w:after="0" w:line="240" w:lineRule="auto"/>
            </w:pPr>
            <w:r>
              <w:rPr>
                <w:rFonts w:ascii="EB Garamond" w:hAnsi="EB Garamond"/>
                <w:sz w:val="14"/>
              </w:rPr>
              <w:t>Observer vs Observed</w:t>
            </w:r>
          </w:p>
        </w:tc>
        <w:tc>
          <w:tcPr>
            <w:tcW w:type="dxa" w:w="5112"/>
            <w:vAlign w:val="top"/>
          </w:tcPr>
          <w:p>
            <w:pPr>
              <w:spacing w:after="0" w:line="240" w:lineRule="auto"/>
            </w:pPr>
            <w:r>
              <w:rPr>
                <w:rFonts w:ascii="EB Garamond" w:hAnsi="EB Garamond"/>
                <w:sz w:val="14"/>
              </w:rPr>
              <w:t>The subject examines an object.</w:t>
            </w:r>
          </w:p>
        </w:tc>
        <w:tc>
          <w:tcPr>
            <w:tcW w:type="dxa" w:w="5400"/>
            <w:vAlign w:val="top"/>
          </w:tcPr>
          <w:p>
            <w:pPr>
              <w:spacing w:after="0" w:line="240" w:lineRule="auto"/>
            </w:pPr>
            <w:r>
              <w:rPr>
                <w:rFonts w:ascii="EB Garamond" w:hAnsi="EB Garamond"/>
                <w:sz w:val="14"/>
              </w:rPr>
              <w:t>Measurement, method, and observer influence.</w:t>
            </w:r>
          </w:p>
        </w:tc>
      </w:tr>
      <w:tr>
        <w:tc>
          <w:tcPr>
            <w:tcW w:type="dxa" w:w="504"/>
            <w:vAlign w:val="top"/>
          </w:tcPr>
          <w:p>
            <w:pPr>
              <w:spacing w:after="0" w:line="240" w:lineRule="auto"/>
            </w:pPr>
            <w:r>
              <w:rPr>
                <w:rFonts w:ascii="EB Garamond" w:hAnsi="EB Garamond"/>
                <w:sz w:val="14"/>
              </w:rPr>
              <w:t>5</w:t>
            </w:r>
          </w:p>
        </w:tc>
        <w:tc>
          <w:tcPr>
            <w:tcW w:type="dxa" w:w="2808"/>
            <w:vAlign w:val="top"/>
          </w:tcPr>
          <w:p>
            <w:pPr>
              <w:spacing w:after="0" w:line="240" w:lineRule="auto"/>
            </w:pPr>
            <w:r>
              <w:rPr>
                <w:rFonts w:ascii="EB Garamond" w:hAnsi="EB Garamond"/>
                <w:sz w:val="14"/>
              </w:rPr>
              <w:t>First-person vs Third-person</w:t>
            </w:r>
          </w:p>
        </w:tc>
        <w:tc>
          <w:tcPr>
            <w:tcW w:type="dxa" w:w="5112"/>
            <w:vAlign w:val="top"/>
          </w:tcPr>
          <w:p>
            <w:pPr>
              <w:spacing w:after="0" w:line="240" w:lineRule="auto"/>
            </w:pPr>
            <w:r>
              <w:rPr>
                <w:rFonts w:ascii="EB Garamond" w:hAnsi="EB Garamond"/>
                <w:sz w:val="14"/>
              </w:rPr>
              <w:t>Experience from within versus a subject viewed externally.</w:t>
            </w:r>
          </w:p>
        </w:tc>
        <w:tc>
          <w:tcPr>
            <w:tcW w:type="dxa" w:w="5400"/>
            <w:vAlign w:val="top"/>
          </w:tcPr>
          <w:p>
            <w:pPr>
              <w:spacing w:after="0" w:line="240" w:lineRule="auto"/>
            </w:pPr>
            <w:r>
              <w:rPr>
                <w:rFonts w:ascii="EB Garamond" w:hAnsi="EB Garamond"/>
                <w:sz w:val="14"/>
              </w:rPr>
              <w:t>Different access to experience and behaviour.</w:t>
            </w:r>
          </w:p>
        </w:tc>
      </w:tr>
      <w:tr>
        <w:tc>
          <w:tcPr>
            <w:tcW w:type="dxa" w:w="504"/>
            <w:vAlign w:val="top"/>
          </w:tcPr>
          <w:p>
            <w:pPr>
              <w:spacing w:after="0" w:line="240" w:lineRule="auto"/>
            </w:pPr>
            <w:r>
              <w:rPr>
                <w:rFonts w:ascii="EB Garamond" w:hAnsi="EB Garamond"/>
                <w:sz w:val="14"/>
              </w:rPr>
              <w:t>6</w:t>
            </w:r>
          </w:p>
        </w:tc>
        <w:tc>
          <w:tcPr>
            <w:tcW w:type="dxa" w:w="2808"/>
            <w:vAlign w:val="top"/>
          </w:tcPr>
          <w:p>
            <w:pPr>
              <w:spacing w:after="0" w:line="240" w:lineRule="auto"/>
            </w:pPr>
            <w:r>
              <w:rPr>
                <w:rFonts w:ascii="EB Garamond" w:hAnsi="EB Garamond"/>
                <w:sz w:val="14"/>
              </w:rPr>
              <w:t>Self vs Other</w:t>
            </w:r>
          </w:p>
        </w:tc>
        <w:tc>
          <w:tcPr>
            <w:tcW w:type="dxa" w:w="5112"/>
            <w:vAlign w:val="top"/>
          </w:tcPr>
          <w:p>
            <w:pPr>
              <w:spacing w:after="0" w:line="240" w:lineRule="auto"/>
            </w:pPr>
            <w:r>
              <w:rPr>
                <w:rFonts w:ascii="EB Garamond" w:hAnsi="EB Garamond"/>
                <w:sz w:val="14"/>
              </w:rPr>
              <w:t>The self encounters something outside itself.</w:t>
            </w:r>
          </w:p>
        </w:tc>
        <w:tc>
          <w:tcPr>
            <w:tcW w:type="dxa" w:w="5400"/>
            <w:vAlign w:val="top"/>
          </w:tcPr>
          <w:p>
            <w:pPr>
              <w:spacing w:after="0" w:line="240" w:lineRule="auto"/>
            </w:pPr>
            <w:r>
              <w:rPr>
                <w:rFonts w:ascii="EB Garamond" w:hAnsi="EB Garamond"/>
                <w:sz w:val="14"/>
              </w:rPr>
              <w:t>The Other is another subject, creating ethics and intersubjectivity.</w:t>
            </w:r>
          </w:p>
        </w:tc>
      </w:tr>
      <w:tr>
        <w:tc>
          <w:tcPr>
            <w:tcW w:type="dxa" w:w="504"/>
            <w:vAlign w:val="top"/>
          </w:tcPr>
          <w:p>
            <w:pPr>
              <w:spacing w:after="0" w:line="240" w:lineRule="auto"/>
            </w:pPr>
            <w:r>
              <w:rPr>
                <w:rFonts w:ascii="EB Garamond" w:hAnsi="EB Garamond"/>
                <w:sz w:val="14"/>
              </w:rPr>
              <w:t>7</w:t>
            </w:r>
          </w:p>
        </w:tc>
        <w:tc>
          <w:tcPr>
            <w:tcW w:type="dxa" w:w="2808"/>
            <w:vAlign w:val="top"/>
          </w:tcPr>
          <w:p>
            <w:pPr>
              <w:spacing w:after="0" w:line="240" w:lineRule="auto"/>
            </w:pPr>
            <w:r>
              <w:rPr>
                <w:rFonts w:ascii="EB Garamond" w:hAnsi="EB Garamond"/>
                <w:sz w:val="14"/>
              </w:rPr>
              <w:t>I-Thou vs I-It</w:t>
            </w:r>
          </w:p>
        </w:tc>
        <w:tc>
          <w:tcPr>
            <w:tcW w:type="dxa" w:w="5112"/>
            <w:vAlign w:val="top"/>
          </w:tcPr>
          <w:p>
            <w:pPr>
              <w:spacing w:after="0" w:line="240" w:lineRule="auto"/>
            </w:pPr>
            <w:r>
              <w:rPr>
                <w:rFonts w:ascii="EB Garamond" w:hAnsi="EB Garamond"/>
                <w:sz w:val="14"/>
              </w:rPr>
              <w:t>Subject-to-subject encounter versus subject-to-object treatment.</w:t>
            </w:r>
          </w:p>
        </w:tc>
        <w:tc>
          <w:tcPr>
            <w:tcW w:type="dxa" w:w="5400"/>
            <w:vAlign w:val="top"/>
          </w:tcPr>
          <w:p>
            <w:pPr>
              <w:spacing w:after="0" w:line="240" w:lineRule="auto"/>
            </w:pPr>
            <w:r>
              <w:rPr>
                <w:rFonts w:ascii="EB Garamond" w:hAnsi="EB Garamond"/>
                <w:sz w:val="14"/>
              </w:rPr>
              <w:t>Reciprocity, dialogue, presence, and objectification.</w:t>
            </w:r>
          </w:p>
        </w:tc>
      </w:tr>
      <w:tr>
        <w:tc>
          <w:tcPr>
            <w:tcW w:type="dxa" w:w="504"/>
            <w:vAlign w:val="top"/>
          </w:tcPr>
          <w:p>
            <w:pPr>
              <w:spacing w:after="0" w:line="240" w:lineRule="auto"/>
            </w:pPr>
            <w:r>
              <w:rPr>
                <w:rFonts w:ascii="EB Garamond" w:hAnsi="EB Garamond"/>
                <w:sz w:val="14"/>
              </w:rPr>
              <w:t>8</w:t>
            </w:r>
          </w:p>
        </w:tc>
        <w:tc>
          <w:tcPr>
            <w:tcW w:type="dxa" w:w="2808"/>
            <w:vAlign w:val="top"/>
          </w:tcPr>
          <w:p>
            <w:pPr>
              <w:spacing w:after="0" w:line="240" w:lineRule="auto"/>
            </w:pPr>
            <w:r>
              <w:rPr>
                <w:rFonts w:ascii="EB Garamond" w:hAnsi="EB Garamond"/>
                <w:sz w:val="14"/>
              </w:rPr>
              <w:t>Subject-Subject vs Subject-Object</w:t>
            </w:r>
          </w:p>
        </w:tc>
        <w:tc>
          <w:tcPr>
            <w:tcW w:type="dxa" w:w="5112"/>
            <w:vAlign w:val="top"/>
          </w:tcPr>
          <w:p>
            <w:pPr>
              <w:spacing w:after="0" w:line="240" w:lineRule="auto"/>
            </w:pPr>
            <w:r>
              <w:rPr>
                <w:rFonts w:ascii="EB Garamond" w:hAnsi="EB Garamond"/>
                <w:sz w:val="14"/>
              </w:rPr>
              <w:t>Mutual subjecthood versus one-sided objectification.</w:t>
            </w:r>
          </w:p>
        </w:tc>
        <w:tc>
          <w:tcPr>
            <w:tcW w:type="dxa" w:w="5400"/>
            <w:vAlign w:val="top"/>
          </w:tcPr>
          <w:p>
            <w:pPr>
              <w:spacing w:after="0" w:line="240" w:lineRule="auto"/>
            </w:pPr>
            <w:r>
              <w:rPr>
                <w:rFonts w:ascii="EB Garamond" w:hAnsi="EB Garamond"/>
                <w:sz w:val="14"/>
              </w:rPr>
              <w:t>Shared meaning and reciprocal recognition.</w:t>
            </w:r>
          </w:p>
        </w:tc>
      </w:tr>
      <w:tr>
        <w:tc>
          <w:tcPr>
            <w:tcW w:type="dxa" w:w="504"/>
            <w:vAlign w:val="top"/>
          </w:tcPr>
          <w:p>
            <w:pPr>
              <w:spacing w:after="0" w:line="240" w:lineRule="auto"/>
            </w:pPr>
            <w:r>
              <w:rPr>
                <w:rFonts w:ascii="EB Garamond" w:hAnsi="EB Garamond"/>
                <w:sz w:val="14"/>
              </w:rPr>
              <w:t>9</w:t>
            </w:r>
          </w:p>
        </w:tc>
        <w:tc>
          <w:tcPr>
            <w:tcW w:type="dxa" w:w="2808"/>
            <w:vAlign w:val="top"/>
          </w:tcPr>
          <w:p>
            <w:pPr>
              <w:spacing w:after="0" w:line="240" w:lineRule="auto"/>
            </w:pPr>
            <w:r>
              <w:rPr>
                <w:rFonts w:ascii="EB Garamond" w:hAnsi="EB Garamond"/>
                <w:sz w:val="14"/>
              </w:rPr>
              <w:t>I vs Me</w:t>
            </w:r>
          </w:p>
        </w:tc>
        <w:tc>
          <w:tcPr>
            <w:tcW w:type="dxa" w:w="5112"/>
            <w:vAlign w:val="top"/>
          </w:tcPr>
          <w:p>
            <w:pPr>
              <w:spacing w:after="0" w:line="240" w:lineRule="auto"/>
            </w:pPr>
            <w:r>
              <w:rPr>
                <w:rFonts w:ascii="EB Garamond" w:hAnsi="EB Garamond"/>
                <w:sz w:val="14"/>
              </w:rPr>
              <w:t>The acting I versus the self treated as a known object.</w:t>
            </w:r>
          </w:p>
        </w:tc>
        <w:tc>
          <w:tcPr>
            <w:tcW w:type="dxa" w:w="5400"/>
            <w:vAlign w:val="top"/>
          </w:tcPr>
          <w:p>
            <w:pPr>
              <w:spacing w:after="0" w:line="240" w:lineRule="auto"/>
            </w:pPr>
            <w:r>
              <w:rPr>
                <w:rFonts w:ascii="EB Garamond" w:hAnsi="EB Garamond"/>
                <w:sz w:val="14"/>
              </w:rPr>
              <w:t>Spontaneity versus socially formed self-image.</w:t>
            </w:r>
          </w:p>
        </w:tc>
      </w:tr>
      <w:tr>
        <w:tc>
          <w:tcPr>
            <w:tcW w:type="dxa" w:w="504"/>
            <w:vAlign w:val="top"/>
          </w:tcPr>
          <w:p>
            <w:pPr>
              <w:spacing w:after="0" w:line="240" w:lineRule="auto"/>
            </w:pPr>
            <w:r>
              <w:rPr>
                <w:rFonts w:ascii="EB Garamond" w:hAnsi="EB Garamond"/>
                <w:sz w:val="14"/>
              </w:rPr>
              <w:t>10</w:t>
            </w:r>
          </w:p>
        </w:tc>
        <w:tc>
          <w:tcPr>
            <w:tcW w:type="dxa" w:w="2808"/>
            <w:vAlign w:val="top"/>
          </w:tcPr>
          <w:p>
            <w:pPr>
              <w:spacing w:after="0" w:line="240" w:lineRule="auto"/>
            </w:pPr>
            <w:r>
              <w:rPr>
                <w:rFonts w:ascii="EB Garamond" w:hAnsi="EB Garamond"/>
                <w:sz w:val="14"/>
              </w:rPr>
              <w:t>Self-as-Subject vs Self-as-Object</w:t>
            </w:r>
          </w:p>
        </w:tc>
        <w:tc>
          <w:tcPr>
            <w:tcW w:type="dxa" w:w="5112"/>
            <w:vAlign w:val="top"/>
          </w:tcPr>
          <w:p>
            <w:pPr>
              <w:spacing w:after="0" w:line="240" w:lineRule="auto"/>
            </w:pPr>
            <w:r>
              <w:rPr>
                <w:rFonts w:ascii="EB Garamond" w:hAnsi="EB Garamond"/>
                <w:sz w:val="14"/>
              </w:rPr>
              <w:t>Living as oneself versus observing oneself.</w:t>
            </w:r>
          </w:p>
        </w:tc>
        <w:tc>
          <w:tcPr>
            <w:tcW w:type="dxa" w:w="5400"/>
            <w:vAlign w:val="top"/>
          </w:tcPr>
          <w:p>
            <w:pPr>
              <w:spacing w:after="0" w:line="240" w:lineRule="auto"/>
            </w:pPr>
            <w:r>
              <w:rPr>
                <w:rFonts w:ascii="EB Garamond" w:hAnsi="EB Garamond"/>
                <w:sz w:val="14"/>
              </w:rPr>
              <w:t>Reflexivity, shame, identity, and self-knowledge.</w:t>
            </w:r>
          </w:p>
        </w:tc>
      </w:tr>
      <w:tr>
        <w:tc>
          <w:tcPr>
            <w:tcW w:type="dxa" w:w="504"/>
            <w:vAlign w:val="top"/>
          </w:tcPr>
          <w:p>
            <w:pPr>
              <w:spacing w:after="0" w:line="240" w:lineRule="auto"/>
            </w:pPr>
            <w:r>
              <w:rPr>
                <w:rFonts w:ascii="EB Garamond" w:hAnsi="EB Garamond"/>
                <w:sz w:val="14"/>
              </w:rPr>
              <w:t>11</w:t>
            </w:r>
          </w:p>
        </w:tc>
        <w:tc>
          <w:tcPr>
            <w:tcW w:type="dxa" w:w="2808"/>
            <w:vAlign w:val="top"/>
          </w:tcPr>
          <w:p>
            <w:pPr>
              <w:spacing w:after="0" w:line="240" w:lineRule="auto"/>
            </w:pPr>
            <w:r>
              <w:rPr>
                <w:rFonts w:ascii="EB Garamond" w:hAnsi="EB Garamond"/>
                <w:sz w:val="14"/>
              </w:rPr>
              <w:t>Ego vs Alter Ego</w:t>
            </w:r>
          </w:p>
        </w:tc>
        <w:tc>
          <w:tcPr>
            <w:tcW w:type="dxa" w:w="5112"/>
            <w:vAlign w:val="top"/>
          </w:tcPr>
          <w:p>
            <w:pPr>
              <w:spacing w:after="0" w:line="240" w:lineRule="auto"/>
            </w:pPr>
            <w:r>
              <w:rPr>
                <w:rFonts w:ascii="EB Garamond" w:hAnsi="EB Garamond"/>
                <w:sz w:val="14"/>
              </w:rPr>
              <w:t>One subject encounters another centre of experience.</w:t>
            </w:r>
          </w:p>
        </w:tc>
        <w:tc>
          <w:tcPr>
            <w:tcW w:type="dxa" w:w="5400"/>
            <w:vAlign w:val="top"/>
          </w:tcPr>
          <w:p>
            <w:pPr>
              <w:spacing w:after="0" w:line="240" w:lineRule="auto"/>
            </w:pPr>
            <w:r>
              <w:rPr>
                <w:rFonts w:ascii="EB Garamond" w:hAnsi="EB Garamond"/>
                <w:sz w:val="14"/>
              </w:rPr>
              <w:t>Empathy and knowledge of other minds.</w:t>
            </w:r>
          </w:p>
        </w:tc>
      </w:tr>
      <w:tr>
        <w:tc>
          <w:tcPr>
            <w:tcW w:type="dxa" w:w="504"/>
            <w:vAlign w:val="top"/>
          </w:tcPr>
          <w:p>
            <w:pPr>
              <w:spacing w:after="0" w:line="240" w:lineRule="auto"/>
            </w:pPr>
            <w:r>
              <w:rPr>
                <w:rFonts w:ascii="EB Garamond" w:hAnsi="EB Garamond"/>
                <w:sz w:val="14"/>
              </w:rPr>
              <w:t>12</w:t>
            </w:r>
          </w:p>
        </w:tc>
        <w:tc>
          <w:tcPr>
            <w:tcW w:type="dxa" w:w="2808"/>
            <w:vAlign w:val="top"/>
          </w:tcPr>
          <w:p>
            <w:pPr>
              <w:spacing w:after="0" w:line="240" w:lineRule="auto"/>
            </w:pPr>
            <w:r>
              <w:rPr>
                <w:rFonts w:ascii="EB Garamond" w:hAnsi="EB Garamond"/>
                <w:sz w:val="14"/>
              </w:rPr>
              <w:t>Transcendental Subject vs Empirical Self</w:t>
            </w:r>
          </w:p>
        </w:tc>
        <w:tc>
          <w:tcPr>
            <w:tcW w:type="dxa" w:w="5112"/>
            <w:vAlign w:val="top"/>
          </w:tcPr>
          <w:p>
            <w:pPr>
              <w:spacing w:after="0" w:line="240" w:lineRule="auto"/>
            </w:pPr>
            <w:r>
              <w:rPr>
                <w:rFonts w:ascii="EB Garamond" w:hAnsi="EB Garamond"/>
                <w:sz w:val="14"/>
              </w:rPr>
              <w:t>The condition of experience versus the person encountered within experience.</w:t>
            </w:r>
          </w:p>
        </w:tc>
        <w:tc>
          <w:tcPr>
            <w:tcW w:type="dxa" w:w="5400"/>
            <w:vAlign w:val="top"/>
          </w:tcPr>
          <w:p>
            <w:pPr>
              <w:spacing w:after="0" w:line="240" w:lineRule="auto"/>
            </w:pPr>
            <w:r>
              <w:rPr>
                <w:rFonts w:ascii="EB Garamond" w:hAnsi="EB Garamond"/>
                <w:sz w:val="14"/>
              </w:rPr>
              <w:t>Conditions of knowledge versus psychological individuality.</w:t>
            </w:r>
          </w:p>
        </w:tc>
      </w:tr>
      <w:tr>
        <w:tc>
          <w:tcPr>
            <w:tcW w:type="dxa" w:w="504"/>
            <w:vAlign w:val="top"/>
          </w:tcPr>
          <w:p>
            <w:pPr>
              <w:spacing w:after="0" w:line="240" w:lineRule="auto"/>
            </w:pPr>
            <w:r>
              <w:rPr>
                <w:rFonts w:ascii="EB Garamond" w:hAnsi="EB Garamond"/>
                <w:sz w:val="14"/>
              </w:rPr>
              <w:t>13</w:t>
            </w:r>
          </w:p>
        </w:tc>
        <w:tc>
          <w:tcPr>
            <w:tcW w:type="dxa" w:w="2808"/>
            <w:vAlign w:val="top"/>
          </w:tcPr>
          <w:p>
            <w:pPr>
              <w:spacing w:after="0" w:line="240" w:lineRule="auto"/>
            </w:pPr>
            <w:r>
              <w:rPr>
                <w:rFonts w:ascii="EB Garamond" w:hAnsi="EB Garamond"/>
                <w:sz w:val="14"/>
              </w:rPr>
              <w:t>Consciousness vs Intentional Object</w:t>
            </w:r>
          </w:p>
        </w:tc>
        <w:tc>
          <w:tcPr>
            <w:tcW w:type="dxa" w:w="5112"/>
            <w:vAlign w:val="top"/>
          </w:tcPr>
          <w:p>
            <w:pPr>
              <w:spacing w:after="0" w:line="240" w:lineRule="auto"/>
            </w:pPr>
            <w:r>
              <w:rPr>
                <w:rFonts w:ascii="EB Garamond" w:hAnsi="EB Garamond"/>
                <w:sz w:val="14"/>
              </w:rPr>
              <w:t>Consciousness is directed toward an object.</w:t>
            </w:r>
          </w:p>
        </w:tc>
        <w:tc>
          <w:tcPr>
            <w:tcW w:type="dxa" w:w="5400"/>
            <w:vAlign w:val="top"/>
          </w:tcPr>
          <w:p>
            <w:pPr>
              <w:spacing w:after="0" w:line="240" w:lineRule="auto"/>
            </w:pPr>
            <w:r>
              <w:rPr>
                <w:rFonts w:ascii="EB Garamond" w:hAnsi="EB Garamond"/>
                <w:sz w:val="14"/>
              </w:rPr>
              <w:t>Intentionality, representation, and aboutness.</w:t>
            </w:r>
          </w:p>
        </w:tc>
      </w:tr>
      <w:tr>
        <w:tc>
          <w:tcPr>
            <w:tcW w:type="dxa" w:w="504"/>
            <w:vAlign w:val="top"/>
          </w:tcPr>
          <w:p>
            <w:pPr>
              <w:spacing w:after="0" w:line="240" w:lineRule="auto"/>
            </w:pPr>
            <w:r>
              <w:rPr>
                <w:rFonts w:ascii="EB Garamond" w:hAnsi="EB Garamond"/>
                <w:sz w:val="14"/>
              </w:rPr>
              <w:t>14</w:t>
            </w:r>
          </w:p>
        </w:tc>
        <w:tc>
          <w:tcPr>
            <w:tcW w:type="dxa" w:w="2808"/>
            <w:vAlign w:val="top"/>
          </w:tcPr>
          <w:p>
            <w:pPr>
              <w:spacing w:after="0" w:line="240" w:lineRule="auto"/>
            </w:pPr>
            <w:r>
              <w:rPr>
                <w:rFonts w:ascii="EB Garamond" w:hAnsi="EB Garamond"/>
                <w:sz w:val="14"/>
              </w:rPr>
              <w:t>Noesis vs Noema</w:t>
            </w:r>
          </w:p>
        </w:tc>
        <w:tc>
          <w:tcPr>
            <w:tcW w:type="dxa" w:w="5112"/>
            <w:vAlign w:val="top"/>
          </w:tcPr>
          <w:p>
            <w:pPr>
              <w:spacing w:after="0" w:line="240" w:lineRule="auto"/>
            </w:pPr>
            <w:r>
              <w:rPr>
                <w:rFonts w:ascii="EB Garamond" w:hAnsi="EB Garamond"/>
                <w:sz w:val="14"/>
              </w:rPr>
              <w:t>The act of experiencing versus the object as experienced or meant.</w:t>
            </w:r>
          </w:p>
        </w:tc>
        <w:tc>
          <w:tcPr>
            <w:tcW w:type="dxa" w:w="5400"/>
            <w:vAlign w:val="top"/>
          </w:tcPr>
          <w:p>
            <w:pPr>
              <w:spacing w:after="0" w:line="240" w:lineRule="auto"/>
            </w:pPr>
            <w:r>
              <w:rPr>
                <w:rFonts w:ascii="EB Garamond" w:hAnsi="EB Garamond"/>
                <w:sz w:val="14"/>
              </w:rPr>
              <w:t>How meaning mediates consciousness and its object.</w:t>
            </w:r>
          </w:p>
        </w:tc>
      </w:tr>
      <w:tr>
        <w:tc>
          <w:tcPr>
            <w:tcW w:type="dxa" w:w="504"/>
            <w:vAlign w:val="top"/>
          </w:tcPr>
          <w:p>
            <w:pPr>
              <w:spacing w:after="0" w:line="240" w:lineRule="auto"/>
            </w:pPr>
            <w:r>
              <w:rPr>
                <w:rFonts w:ascii="EB Garamond" w:hAnsi="EB Garamond"/>
                <w:sz w:val="14"/>
              </w:rPr>
              <w:t>15</w:t>
            </w:r>
          </w:p>
        </w:tc>
        <w:tc>
          <w:tcPr>
            <w:tcW w:type="dxa" w:w="2808"/>
            <w:vAlign w:val="top"/>
          </w:tcPr>
          <w:p>
            <w:pPr>
              <w:spacing w:after="0" w:line="240" w:lineRule="auto"/>
            </w:pPr>
            <w:r>
              <w:rPr>
                <w:rFonts w:ascii="EB Garamond" w:hAnsi="EB Garamond"/>
                <w:sz w:val="14"/>
              </w:rPr>
              <w:t>Mind vs World</w:t>
            </w:r>
          </w:p>
        </w:tc>
        <w:tc>
          <w:tcPr>
            <w:tcW w:type="dxa" w:w="5112"/>
            <w:vAlign w:val="top"/>
          </w:tcPr>
          <w:p>
            <w:pPr>
              <w:spacing w:after="0" w:line="240" w:lineRule="auto"/>
            </w:pPr>
            <w:r>
              <w:rPr>
                <w:rFonts w:ascii="EB Garamond" w:hAnsi="EB Garamond"/>
                <w:sz w:val="14"/>
              </w:rPr>
              <w:t>Subjective mental life versus the surrounding world.</w:t>
            </w:r>
          </w:p>
        </w:tc>
        <w:tc>
          <w:tcPr>
            <w:tcW w:type="dxa" w:w="5400"/>
            <w:vAlign w:val="top"/>
          </w:tcPr>
          <w:p>
            <w:pPr>
              <w:spacing w:after="0" w:line="240" w:lineRule="auto"/>
            </w:pPr>
            <w:r>
              <w:rPr>
                <w:rFonts w:ascii="EB Garamond" w:hAnsi="EB Garamond"/>
                <w:sz w:val="14"/>
              </w:rPr>
              <w:t>Skepticism, world-involvement, and perceptual access.</w:t>
            </w:r>
          </w:p>
        </w:tc>
      </w:tr>
      <w:tr>
        <w:tc>
          <w:tcPr>
            <w:tcW w:type="dxa" w:w="504"/>
            <w:vAlign w:val="top"/>
          </w:tcPr>
          <w:p>
            <w:pPr>
              <w:spacing w:after="0" w:line="240" w:lineRule="auto"/>
            </w:pPr>
            <w:r>
              <w:rPr>
                <w:rFonts w:ascii="EB Garamond" w:hAnsi="EB Garamond"/>
                <w:sz w:val="14"/>
              </w:rPr>
              <w:t>16</w:t>
            </w:r>
          </w:p>
        </w:tc>
        <w:tc>
          <w:tcPr>
            <w:tcW w:type="dxa" w:w="2808"/>
            <w:vAlign w:val="top"/>
          </w:tcPr>
          <w:p>
            <w:pPr>
              <w:spacing w:after="0" w:line="240" w:lineRule="auto"/>
            </w:pPr>
            <w:r>
              <w:rPr>
                <w:rFonts w:ascii="EB Garamond" w:hAnsi="EB Garamond"/>
                <w:sz w:val="14"/>
              </w:rPr>
              <w:t>Being-for-itself vs Being-in-itself</w:t>
            </w:r>
          </w:p>
        </w:tc>
        <w:tc>
          <w:tcPr>
            <w:tcW w:type="dxa" w:w="5112"/>
            <w:vAlign w:val="top"/>
          </w:tcPr>
          <w:p>
            <w:pPr>
              <w:spacing w:after="0" w:line="240" w:lineRule="auto"/>
            </w:pPr>
            <w:r>
              <w:rPr>
                <w:rFonts w:ascii="EB Garamond" w:hAnsi="EB Garamond"/>
                <w:sz w:val="14"/>
              </w:rPr>
              <w:t>Conscious being versus thinglike being.</w:t>
            </w:r>
          </w:p>
        </w:tc>
        <w:tc>
          <w:tcPr>
            <w:tcW w:type="dxa" w:w="5400"/>
            <w:vAlign w:val="top"/>
          </w:tcPr>
          <w:p>
            <w:pPr>
              <w:spacing w:after="0" w:line="240" w:lineRule="auto"/>
            </w:pPr>
            <w:r>
              <w:rPr>
                <w:rFonts w:ascii="EB Garamond" w:hAnsi="EB Garamond"/>
                <w:sz w:val="14"/>
              </w:rPr>
              <w:t>Freedom, possibility, facticity, and nothingness.</w:t>
            </w:r>
          </w:p>
        </w:tc>
      </w:tr>
      <w:tr>
        <w:tc>
          <w:tcPr>
            <w:tcW w:type="dxa" w:w="504"/>
            <w:vAlign w:val="top"/>
          </w:tcPr>
          <w:p>
            <w:pPr>
              <w:spacing w:after="0" w:line="240" w:lineRule="auto"/>
            </w:pPr>
            <w:r>
              <w:rPr>
                <w:rFonts w:ascii="EB Garamond" w:hAnsi="EB Garamond"/>
                <w:sz w:val="14"/>
              </w:rPr>
              <w:t>17</w:t>
            </w:r>
          </w:p>
        </w:tc>
        <w:tc>
          <w:tcPr>
            <w:tcW w:type="dxa" w:w="2808"/>
            <w:vAlign w:val="top"/>
          </w:tcPr>
          <w:p>
            <w:pPr>
              <w:spacing w:after="0" w:line="240" w:lineRule="auto"/>
            </w:pPr>
            <w:r>
              <w:rPr>
                <w:rFonts w:ascii="EB Garamond" w:hAnsi="EB Garamond"/>
                <w:sz w:val="14"/>
              </w:rPr>
              <w:t>Person vs Thing</w:t>
            </w:r>
          </w:p>
        </w:tc>
        <w:tc>
          <w:tcPr>
            <w:tcW w:type="dxa" w:w="5112"/>
            <w:vAlign w:val="top"/>
          </w:tcPr>
          <w:p>
            <w:pPr>
              <w:spacing w:after="0" w:line="240" w:lineRule="auto"/>
            </w:pPr>
            <w:r>
              <w:rPr>
                <w:rFonts w:ascii="EB Garamond" w:hAnsi="EB Garamond"/>
                <w:sz w:val="14"/>
              </w:rPr>
              <w:t>A subject versus an object lacking subject-status.</w:t>
            </w:r>
          </w:p>
        </w:tc>
        <w:tc>
          <w:tcPr>
            <w:tcW w:type="dxa" w:w="5400"/>
            <w:vAlign w:val="top"/>
          </w:tcPr>
          <w:p>
            <w:pPr>
              <w:spacing w:after="0" w:line="240" w:lineRule="auto"/>
            </w:pPr>
            <w:r>
              <w:rPr>
                <w:rFonts w:ascii="EB Garamond" w:hAnsi="EB Garamond"/>
                <w:sz w:val="14"/>
              </w:rPr>
              <w:t>Personhood, dignity, rights, and instrumental use.</w:t>
            </w:r>
          </w:p>
        </w:tc>
      </w:tr>
      <w:tr>
        <w:tc>
          <w:tcPr>
            <w:tcW w:type="dxa" w:w="504"/>
            <w:vAlign w:val="top"/>
          </w:tcPr>
          <w:p>
            <w:pPr>
              <w:spacing w:after="0" w:line="240" w:lineRule="auto"/>
            </w:pPr>
            <w:r>
              <w:rPr>
                <w:rFonts w:ascii="EB Garamond" w:hAnsi="EB Garamond"/>
                <w:sz w:val="14"/>
              </w:rPr>
              <w:t>18</w:t>
            </w:r>
          </w:p>
        </w:tc>
        <w:tc>
          <w:tcPr>
            <w:tcW w:type="dxa" w:w="2808"/>
            <w:vAlign w:val="top"/>
          </w:tcPr>
          <w:p>
            <w:pPr>
              <w:spacing w:after="0" w:line="240" w:lineRule="auto"/>
            </w:pPr>
            <w:r>
              <w:rPr>
                <w:rFonts w:ascii="EB Garamond" w:hAnsi="EB Garamond"/>
                <w:sz w:val="14"/>
              </w:rPr>
              <w:t>Recognition vs Reification</w:t>
            </w:r>
          </w:p>
        </w:tc>
        <w:tc>
          <w:tcPr>
            <w:tcW w:type="dxa" w:w="5112"/>
            <w:vAlign w:val="top"/>
          </w:tcPr>
          <w:p>
            <w:pPr>
              <w:spacing w:after="0" w:line="240" w:lineRule="auto"/>
            </w:pPr>
            <w:r>
              <w:rPr>
                <w:rFonts w:ascii="EB Garamond" w:hAnsi="EB Garamond"/>
                <w:sz w:val="14"/>
              </w:rPr>
              <w:t>Affirming someone as a subject versus treating them as a thing.</w:t>
            </w:r>
          </w:p>
        </w:tc>
        <w:tc>
          <w:tcPr>
            <w:tcW w:type="dxa" w:w="5400"/>
            <w:vAlign w:val="top"/>
          </w:tcPr>
          <w:p>
            <w:pPr>
              <w:spacing w:after="0" w:line="240" w:lineRule="auto"/>
            </w:pPr>
            <w:r>
              <w:rPr>
                <w:rFonts w:ascii="EB Garamond" w:hAnsi="EB Garamond"/>
                <w:sz w:val="14"/>
              </w:rPr>
              <w:t>Domination, social freedom, and human status.</w:t>
            </w:r>
          </w:p>
        </w:tc>
      </w:tr>
      <w:tr>
        <w:tc>
          <w:tcPr>
            <w:tcW w:type="dxa" w:w="504"/>
            <w:vAlign w:val="top"/>
          </w:tcPr>
          <w:p>
            <w:pPr>
              <w:spacing w:after="0" w:line="240" w:lineRule="auto"/>
            </w:pPr>
            <w:r>
              <w:rPr>
                <w:rFonts w:ascii="EB Garamond" w:hAnsi="EB Garamond"/>
                <w:sz w:val="14"/>
              </w:rPr>
              <w:t>19</w:t>
            </w:r>
          </w:p>
        </w:tc>
        <w:tc>
          <w:tcPr>
            <w:tcW w:type="dxa" w:w="2808"/>
            <w:vAlign w:val="top"/>
          </w:tcPr>
          <w:p>
            <w:pPr>
              <w:spacing w:after="0" w:line="240" w:lineRule="auto"/>
            </w:pPr>
            <w:r>
              <w:rPr>
                <w:rFonts w:ascii="EB Garamond" w:hAnsi="EB Garamond"/>
                <w:sz w:val="14"/>
              </w:rPr>
              <w:t>Master vs Slave</w:t>
            </w:r>
          </w:p>
        </w:tc>
        <w:tc>
          <w:tcPr>
            <w:tcW w:type="dxa" w:w="5112"/>
            <w:vAlign w:val="top"/>
          </w:tcPr>
          <w:p>
            <w:pPr>
              <w:spacing w:after="0" w:line="240" w:lineRule="auto"/>
            </w:pPr>
            <w:r>
              <w:rPr>
                <w:rFonts w:ascii="EB Garamond" w:hAnsi="EB Garamond"/>
                <w:sz w:val="14"/>
              </w:rPr>
              <w:t>Two subjects struggle to reduce each other to objects.</w:t>
            </w:r>
          </w:p>
        </w:tc>
        <w:tc>
          <w:tcPr>
            <w:tcW w:type="dxa" w:w="5400"/>
            <w:vAlign w:val="top"/>
          </w:tcPr>
          <w:p>
            <w:pPr>
              <w:spacing w:after="0" w:line="240" w:lineRule="auto"/>
            </w:pPr>
            <w:r>
              <w:rPr>
                <w:rFonts w:ascii="EB Garamond" w:hAnsi="EB Garamond"/>
                <w:sz w:val="14"/>
              </w:rPr>
              <w:t>Power, dependence, labour, and mutual recognition.</w:t>
            </w:r>
          </w:p>
        </w:tc>
      </w:tr>
      <w:tr>
        <w:tc>
          <w:tcPr>
            <w:tcW w:type="dxa" w:w="504"/>
            <w:vAlign w:val="top"/>
          </w:tcPr>
          <w:p>
            <w:pPr>
              <w:spacing w:after="0" w:line="240" w:lineRule="auto"/>
            </w:pPr>
            <w:r>
              <w:rPr>
                <w:rFonts w:ascii="EB Garamond" w:hAnsi="EB Garamond"/>
                <w:sz w:val="14"/>
              </w:rPr>
              <w:t>20</w:t>
            </w:r>
          </w:p>
        </w:tc>
        <w:tc>
          <w:tcPr>
            <w:tcW w:type="dxa" w:w="2808"/>
            <w:vAlign w:val="top"/>
          </w:tcPr>
          <w:p>
            <w:pPr>
              <w:spacing w:after="0" w:line="240" w:lineRule="auto"/>
            </w:pPr>
            <w:r>
              <w:rPr>
                <w:rFonts w:ascii="EB Garamond" w:hAnsi="EB Garamond"/>
                <w:sz w:val="14"/>
              </w:rPr>
              <w:t>Lived Body vs Objective Body</w:t>
            </w:r>
          </w:p>
        </w:tc>
        <w:tc>
          <w:tcPr>
            <w:tcW w:type="dxa" w:w="5112"/>
            <w:vAlign w:val="top"/>
          </w:tcPr>
          <w:p>
            <w:pPr>
              <w:spacing w:after="0" w:line="240" w:lineRule="auto"/>
            </w:pPr>
            <w:r>
              <w:rPr>
                <w:rFonts w:ascii="EB Garamond" w:hAnsi="EB Garamond"/>
                <w:sz w:val="14"/>
              </w:rPr>
              <w:t>The body as one’s subject-position versus the body as an observed object.</w:t>
            </w:r>
          </w:p>
        </w:tc>
        <w:tc>
          <w:tcPr>
            <w:tcW w:type="dxa" w:w="5400"/>
            <w:vAlign w:val="top"/>
          </w:tcPr>
          <w:p>
            <w:pPr>
              <w:spacing w:after="0" w:line="240" w:lineRule="auto"/>
            </w:pPr>
            <w:r>
              <w:rPr>
                <w:rFonts w:ascii="EB Garamond" w:hAnsi="EB Garamond"/>
                <w:sz w:val="14"/>
              </w:rPr>
              <w:t>Embodied agency and bodily self-awareness.</w:t>
            </w:r>
          </w:p>
        </w:tc>
      </w:tr>
      <w:tr>
        <w:tc>
          <w:tcPr>
            <w:tcW w:type="dxa" w:w="504"/>
            <w:vAlign w:val="top"/>
          </w:tcPr>
          <w:p>
            <w:pPr>
              <w:spacing w:after="0" w:line="240" w:lineRule="auto"/>
            </w:pPr>
            <w:r>
              <w:rPr>
                <w:rFonts w:ascii="EB Garamond" w:hAnsi="EB Garamond"/>
                <w:sz w:val="14"/>
              </w:rPr>
              <w:t>21</w:t>
            </w:r>
          </w:p>
        </w:tc>
        <w:tc>
          <w:tcPr>
            <w:tcW w:type="dxa" w:w="2808"/>
            <w:vAlign w:val="top"/>
          </w:tcPr>
          <w:p>
            <w:pPr>
              <w:spacing w:after="0" w:line="240" w:lineRule="auto"/>
            </w:pPr>
            <w:r>
              <w:rPr>
                <w:rFonts w:ascii="EB Garamond" w:hAnsi="EB Garamond"/>
                <w:sz w:val="14"/>
              </w:rPr>
              <w:t>Appearance vs Reality</w:t>
            </w:r>
          </w:p>
        </w:tc>
        <w:tc>
          <w:tcPr>
            <w:tcW w:type="dxa" w:w="5112"/>
            <w:vAlign w:val="top"/>
          </w:tcPr>
          <w:p>
            <w:pPr>
              <w:spacing w:after="0" w:line="240" w:lineRule="auto"/>
            </w:pPr>
            <w:r>
              <w:rPr>
                <w:rFonts w:ascii="EB Garamond" w:hAnsi="EB Garamond"/>
                <w:sz w:val="14"/>
              </w:rPr>
              <w:t>The object as it appears to a subject versus how it is.</w:t>
            </w:r>
          </w:p>
        </w:tc>
        <w:tc>
          <w:tcPr>
            <w:tcW w:type="dxa" w:w="5400"/>
            <w:vAlign w:val="top"/>
          </w:tcPr>
          <w:p>
            <w:pPr>
              <w:spacing w:after="0" w:line="240" w:lineRule="auto"/>
            </w:pPr>
            <w:r>
              <w:rPr>
                <w:rFonts w:ascii="EB Garamond" w:hAnsi="EB Garamond"/>
                <w:sz w:val="14"/>
              </w:rPr>
              <w:t>Illusion, hidden structure, and truth.</w:t>
            </w:r>
          </w:p>
        </w:tc>
      </w:tr>
      <w:tr>
        <w:tc>
          <w:tcPr>
            <w:tcW w:type="dxa" w:w="504"/>
            <w:vAlign w:val="top"/>
          </w:tcPr>
          <w:p>
            <w:pPr>
              <w:spacing w:after="0" w:line="240" w:lineRule="auto"/>
            </w:pPr>
            <w:r>
              <w:rPr>
                <w:rFonts w:ascii="EB Garamond" w:hAnsi="EB Garamond"/>
                <w:sz w:val="14"/>
              </w:rPr>
              <w:t>22</w:t>
            </w:r>
          </w:p>
        </w:tc>
        <w:tc>
          <w:tcPr>
            <w:tcW w:type="dxa" w:w="2808"/>
            <w:vAlign w:val="top"/>
          </w:tcPr>
          <w:p>
            <w:pPr>
              <w:spacing w:after="0" w:line="240" w:lineRule="auto"/>
            </w:pPr>
            <w:r>
              <w:rPr>
                <w:rFonts w:ascii="EB Garamond" w:hAnsi="EB Garamond"/>
                <w:sz w:val="14"/>
              </w:rPr>
              <w:t>Phenomenon vs Noumenon</w:t>
            </w:r>
          </w:p>
        </w:tc>
        <w:tc>
          <w:tcPr>
            <w:tcW w:type="dxa" w:w="5112"/>
            <w:vAlign w:val="top"/>
          </w:tcPr>
          <w:p>
            <w:pPr>
              <w:spacing w:after="0" w:line="240" w:lineRule="auto"/>
            </w:pPr>
            <w:r>
              <w:rPr>
                <w:rFonts w:ascii="EB Garamond" w:hAnsi="EB Garamond"/>
                <w:sz w:val="14"/>
              </w:rPr>
              <w:t>Object-for-us versus thing-in-itself.</w:t>
            </w:r>
          </w:p>
        </w:tc>
        <w:tc>
          <w:tcPr>
            <w:tcW w:type="dxa" w:w="5400"/>
            <w:vAlign w:val="top"/>
          </w:tcPr>
          <w:p>
            <w:pPr>
              <w:spacing w:after="0" w:line="240" w:lineRule="auto"/>
            </w:pPr>
            <w:r>
              <w:rPr>
                <w:rFonts w:ascii="EB Garamond" w:hAnsi="EB Garamond"/>
                <w:sz w:val="14"/>
              </w:rPr>
              <w:t>The limits imposed by human cognition.</w:t>
            </w:r>
          </w:p>
        </w:tc>
      </w:tr>
      <w:tr>
        <w:tc>
          <w:tcPr>
            <w:tcW w:type="dxa" w:w="504"/>
            <w:vAlign w:val="top"/>
          </w:tcPr>
          <w:p>
            <w:pPr>
              <w:spacing w:after="0" w:line="240" w:lineRule="auto"/>
            </w:pPr>
            <w:r>
              <w:rPr>
                <w:rFonts w:ascii="EB Garamond" w:hAnsi="EB Garamond"/>
                <w:sz w:val="14"/>
              </w:rPr>
              <w:t>23</w:t>
            </w:r>
          </w:p>
        </w:tc>
        <w:tc>
          <w:tcPr>
            <w:tcW w:type="dxa" w:w="2808"/>
            <w:vAlign w:val="top"/>
          </w:tcPr>
          <w:p>
            <w:pPr>
              <w:spacing w:after="0" w:line="240" w:lineRule="auto"/>
            </w:pPr>
            <w:r>
              <w:rPr>
                <w:rFonts w:ascii="EB Garamond" w:hAnsi="EB Garamond"/>
                <w:sz w:val="14"/>
              </w:rPr>
              <w:t>Solipsism vs External-world Realism</w:t>
            </w:r>
          </w:p>
        </w:tc>
        <w:tc>
          <w:tcPr>
            <w:tcW w:type="dxa" w:w="5112"/>
            <w:vAlign w:val="top"/>
          </w:tcPr>
          <w:p>
            <w:pPr>
              <w:spacing w:after="0" w:line="240" w:lineRule="auto"/>
            </w:pPr>
            <w:r>
              <w:rPr>
                <w:rFonts w:ascii="EB Garamond" w:hAnsi="EB Garamond"/>
                <w:sz w:val="14"/>
              </w:rPr>
              <w:t>Only the subject is certain versus an independently existing world.</w:t>
            </w:r>
          </w:p>
        </w:tc>
        <w:tc>
          <w:tcPr>
            <w:tcW w:type="dxa" w:w="5400"/>
            <w:vAlign w:val="top"/>
          </w:tcPr>
          <w:p>
            <w:pPr>
              <w:spacing w:after="0" w:line="240" w:lineRule="auto"/>
            </w:pPr>
            <w:r>
              <w:rPr>
                <w:rFonts w:ascii="EB Garamond" w:hAnsi="EB Garamond"/>
                <w:sz w:val="14"/>
              </w:rPr>
              <w:t>Skepticism, external objects, and other minds.</w:t>
            </w:r>
          </w:p>
        </w:tc>
      </w:tr>
      <w:tr>
        <w:tc>
          <w:tcPr>
            <w:tcW w:type="dxa" w:w="504"/>
            <w:vAlign w:val="top"/>
          </w:tcPr>
          <w:p>
            <w:pPr>
              <w:spacing w:after="0" w:line="240" w:lineRule="auto"/>
            </w:pPr>
            <w:r>
              <w:rPr>
                <w:rFonts w:ascii="EB Garamond" w:hAnsi="EB Garamond"/>
                <w:sz w:val="14"/>
              </w:rPr>
              <w:t>24</w:t>
            </w:r>
          </w:p>
        </w:tc>
        <w:tc>
          <w:tcPr>
            <w:tcW w:type="dxa" w:w="2808"/>
            <w:vAlign w:val="top"/>
          </w:tcPr>
          <w:p>
            <w:pPr>
              <w:spacing w:after="0" w:line="240" w:lineRule="auto"/>
            </w:pPr>
            <w:r>
              <w:rPr>
                <w:rFonts w:ascii="EB Garamond" w:hAnsi="EB Garamond"/>
                <w:sz w:val="14"/>
              </w:rPr>
              <w:t>Mind-dependent vs Mind-independent</w:t>
            </w:r>
          </w:p>
        </w:tc>
        <w:tc>
          <w:tcPr>
            <w:tcW w:type="dxa" w:w="5112"/>
            <w:vAlign w:val="top"/>
          </w:tcPr>
          <w:p>
            <w:pPr>
              <w:spacing w:after="0" w:line="240" w:lineRule="auto"/>
            </w:pPr>
            <w:r>
              <w:rPr>
                <w:rFonts w:ascii="EB Garamond" w:hAnsi="EB Garamond"/>
                <w:sz w:val="14"/>
              </w:rPr>
              <w:t>Reality dependent upon subjects versus reality independent of them.</w:t>
            </w:r>
          </w:p>
        </w:tc>
        <w:tc>
          <w:tcPr>
            <w:tcW w:type="dxa" w:w="5400"/>
            <w:vAlign w:val="top"/>
          </w:tcPr>
          <w:p>
            <w:pPr>
              <w:spacing w:after="0" w:line="240" w:lineRule="auto"/>
            </w:pPr>
            <w:r>
              <w:rPr>
                <w:rFonts w:ascii="EB Garamond" w:hAnsi="EB Garamond"/>
                <w:sz w:val="14"/>
              </w:rPr>
              <w:t>The clearest test for metaphysical objectivity.</w:t>
            </w:r>
          </w:p>
        </w:tc>
      </w:tr>
      <w:tr>
        <w:tc>
          <w:tcPr>
            <w:tcW w:type="dxa" w:w="504"/>
            <w:vAlign w:val="top"/>
          </w:tcPr>
          <w:p>
            <w:pPr>
              <w:spacing w:after="0" w:line="240" w:lineRule="auto"/>
            </w:pPr>
            <w:r>
              <w:rPr>
                <w:rFonts w:ascii="EB Garamond" w:hAnsi="EB Garamond"/>
                <w:sz w:val="14"/>
              </w:rPr>
              <w:t>25</w:t>
            </w:r>
          </w:p>
        </w:tc>
        <w:tc>
          <w:tcPr>
            <w:tcW w:type="dxa" w:w="2808"/>
            <w:vAlign w:val="top"/>
          </w:tcPr>
          <w:p>
            <w:pPr>
              <w:spacing w:after="0" w:line="240" w:lineRule="auto"/>
            </w:pPr>
            <w:r>
              <w:rPr>
                <w:rFonts w:ascii="EB Garamond" w:hAnsi="EB Garamond"/>
                <w:sz w:val="14"/>
              </w:rPr>
              <w:t>Constructed vs Given</w:t>
            </w:r>
          </w:p>
        </w:tc>
        <w:tc>
          <w:tcPr>
            <w:tcW w:type="dxa" w:w="5112"/>
            <w:vAlign w:val="top"/>
          </w:tcPr>
          <w:p>
            <w:pPr>
              <w:spacing w:after="0" w:line="240" w:lineRule="auto"/>
            </w:pPr>
            <w:r>
              <w:rPr>
                <w:rFonts w:ascii="EB Garamond" w:hAnsi="EB Garamond"/>
                <w:sz w:val="14"/>
              </w:rPr>
              <w:t>Something formed through subjects or practices versus something encountered as already there.</w:t>
            </w:r>
          </w:p>
        </w:tc>
        <w:tc>
          <w:tcPr>
            <w:tcW w:type="dxa" w:w="5400"/>
            <w:vAlign w:val="top"/>
          </w:tcPr>
          <w:p>
            <w:pPr>
              <w:spacing w:after="0" w:line="240" w:lineRule="auto"/>
            </w:pPr>
            <w:r>
              <w:rPr>
                <w:rFonts w:ascii="EB Garamond" w:hAnsi="EB Garamond"/>
                <w:sz w:val="14"/>
              </w:rPr>
              <w:t>Origins of categories, identities, facts, and norms.</w:t>
            </w:r>
          </w:p>
        </w:tc>
      </w:tr>
      <w:tr>
        <w:tc>
          <w:tcPr>
            <w:tcW w:type="dxa" w:w="504"/>
            <w:vAlign w:val="top"/>
          </w:tcPr>
          <w:p>
            <w:pPr>
              <w:spacing w:after="0" w:line="240" w:lineRule="auto"/>
            </w:pPr>
            <w:r>
              <w:rPr>
                <w:rFonts w:ascii="EB Garamond" w:hAnsi="EB Garamond"/>
                <w:sz w:val="14"/>
              </w:rPr>
              <w:t>26</w:t>
            </w:r>
          </w:p>
        </w:tc>
        <w:tc>
          <w:tcPr>
            <w:tcW w:type="dxa" w:w="2808"/>
            <w:vAlign w:val="top"/>
          </w:tcPr>
          <w:p>
            <w:pPr>
              <w:spacing w:after="0" w:line="240" w:lineRule="auto"/>
            </w:pPr>
            <w:r>
              <w:rPr>
                <w:rFonts w:ascii="EB Garamond" w:hAnsi="EB Garamond"/>
                <w:sz w:val="14"/>
              </w:rPr>
              <w:t>Constituted vs Discovered</w:t>
            </w:r>
          </w:p>
        </w:tc>
        <w:tc>
          <w:tcPr>
            <w:tcW w:type="dxa" w:w="5112"/>
            <w:vAlign w:val="top"/>
          </w:tcPr>
          <w:p>
            <w:pPr>
              <w:spacing w:after="0" w:line="240" w:lineRule="auto"/>
            </w:pPr>
            <w:r>
              <w:rPr>
                <w:rFonts w:ascii="EB Garamond" w:hAnsi="EB Garamond"/>
                <w:sz w:val="14"/>
              </w:rPr>
              <w:t>The subject helps form the object versus simply finds it.</w:t>
            </w:r>
          </w:p>
        </w:tc>
        <w:tc>
          <w:tcPr>
            <w:tcW w:type="dxa" w:w="5400"/>
            <w:vAlign w:val="top"/>
          </w:tcPr>
          <w:p>
            <w:pPr>
              <w:spacing w:after="0" w:line="240" w:lineRule="auto"/>
            </w:pPr>
            <w:r>
              <w:rPr>
                <w:rFonts w:ascii="EB Garamond" w:hAnsi="EB Garamond"/>
                <w:sz w:val="14"/>
              </w:rPr>
              <w:t>The mind’s contribution to experienced reality.</w:t>
            </w:r>
          </w:p>
        </w:tc>
      </w:tr>
      <w:tr>
        <w:tc>
          <w:tcPr>
            <w:tcW w:type="dxa" w:w="504"/>
            <w:vAlign w:val="top"/>
          </w:tcPr>
          <w:p>
            <w:pPr>
              <w:spacing w:after="0" w:line="240" w:lineRule="auto"/>
            </w:pPr>
            <w:r>
              <w:rPr>
                <w:rFonts w:ascii="EB Garamond" w:hAnsi="EB Garamond"/>
                <w:sz w:val="14"/>
              </w:rPr>
              <w:t>27</w:t>
            </w:r>
          </w:p>
        </w:tc>
        <w:tc>
          <w:tcPr>
            <w:tcW w:type="dxa" w:w="2808"/>
            <w:vAlign w:val="top"/>
          </w:tcPr>
          <w:p>
            <w:pPr>
              <w:spacing w:after="0" w:line="240" w:lineRule="auto"/>
            </w:pPr>
            <w:r>
              <w:rPr>
                <w:rFonts w:ascii="EB Garamond" w:hAnsi="EB Garamond"/>
                <w:sz w:val="14"/>
              </w:rPr>
              <w:t>Representation vs Reality</w:t>
            </w:r>
          </w:p>
        </w:tc>
        <w:tc>
          <w:tcPr>
            <w:tcW w:type="dxa" w:w="5112"/>
            <w:vAlign w:val="top"/>
          </w:tcPr>
          <w:p>
            <w:pPr>
              <w:spacing w:after="0" w:line="240" w:lineRule="auto"/>
            </w:pPr>
            <w:r>
              <w:rPr>
                <w:rFonts w:ascii="EB Garamond" w:hAnsi="EB Garamond"/>
                <w:sz w:val="14"/>
              </w:rPr>
              <w:t>A subject’s image or model versus the represented object.</w:t>
            </w:r>
          </w:p>
        </w:tc>
        <w:tc>
          <w:tcPr>
            <w:tcW w:type="dxa" w:w="5400"/>
            <w:vAlign w:val="top"/>
          </w:tcPr>
          <w:p>
            <w:pPr>
              <w:spacing w:after="0" w:line="240" w:lineRule="auto"/>
            </w:pPr>
            <w:r>
              <w:rPr>
                <w:rFonts w:ascii="EB Garamond" w:hAnsi="EB Garamond"/>
                <w:sz w:val="14"/>
              </w:rPr>
              <w:t>Accuracy, mediation, illusion, and misrepresentation.</w:t>
            </w:r>
          </w:p>
        </w:tc>
      </w:tr>
      <w:tr>
        <w:tc>
          <w:tcPr>
            <w:tcW w:type="dxa" w:w="504"/>
            <w:vAlign w:val="top"/>
          </w:tcPr>
          <w:p>
            <w:pPr>
              <w:spacing w:after="0" w:line="240" w:lineRule="auto"/>
            </w:pPr>
            <w:r>
              <w:rPr>
                <w:rFonts w:ascii="EB Garamond" w:hAnsi="EB Garamond"/>
                <w:sz w:val="14"/>
              </w:rPr>
              <w:t>28</w:t>
            </w:r>
          </w:p>
        </w:tc>
        <w:tc>
          <w:tcPr>
            <w:tcW w:type="dxa" w:w="2808"/>
            <w:vAlign w:val="top"/>
          </w:tcPr>
          <w:p>
            <w:pPr>
              <w:spacing w:after="0" w:line="240" w:lineRule="auto"/>
            </w:pPr>
            <w:r>
              <w:rPr>
                <w:rFonts w:ascii="EB Garamond" w:hAnsi="EB Garamond"/>
                <w:sz w:val="14"/>
              </w:rPr>
              <w:t>Direct Realism vs Representationalism</w:t>
            </w:r>
          </w:p>
        </w:tc>
        <w:tc>
          <w:tcPr>
            <w:tcW w:type="dxa" w:w="5112"/>
            <w:vAlign w:val="top"/>
          </w:tcPr>
          <w:p>
            <w:pPr>
              <w:spacing w:after="0" w:line="240" w:lineRule="auto"/>
            </w:pPr>
            <w:r>
              <w:rPr>
                <w:rFonts w:ascii="EB Garamond" w:hAnsi="EB Garamond"/>
                <w:sz w:val="14"/>
              </w:rPr>
              <w:t>Direct contact with objects versus access through representations.</w:t>
            </w:r>
          </w:p>
        </w:tc>
        <w:tc>
          <w:tcPr>
            <w:tcW w:type="dxa" w:w="5400"/>
            <w:vAlign w:val="top"/>
          </w:tcPr>
          <w:p>
            <w:pPr>
              <w:spacing w:after="0" w:line="240" w:lineRule="auto"/>
            </w:pPr>
            <w:r>
              <w:rPr>
                <w:rFonts w:ascii="EB Garamond" w:hAnsi="EB Garamond"/>
                <w:sz w:val="14"/>
              </w:rPr>
              <w:t>The structure of perception.</w:t>
            </w:r>
          </w:p>
        </w:tc>
      </w:tr>
      <w:tr>
        <w:tc>
          <w:tcPr>
            <w:tcW w:type="dxa" w:w="504"/>
            <w:vAlign w:val="top"/>
          </w:tcPr>
          <w:p>
            <w:pPr>
              <w:spacing w:after="0" w:line="240" w:lineRule="auto"/>
            </w:pPr>
            <w:r>
              <w:rPr>
                <w:rFonts w:ascii="EB Garamond" w:hAnsi="EB Garamond"/>
                <w:sz w:val="14"/>
              </w:rPr>
              <w:t>29</w:t>
            </w:r>
          </w:p>
        </w:tc>
        <w:tc>
          <w:tcPr>
            <w:tcW w:type="dxa" w:w="2808"/>
            <w:vAlign w:val="top"/>
          </w:tcPr>
          <w:p>
            <w:pPr>
              <w:spacing w:after="0" w:line="240" w:lineRule="auto"/>
            </w:pPr>
            <w:r>
              <w:rPr>
                <w:rFonts w:ascii="EB Garamond" w:hAnsi="EB Garamond"/>
                <w:sz w:val="14"/>
              </w:rPr>
              <w:t>Realism vs Antirealism</w:t>
            </w:r>
          </w:p>
        </w:tc>
        <w:tc>
          <w:tcPr>
            <w:tcW w:type="dxa" w:w="5112"/>
            <w:vAlign w:val="top"/>
          </w:tcPr>
          <w:p>
            <w:pPr>
              <w:spacing w:after="0" w:line="240" w:lineRule="auto"/>
            </w:pPr>
            <w:r>
              <w:rPr>
                <w:rFonts w:ascii="EB Garamond" w:hAnsi="EB Garamond"/>
                <w:sz w:val="14"/>
              </w:rPr>
              <w:t>Reality independent of minds or schemes versus dependence on them.</w:t>
            </w:r>
          </w:p>
        </w:tc>
        <w:tc>
          <w:tcPr>
            <w:tcW w:type="dxa" w:w="5400"/>
            <w:vAlign w:val="top"/>
          </w:tcPr>
          <w:p>
            <w:pPr>
              <w:spacing w:after="0" w:line="240" w:lineRule="auto"/>
            </w:pPr>
            <w:r>
              <w:rPr>
                <w:rFonts w:ascii="EB Garamond" w:hAnsi="EB Garamond"/>
                <w:sz w:val="14"/>
              </w:rPr>
              <w:t>Different domains have different realism debates.</w:t>
            </w:r>
          </w:p>
        </w:tc>
      </w:tr>
      <w:tr>
        <w:tc>
          <w:tcPr>
            <w:tcW w:type="dxa" w:w="504"/>
            <w:vAlign w:val="top"/>
          </w:tcPr>
          <w:p>
            <w:pPr>
              <w:spacing w:after="0" w:line="240" w:lineRule="auto"/>
            </w:pPr>
            <w:r>
              <w:rPr>
                <w:rFonts w:ascii="EB Garamond" w:hAnsi="EB Garamond"/>
                <w:sz w:val="14"/>
              </w:rPr>
              <w:t>30</w:t>
            </w:r>
          </w:p>
        </w:tc>
        <w:tc>
          <w:tcPr>
            <w:tcW w:type="dxa" w:w="2808"/>
            <w:vAlign w:val="top"/>
          </w:tcPr>
          <w:p>
            <w:pPr>
              <w:spacing w:after="0" w:line="240" w:lineRule="auto"/>
            </w:pPr>
            <w:r>
              <w:rPr>
                <w:rFonts w:ascii="EB Garamond" w:hAnsi="EB Garamond"/>
                <w:sz w:val="14"/>
              </w:rPr>
              <w:t>Idealism vs Materialism</w:t>
            </w:r>
          </w:p>
        </w:tc>
        <w:tc>
          <w:tcPr>
            <w:tcW w:type="dxa" w:w="5112"/>
            <w:vAlign w:val="top"/>
          </w:tcPr>
          <w:p>
            <w:pPr>
              <w:spacing w:after="0" w:line="240" w:lineRule="auto"/>
            </w:pPr>
            <w:r>
              <w:rPr>
                <w:rFonts w:ascii="EB Garamond" w:hAnsi="EB Garamond"/>
                <w:sz w:val="14"/>
              </w:rPr>
              <w:t>Mind or the ideal receives priority versus physical reality receiving priority.</w:t>
            </w:r>
          </w:p>
        </w:tc>
        <w:tc>
          <w:tcPr>
            <w:tcW w:type="dxa" w:w="5400"/>
            <w:vAlign w:val="top"/>
          </w:tcPr>
          <w:p>
            <w:pPr>
              <w:spacing w:after="0" w:line="240" w:lineRule="auto"/>
            </w:pPr>
            <w:r>
              <w:rPr>
                <w:rFonts w:ascii="EB Garamond" w:hAnsi="EB Garamond"/>
                <w:sz w:val="14"/>
              </w:rPr>
              <w:t>What kind of reality is fundamental.</w:t>
            </w:r>
          </w:p>
        </w:tc>
      </w:tr>
      <w:tr>
        <w:tc>
          <w:tcPr>
            <w:tcW w:type="dxa" w:w="504"/>
            <w:vAlign w:val="top"/>
          </w:tcPr>
          <w:p>
            <w:pPr>
              <w:spacing w:after="0" w:line="240" w:lineRule="auto"/>
            </w:pPr>
            <w:r>
              <w:rPr>
                <w:rFonts w:ascii="EB Garamond" w:hAnsi="EB Garamond"/>
                <w:sz w:val="14"/>
              </w:rPr>
              <w:t>31</w:t>
            </w:r>
          </w:p>
        </w:tc>
        <w:tc>
          <w:tcPr>
            <w:tcW w:type="dxa" w:w="2808"/>
            <w:vAlign w:val="top"/>
          </w:tcPr>
          <w:p>
            <w:pPr>
              <w:spacing w:after="0" w:line="240" w:lineRule="auto"/>
            </w:pPr>
            <w:r>
              <w:rPr>
                <w:rFonts w:ascii="EB Garamond" w:hAnsi="EB Garamond"/>
                <w:sz w:val="14"/>
              </w:rPr>
              <w:t>Consciousness vs Matter</w:t>
            </w:r>
          </w:p>
        </w:tc>
        <w:tc>
          <w:tcPr>
            <w:tcW w:type="dxa" w:w="5112"/>
            <w:vAlign w:val="top"/>
          </w:tcPr>
          <w:p>
            <w:pPr>
              <w:spacing w:after="0" w:line="240" w:lineRule="auto"/>
            </w:pPr>
            <w:r>
              <w:rPr>
                <w:rFonts w:ascii="EB Garamond" w:hAnsi="EB Garamond"/>
                <w:sz w:val="14"/>
              </w:rPr>
              <w:t>Experiential subjectivity versus physical reality.</w:t>
            </w:r>
          </w:p>
        </w:tc>
        <w:tc>
          <w:tcPr>
            <w:tcW w:type="dxa" w:w="5400"/>
            <w:vAlign w:val="top"/>
          </w:tcPr>
          <w:p>
            <w:pPr>
              <w:spacing w:after="0" w:line="240" w:lineRule="auto"/>
            </w:pPr>
            <w:r>
              <w:rPr>
                <w:rFonts w:ascii="EB Garamond" w:hAnsi="EB Garamond"/>
                <w:sz w:val="14"/>
              </w:rPr>
              <w:t>Emergence, reduction, and the explanatory gap.</w:t>
            </w:r>
          </w:p>
        </w:tc>
      </w:tr>
      <w:tr>
        <w:tc>
          <w:tcPr>
            <w:tcW w:type="dxa" w:w="504"/>
            <w:vAlign w:val="top"/>
          </w:tcPr>
          <w:p>
            <w:pPr>
              <w:spacing w:after="0" w:line="240" w:lineRule="auto"/>
            </w:pPr>
            <w:r>
              <w:rPr>
                <w:rFonts w:ascii="EB Garamond" w:hAnsi="EB Garamond"/>
                <w:sz w:val="14"/>
              </w:rPr>
              <w:t>32</w:t>
            </w:r>
          </w:p>
        </w:tc>
        <w:tc>
          <w:tcPr>
            <w:tcW w:type="dxa" w:w="2808"/>
            <w:vAlign w:val="top"/>
          </w:tcPr>
          <w:p>
            <w:pPr>
              <w:spacing w:after="0" w:line="240" w:lineRule="auto"/>
            </w:pPr>
            <w:r>
              <w:rPr>
                <w:rFonts w:ascii="EB Garamond" w:hAnsi="EB Garamond"/>
                <w:sz w:val="14"/>
              </w:rPr>
              <w:t>Mind vs Body</w:t>
            </w:r>
          </w:p>
        </w:tc>
        <w:tc>
          <w:tcPr>
            <w:tcW w:type="dxa" w:w="5112"/>
            <w:vAlign w:val="top"/>
          </w:tcPr>
          <w:p>
            <w:pPr>
              <w:spacing w:after="0" w:line="240" w:lineRule="auto"/>
            </w:pPr>
            <w:r>
              <w:rPr>
                <w:rFonts w:ascii="EB Garamond" w:hAnsi="EB Garamond"/>
                <w:sz w:val="14"/>
              </w:rPr>
              <w:t>Mental subjectivity versus the physical organism.</w:t>
            </w:r>
          </w:p>
        </w:tc>
        <w:tc>
          <w:tcPr>
            <w:tcW w:type="dxa" w:w="5400"/>
            <w:vAlign w:val="top"/>
          </w:tcPr>
          <w:p>
            <w:pPr>
              <w:spacing w:after="0" w:line="240" w:lineRule="auto"/>
            </w:pPr>
            <w:r>
              <w:rPr>
                <w:rFonts w:ascii="EB Garamond" w:hAnsi="EB Garamond"/>
                <w:sz w:val="14"/>
              </w:rPr>
              <w:t>Mental causation, identity, and embodiment.</w:t>
            </w:r>
          </w:p>
        </w:tc>
      </w:tr>
      <w:tr>
        <w:tc>
          <w:tcPr>
            <w:tcW w:type="dxa" w:w="504"/>
            <w:vAlign w:val="top"/>
          </w:tcPr>
          <w:p>
            <w:pPr>
              <w:spacing w:after="0" w:line="240" w:lineRule="auto"/>
            </w:pPr>
            <w:r>
              <w:rPr>
                <w:rFonts w:ascii="EB Garamond" w:hAnsi="EB Garamond"/>
                <w:sz w:val="14"/>
              </w:rPr>
              <w:t>33</w:t>
            </w:r>
          </w:p>
        </w:tc>
        <w:tc>
          <w:tcPr>
            <w:tcW w:type="dxa" w:w="2808"/>
            <w:vAlign w:val="top"/>
          </w:tcPr>
          <w:p>
            <w:pPr>
              <w:spacing w:after="0" w:line="240" w:lineRule="auto"/>
            </w:pPr>
            <w:r>
              <w:rPr>
                <w:rFonts w:ascii="EB Garamond" w:hAnsi="EB Garamond"/>
                <w:sz w:val="14"/>
              </w:rPr>
              <w:t>Internalism vs Externalism</w:t>
            </w:r>
          </w:p>
        </w:tc>
        <w:tc>
          <w:tcPr>
            <w:tcW w:type="dxa" w:w="5112"/>
            <w:vAlign w:val="top"/>
          </w:tcPr>
          <w:p>
            <w:pPr>
              <w:spacing w:after="0" w:line="240" w:lineRule="auto"/>
            </w:pPr>
            <w:r>
              <w:rPr>
                <w:rFonts w:ascii="EB Garamond" w:hAnsi="EB Garamond"/>
                <w:sz w:val="14"/>
              </w:rPr>
              <w:t>Meaning or justification inside the subject versus partly determined by the world.</w:t>
            </w:r>
          </w:p>
        </w:tc>
        <w:tc>
          <w:tcPr>
            <w:tcW w:type="dxa" w:w="5400"/>
            <w:vAlign w:val="top"/>
          </w:tcPr>
          <w:p>
            <w:pPr>
              <w:spacing w:after="0" w:line="240" w:lineRule="auto"/>
            </w:pPr>
            <w:r>
              <w:rPr>
                <w:rFonts w:ascii="EB Garamond" w:hAnsi="EB Garamond"/>
                <w:sz w:val="14"/>
              </w:rPr>
              <w:t>What fixes thought, meaning, and knowledge.</w:t>
            </w:r>
          </w:p>
        </w:tc>
      </w:tr>
      <w:tr>
        <w:tc>
          <w:tcPr>
            <w:tcW w:type="dxa" w:w="504"/>
            <w:vAlign w:val="top"/>
          </w:tcPr>
          <w:p>
            <w:pPr>
              <w:spacing w:after="0" w:line="240" w:lineRule="auto"/>
            </w:pPr>
            <w:r>
              <w:rPr>
                <w:rFonts w:ascii="EB Garamond" w:hAnsi="EB Garamond"/>
                <w:sz w:val="14"/>
              </w:rPr>
              <w:t>34</w:t>
            </w:r>
          </w:p>
        </w:tc>
        <w:tc>
          <w:tcPr>
            <w:tcW w:type="dxa" w:w="2808"/>
            <w:vAlign w:val="top"/>
          </w:tcPr>
          <w:p>
            <w:pPr>
              <w:spacing w:after="0" w:line="240" w:lineRule="auto"/>
            </w:pPr>
            <w:r>
              <w:rPr>
                <w:rFonts w:ascii="EB Garamond" w:hAnsi="EB Garamond"/>
                <w:sz w:val="14"/>
              </w:rPr>
              <w:t>Private vs Public</w:t>
            </w:r>
          </w:p>
        </w:tc>
        <w:tc>
          <w:tcPr>
            <w:tcW w:type="dxa" w:w="5112"/>
            <w:vAlign w:val="top"/>
          </w:tcPr>
          <w:p>
            <w:pPr>
              <w:spacing w:after="0" w:line="240" w:lineRule="auto"/>
            </w:pPr>
            <w:r>
              <w:rPr>
                <w:rFonts w:ascii="EB Garamond" w:hAnsi="EB Garamond"/>
                <w:sz w:val="14"/>
              </w:rPr>
              <w:t>First-person inner access versus shared observable access.</w:t>
            </w:r>
          </w:p>
        </w:tc>
        <w:tc>
          <w:tcPr>
            <w:tcW w:type="dxa" w:w="5400"/>
            <w:vAlign w:val="top"/>
          </w:tcPr>
          <w:p>
            <w:pPr>
              <w:spacing w:after="0" w:line="240" w:lineRule="auto"/>
            </w:pPr>
            <w:r>
              <w:rPr>
                <w:rFonts w:ascii="EB Garamond" w:hAnsi="EB Garamond"/>
                <w:sz w:val="14"/>
              </w:rPr>
              <w:t>Communicability, verification, and privacy of experience.</w:t>
            </w:r>
          </w:p>
        </w:tc>
      </w:tr>
      <w:tr>
        <w:tc>
          <w:tcPr>
            <w:tcW w:type="dxa" w:w="504"/>
            <w:vAlign w:val="top"/>
          </w:tcPr>
          <w:p>
            <w:pPr>
              <w:spacing w:after="0" w:line="240" w:lineRule="auto"/>
            </w:pPr>
            <w:r>
              <w:rPr>
                <w:rFonts w:ascii="EB Garamond" w:hAnsi="EB Garamond"/>
                <w:sz w:val="14"/>
              </w:rPr>
              <w:t>35</w:t>
            </w:r>
          </w:p>
        </w:tc>
        <w:tc>
          <w:tcPr>
            <w:tcW w:type="dxa" w:w="2808"/>
            <w:vAlign w:val="top"/>
          </w:tcPr>
          <w:p>
            <w:pPr>
              <w:spacing w:after="0" w:line="240" w:lineRule="auto"/>
            </w:pPr>
            <w:r>
              <w:rPr>
                <w:rFonts w:ascii="EB Garamond" w:hAnsi="EB Garamond"/>
                <w:sz w:val="14"/>
              </w:rPr>
              <w:t>Embodiment vs Disembodiment</w:t>
            </w:r>
          </w:p>
        </w:tc>
        <w:tc>
          <w:tcPr>
            <w:tcW w:type="dxa" w:w="5112"/>
            <w:vAlign w:val="top"/>
          </w:tcPr>
          <w:p>
            <w:pPr>
              <w:spacing w:after="0" w:line="240" w:lineRule="auto"/>
            </w:pPr>
            <w:r>
              <w:rPr>
                <w:rFonts w:ascii="EB Garamond" w:hAnsi="EB Garamond"/>
                <w:sz w:val="14"/>
              </w:rPr>
              <w:t>A bodily, situated subject versus an abstract or bodiless mind.</w:t>
            </w:r>
          </w:p>
        </w:tc>
        <w:tc>
          <w:tcPr>
            <w:tcW w:type="dxa" w:w="5400"/>
            <w:vAlign w:val="top"/>
          </w:tcPr>
          <w:p>
            <w:pPr>
              <w:spacing w:after="0" w:line="240" w:lineRule="auto"/>
            </w:pPr>
            <w:r>
              <w:rPr>
                <w:rFonts w:ascii="EB Garamond" w:hAnsi="EB Garamond"/>
                <w:sz w:val="14"/>
              </w:rPr>
              <w:t>The body’s role in perception, action, and thought.</w:t>
            </w:r>
          </w:p>
        </w:tc>
      </w:tr>
      <w:tr>
        <w:tc>
          <w:tcPr>
            <w:tcW w:type="dxa" w:w="504"/>
            <w:vAlign w:val="top"/>
          </w:tcPr>
          <w:p>
            <w:pPr>
              <w:spacing w:after="0" w:line="240" w:lineRule="auto"/>
            </w:pPr>
            <w:r>
              <w:rPr>
                <w:rFonts w:ascii="EB Garamond" w:hAnsi="EB Garamond"/>
                <w:sz w:val="14"/>
              </w:rPr>
              <w:t>36</w:t>
            </w:r>
          </w:p>
        </w:tc>
        <w:tc>
          <w:tcPr>
            <w:tcW w:type="dxa" w:w="2808"/>
            <w:vAlign w:val="top"/>
          </w:tcPr>
          <w:p>
            <w:pPr>
              <w:spacing w:after="0" w:line="240" w:lineRule="auto"/>
            </w:pPr>
            <w:r>
              <w:rPr>
                <w:rFonts w:ascii="EB Garamond" w:hAnsi="EB Garamond"/>
                <w:sz w:val="14"/>
              </w:rPr>
              <w:t>Immanence vs Transcendence</w:t>
            </w:r>
          </w:p>
        </w:tc>
        <w:tc>
          <w:tcPr>
            <w:tcW w:type="dxa" w:w="5112"/>
            <w:vAlign w:val="top"/>
          </w:tcPr>
          <w:p>
            <w:pPr>
              <w:spacing w:after="0" w:line="240" w:lineRule="auto"/>
            </w:pPr>
            <w:r>
              <w:rPr>
                <w:rFonts w:ascii="EB Garamond" w:hAnsi="EB Garamond"/>
                <w:sz w:val="14"/>
              </w:rPr>
              <w:t>What remains within experience versus what exceeds it.</w:t>
            </w:r>
          </w:p>
        </w:tc>
        <w:tc>
          <w:tcPr>
            <w:tcW w:type="dxa" w:w="5400"/>
            <w:vAlign w:val="top"/>
          </w:tcPr>
          <w:p>
            <w:pPr>
              <w:spacing w:after="0" w:line="240" w:lineRule="auto"/>
            </w:pPr>
            <w:r>
              <w:rPr>
                <w:rFonts w:ascii="EB Garamond" w:hAnsi="EB Garamond"/>
                <w:sz w:val="14"/>
              </w:rPr>
              <w:t>Theology, world-limits, alterity, and modes of being.</w:t>
            </w:r>
          </w:p>
        </w:tc>
      </w:tr>
      <w:tr>
        <w:tc>
          <w:tcPr>
            <w:tcW w:type="dxa" w:w="504"/>
            <w:vAlign w:val="top"/>
          </w:tcPr>
          <w:p>
            <w:pPr>
              <w:spacing w:after="0" w:line="240" w:lineRule="auto"/>
            </w:pPr>
            <w:r>
              <w:rPr>
                <w:rFonts w:ascii="EB Garamond" w:hAnsi="EB Garamond"/>
                <w:sz w:val="14"/>
              </w:rPr>
              <w:t>37</w:t>
            </w:r>
          </w:p>
        </w:tc>
        <w:tc>
          <w:tcPr>
            <w:tcW w:type="dxa" w:w="2808"/>
            <w:vAlign w:val="top"/>
          </w:tcPr>
          <w:p>
            <w:pPr>
              <w:spacing w:after="0" w:line="240" w:lineRule="auto"/>
            </w:pPr>
            <w:r>
              <w:rPr>
                <w:rFonts w:ascii="EB Garamond" w:hAnsi="EB Garamond"/>
                <w:sz w:val="14"/>
              </w:rPr>
              <w:t>Theory vs Observation</w:t>
            </w:r>
          </w:p>
        </w:tc>
        <w:tc>
          <w:tcPr>
            <w:tcW w:type="dxa" w:w="5112"/>
            <w:vAlign w:val="top"/>
          </w:tcPr>
          <w:p>
            <w:pPr>
              <w:spacing w:after="0" w:line="240" w:lineRule="auto"/>
            </w:pPr>
            <w:r>
              <w:rPr>
                <w:rFonts w:ascii="EB Garamond" w:hAnsi="EB Garamond"/>
                <w:sz w:val="14"/>
              </w:rPr>
              <w:t>The subject’s conceptual framework versus observed objects or data.</w:t>
            </w:r>
          </w:p>
        </w:tc>
        <w:tc>
          <w:tcPr>
            <w:tcW w:type="dxa" w:w="5400"/>
            <w:vAlign w:val="top"/>
          </w:tcPr>
          <w:p>
            <w:pPr>
              <w:spacing w:after="0" w:line="240" w:lineRule="auto"/>
            </w:pPr>
            <w:r>
              <w:rPr>
                <w:rFonts w:ascii="EB Garamond" w:hAnsi="EB Garamond"/>
                <w:sz w:val="14"/>
              </w:rPr>
              <w:t>Theory-ladenness, testing, and scientific evidence.</w:t>
            </w:r>
          </w:p>
        </w:tc>
      </w:tr>
      <w:tr>
        <w:tc>
          <w:tcPr>
            <w:tcW w:type="dxa" w:w="504"/>
            <w:vAlign w:val="top"/>
          </w:tcPr>
          <w:p>
            <w:pPr>
              <w:spacing w:after="0" w:line="240" w:lineRule="auto"/>
            </w:pPr>
            <w:r>
              <w:rPr>
                <w:rFonts w:ascii="EB Garamond" w:hAnsi="EB Garamond"/>
                <w:sz w:val="14"/>
              </w:rPr>
              <w:t>38</w:t>
            </w:r>
          </w:p>
        </w:tc>
        <w:tc>
          <w:tcPr>
            <w:tcW w:type="dxa" w:w="2808"/>
            <w:vAlign w:val="top"/>
          </w:tcPr>
          <w:p>
            <w:pPr>
              <w:spacing w:after="0" w:line="240" w:lineRule="auto"/>
            </w:pPr>
            <w:r>
              <w:rPr>
                <w:rFonts w:ascii="EB Garamond" w:hAnsi="EB Garamond"/>
                <w:sz w:val="14"/>
              </w:rPr>
              <w:t>Constructivism vs Objectivism</w:t>
            </w:r>
          </w:p>
        </w:tc>
        <w:tc>
          <w:tcPr>
            <w:tcW w:type="dxa" w:w="5112"/>
            <w:vAlign w:val="top"/>
          </w:tcPr>
          <w:p>
            <w:pPr>
              <w:spacing w:after="0" w:line="240" w:lineRule="auto"/>
            </w:pPr>
            <w:r>
              <w:rPr>
                <w:rFonts w:ascii="EB Garamond" w:hAnsi="EB Garamond"/>
                <w:sz w:val="14"/>
              </w:rPr>
              <w:t>Subjective or social construction versus independent standards.</w:t>
            </w:r>
          </w:p>
        </w:tc>
        <w:tc>
          <w:tcPr>
            <w:tcW w:type="dxa" w:w="5400"/>
            <w:vAlign w:val="top"/>
          </w:tcPr>
          <w:p>
            <w:pPr>
              <w:spacing w:after="0" w:line="240" w:lineRule="auto"/>
            </w:pPr>
            <w:r>
              <w:rPr>
                <w:rFonts w:ascii="EB Garamond" w:hAnsi="EB Garamond"/>
                <w:sz w:val="14"/>
              </w:rPr>
              <w:t>Construction and objectivity can coexist in different forms.</w:t>
            </w:r>
          </w:p>
        </w:tc>
      </w:tr>
      <w:tr>
        <w:tc>
          <w:tcPr>
            <w:tcW w:type="dxa" w:w="504"/>
            <w:vAlign w:val="top"/>
          </w:tcPr>
          <w:p>
            <w:pPr>
              <w:spacing w:after="0" w:line="240" w:lineRule="auto"/>
            </w:pPr>
            <w:r>
              <w:rPr>
                <w:rFonts w:ascii="EB Garamond" w:hAnsi="EB Garamond"/>
                <w:sz w:val="14"/>
              </w:rPr>
              <w:t>39</w:t>
            </w:r>
          </w:p>
        </w:tc>
        <w:tc>
          <w:tcPr>
            <w:tcW w:type="dxa" w:w="2808"/>
            <w:vAlign w:val="top"/>
          </w:tcPr>
          <w:p>
            <w:pPr>
              <w:spacing w:after="0" w:line="240" w:lineRule="auto"/>
            </w:pPr>
            <w:r>
              <w:rPr>
                <w:rFonts w:ascii="EB Garamond" w:hAnsi="EB Garamond"/>
                <w:sz w:val="14"/>
              </w:rPr>
              <w:t>Phenomenology vs Positivism</w:t>
            </w:r>
          </w:p>
        </w:tc>
        <w:tc>
          <w:tcPr>
            <w:tcW w:type="dxa" w:w="5112"/>
            <w:vAlign w:val="top"/>
          </w:tcPr>
          <w:p>
            <w:pPr>
              <w:spacing w:after="0" w:line="240" w:lineRule="auto"/>
            </w:pPr>
            <w:r>
              <w:rPr>
                <w:rFonts w:ascii="EB Garamond" w:hAnsi="EB Garamond"/>
                <w:sz w:val="14"/>
              </w:rPr>
              <w:t>First-person experience versus publicly measurable phenomena.</w:t>
            </w:r>
          </w:p>
        </w:tc>
        <w:tc>
          <w:tcPr>
            <w:tcW w:type="dxa" w:w="5400"/>
            <w:vAlign w:val="top"/>
          </w:tcPr>
          <w:p>
            <w:pPr>
              <w:spacing w:after="0" w:line="240" w:lineRule="auto"/>
            </w:pPr>
            <w:r>
              <w:rPr>
                <w:rFonts w:ascii="EB Garamond" w:hAnsi="EB Garamond"/>
                <w:sz w:val="14"/>
              </w:rPr>
              <w:t>Competing methods for studying reality.</w:t>
            </w:r>
          </w:p>
        </w:tc>
      </w:tr>
      <w:tr>
        <w:tc>
          <w:tcPr>
            <w:tcW w:type="dxa" w:w="504"/>
            <w:vAlign w:val="top"/>
          </w:tcPr>
          <w:p>
            <w:pPr>
              <w:spacing w:after="0" w:line="240" w:lineRule="auto"/>
            </w:pPr>
            <w:r>
              <w:rPr>
                <w:rFonts w:ascii="EB Garamond" w:hAnsi="EB Garamond"/>
                <w:sz w:val="14"/>
              </w:rPr>
              <w:t>40</w:t>
            </w:r>
          </w:p>
        </w:tc>
        <w:tc>
          <w:tcPr>
            <w:tcW w:type="dxa" w:w="2808"/>
            <w:vAlign w:val="top"/>
          </w:tcPr>
          <w:p>
            <w:pPr>
              <w:spacing w:after="0" w:line="240" w:lineRule="auto"/>
            </w:pPr>
            <w:r>
              <w:rPr>
                <w:rFonts w:ascii="EB Garamond" w:hAnsi="EB Garamond"/>
                <w:sz w:val="14"/>
              </w:rPr>
              <w:t>Rationalism vs Empiricism</w:t>
            </w:r>
          </w:p>
        </w:tc>
        <w:tc>
          <w:tcPr>
            <w:tcW w:type="dxa" w:w="5112"/>
            <w:vAlign w:val="top"/>
          </w:tcPr>
          <w:p>
            <w:pPr>
              <w:spacing w:after="0" w:line="240" w:lineRule="auto"/>
            </w:pPr>
            <w:r>
              <w:rPr>
                <w:rFonts w:ascii="EB Garamond" w:hAnsi="EB Garamond"/>
                <w:sz w:val="14"/>
              </w:rPr>
              <w:t>Reason within the knower versus sensory contact with the world.</w:t>
            </w:r>
          </w:p>
        </w:tc>
        <w:tc>
          <w:tcPr>
            <w:tcW w:type="dxa" w:w="5400"/>
            <w:vAlign w:val="top"/>
          </w:tcPr>
          <w:p>
            <w:pPr>
              <w:spacing w:after="0" w:line="240" w:lineRule="auto"/>
            </w:pPr>
            <w:r>
              <w:rPr>
                <w:rFonts w:ascii="EB Garamond" w:hAnsi="EB Garamond"/>
                <w:sz w:val="14"/>
              </w:rPr>
              <w:t>Competing sources of concepts and knowledge.</w:t>
            </w:r>
          </w:p>
        </w:tc>
      </w:tr>
      <w:tr>
        <w:tc>
          <w:tcPr>
            <w:tcW w:type="dxa" w:w="504"/>
            <w:vAlign w:val="top"/>
          </w:tcPr>
          <w:p>
            <w:pPr>
              <w:spacing w:after="0" w:line="240" w:lineRule="auto"/>
            </w:pPr>
            <w:r>
              <w:rPr>
                <w:rFonts w:ascii="EB Garamond" w:hAnsi="EB Garamond"/>
                <w:sz w:val="14"/>
              </w:rPr>
              <w:t>41</w:t>
            </w:r>
          </w:p>
        </w:tc>
        <w:tc>
          <w:tcPr>
            <w:tcW w:type="dxa" w:w="2808"/>
            <w:vAlign w:val="top"/>
          </w:tcPr>
          <w:p>
            <w:pPr>
              <w:spacing w:after="0" w:line="240" w:lineRule="auto"/>
            </w:pPr>
            <w:r>
              <w:rPr>
                <w:rFonts w:ascii="EB Garamond" w:hAnsi="EB Garamond"/>
                <w:sz w:val="14"/>
              </w:rPr>
              <w:t>A priori vs A posteriori</w:t>
            </w:r>
          </w:p>
        </w:tc>
        <w:tc>
          <w:tcPr>
            <w:tcW w:type="dxa" w:w="5112"/>
            <w:vAlign w:val="top"/>
          </w:tcPr>
          <w:p>
            <w:pPr>
              <w:spacing w:after="0" w:line="240" w:lineRule="auto"/>
            </w:pPr>
            <w:r>
              <w:rPr>
                <w:rFonts w:ascii="EB Garamond" w:hAnsi="EB Garamond"/>
                <w:sz w:val="14"/>
              </w:rPr>
              <w:t>Knowledge independent of experience versus knowledge gained through experience.</w:t>
            </w:r>
          </w:p>
        </w:tc>
        <w:tc>
          <w:tcPr>
            <w:tcW w:type="dxa" w:w="5400"/>
            <w:vAlign w:val="top"/>
          </w:tcPr>
          <w:p>
            <w:pPr>
              <w:spacing w:after="0" w:line="240" w:lineRule="auto"/>
            </w:pPr>
            <w:r>
              <w:rPr>
                <w:rFonts w:ascii="EB Garamond" w:hAnsi="EB Garamond"/>
                <w:sz w:val="14"/>
              </w:rPr>
              <w:t>Types of justification rather than types of reality.</w:t>
            </w:r>
          </w:p>
        </w:tc>
      </w:tr>
      <w:tr>
        <w:tc>
          <w:tcPr>
            <w:tcW w:type="dxa" w:w="504"/>
            <w:vAlign w:val="top"/>
          </w:tcPr>
          <w:p>
            <w:pPr>
              <w:spacing w:after="0" w:line="240" w:lineRule="auto"/>
            </w:pPr>
            <w:r>
              <w:rPr>
                <w:rFonts w:ascii="EB Garamond" w:hAnsi="EB Garamond"/>
                <w:sz w:val="14"/>
              </w:rPr>
              <w:t>42</w:t>
            </w:r>
          </w:p>
        </w:tc>
        <w:tc>
          <w:tcPr>
            <w:tcW w:type="dxa" w:w="2808"/>
            <w:vAlign w:val="top"/>
          </w:tcPr>
          <w:p>
            <w:pPr>
              <w:spacing w:after="0" w:line="240" w:lineRule="auto"/>
            </w:pPr>
            <w:r>
              <w:rPr>
                <w:rFonts w:ascii="EB Garamond" w:hAnsi="EB Garamond"/>
                <w:sz w:val="14"/>
              </w:rPr>
              <w:t>Language vs World</w:t>
            </w:r>
          </w:p>
        </w:tc>
        <w:tc>
          <w:tcPr>
            <w:tcW w:type="dxa" w:w="5112"/>
            <w:vAlign w:val="top"/>
          </w:tcPr>
          <w:p>
            <w:pPr>
              <w:spacing w:after="0" w:line="240" w:lineRule="auto"/>
            </w:pPr>
            <w:r>
              <w:rPr>
                <w:rFonts w:ascii="EB Garamond" w:hAnsi="EB Garamond"/>
                <w:sz w:val="14"/>
              </w:rPr>
              <w:t>A subject’s symbolic system versus what it describes.</w:t>
            </w:r>
          </w:p>
        </w:tc>
        <w:tc>
          <w:tcPr>
            <w:tcW w:type="dxa" w:w="5400"/>
            <w:vAlign w:val="top"/>
          </w:tcPr>
          <w:p>
            <w:pPr>
              <w:spacing w:after="0" w:line="240" w:lineRule="auto"/>
            </w:pPr>
            <w:r>
              <w:rPr>
                <w:rFonts w:ascii="EB Garamond" w:hAnsi="EB Garamond"/>
                <w:sz w:val="14"/>
              </w:rPr>
              <w:t>Reference, interpretation, and linguistic mediation.</w:t>
            </w:r>
          </w:p>
        </w:tc>
      </w:tr>
      <w:tr>
        <w:tc>
          <w:tcPr>
            <w:tcW w:type="dxa" w:w="504"/>
            <w:vAlign w:val="top"/>
          </w:tcPr>
          <w:p>
            <w:pPr>
              <w:spacing w:after="0" w:line="240" w:lineRule="auto"/>
            </w:pPr>
            <w:r>
              <w:rPr>
                <w:rFonts w:ascii="EB Garamond" w:hAnsi="EB Garamond"/>
                <w:sz w:val="14"/>
              </w:rPr>
              <w:t>43</w:t>
            </w:r>
          </w:p>
        </w:tc>
        <w:tc>
          <w:tcPr>
            <w:tcW w:type="dxa" w:w="2808"/>
            <w:vAlign w:val="top"/>
          </w:tcPr>
          <w:p>
            <w:pPr>
              <w:spacing w:after="0" w:line="240" w:lineRule="auto"/>
            </w:pPr>
            <w:r>
              <w:rPr>
                <w:rFonts w:ascii="EB Garamond" w:hAnsi="EB Garamond"/>
                <w:sz w:val="14"/>
              </w:rPr>
              <w:t>Concept vs Intuition</w:t>
            </w:r>
          </w:p>
        </w:tc>
        <w:tc>
          <w:tcPr>
            <w:tcW w:type="dxa" w:w="5112"/>
            <w:vAlign w:val="top"/>
          </w:tcPr>
          <w:p>
            <w:pPr>
              <w:spacing w:after="0" w:line="240" w:lineRule="auto"/>
            </w:pPr>
            <w:r>
              <w:rPr>
                <w:rFonts w:ascii="EB Garamond" w:hAnsi="EB Garamond"/>
                <w:sz w:val="14"/>
              </w:rPr>
              <w:t>The mind’s organizing rule versus immediate sensory presentation.</w:t>
            </w:r>
          </w:p>
        </w:tc>
        <w:tc>
          <w:tcPr>
            <w:tcW w:type="dxa" w:w="5400"/>
            <w:vAlign w:val="top"/>
          </w:tcPr>
          <w:p>
            <w:pPr>
              <w:spacing w:after="0" w:line="240" w:lineRule="auto"/>
            </w:pPr>
            <w:r>
              <w:rPr>
                <w:rFonts w:ascii="EB Garamond" w:hAnsi="EB Garamond"/>
                <w:sz w:val="14"/>
              </w:rPr>
              <w:t>How thought and sensation combine into cognition.</w:t>
            </w:r>
          </w:p>
        </w:tc>
      </w:tr>
      <w:tr>
        <w:tc>
          <w:tcPr>
            <w:tcW w:type="dxa" w:w="504"/>
            <w:vAlign w:val="top"/>
          </w:tcPr>
          <w:p>
            <w:pPr>
              <w:spacing w:after="0" w:line="240" w:lineRule="auto"/>
            </w:pPr>
            <w:r>
              <w:rPr>
                <w:rFonts w:ascii="EB Garamond" w:hAnsi="EB Garamond"/>
                <w:sz w:val="14"/>
              </w:rPr>
              <w:t>44</w:t>
            </w:r>
          </w:p>
        </w:tc>
        <w:tc>
          <w:tcPr>
            <w:tcW w:type="dxa" w:w="2808"/>
            <w:vAlign w:val="top"/>
          </w:tcPr>
          <w:p>
            <w:pPr>
              <w:spacing w:after="0" w:line="240" w:lineRule="auto"/>
            </w:pPr>
            <w:r>
              <w:rPr>
                <w:rFonts w:ascii="EB Garamond" w:hAnsi="EB Garamond"/>
                <w:sz w:val="14"/>
              </w:rPr>
              <w:t>Sense vs Reference</w:t>
            </w:r>
          </w:p>
        </w:tc>
        <w:tc>
          <w:tcPr>
            <w:tcW w:type="dxa" w:w="5112"/>
            <w:vAlign w:val="top"/>
          </w:tcPr>
          <w:p>
            <w:pPr>
              <w:spacing w:after="0" w:line="240" w:lineRule="auto"/>
            </w:pPr>
            <w:r>
              <w:rPr>
                <w:rFonts w:ascii="EB Garamond" w:hAnsi="EB Garamond"/>
                <w:sz w:val="14"/>
              </w:rPr>
              <w:t>The way an object is presented versus the object picked out.</w:t>
            </w:r>
          </w:p>
        </w:tc>
        <w:tc>
          <w:tcPr>
            <w:tcW w:type="dxa" w:w="5400"/>
            <w:vAlign w:val="top"/>
          </w:tcPr>
          <w:p>
            <w:pPr>
              <w:spacing w:after="0" w:line="240" w:lineRule="auto"/>
            </w:pPr>
            <w:r>
              <w:rPr>
                <w:rFonts w:ascii="EB Garamond" w:hAnsi="EB Garamond"/>
                <w:sz w:val="14"/>
              </w:rPr>
              <w:t>Meaning can differ while reference remains shared.</w:t>
            </w:r>
          </w:p>
        </w:tc>
      </w:tr>
      <w:tr>
        <w:tc>
          <w:tcPr>
            <w:tcW w:type="dxa" w:w="504"/>
            <w:vAlign w:val="top"/>
          </w:tcPr>
          <w:p>
            <w:pPr>
              <w:spacing w:after="0" w:line="240" w:lineRule="auto"/>
            </w:pPr>
            <w:r>
              <w:rPr>
                <w:rFonts w:ascii="EB Garamond" w:hAnsi="EB Garamond"/>
                <w:sz w:val="14"/>
              </w:rPr>
              <w:t>45</w:t>
            </w:r>
          </w:p>
        </w:tc>
        <w:tc>
          <w:tcPr>
            <w:tcW w:type="dxa" w:w="2808"/>
            <w:vAlign w:val="top"/>
          </w:tcPr>
          <w:p>
            <w:pPr>
              <w:spacing w:after="0" w:line="240" w:lineRule="auto"/>
            </w:pPr>
            <w:r>
              <w:rPr>
                <w:rFonts w:ascii="EB Garamond" w:hAnsi="EB Garamond"/>
                <w:sz w:val="14"/>
              </w:rPr>
              <w:t>Perspective vs View from Nowhere</w:t>
            </w:r>
          </w:p>
        </w:tc>
        <w:tc>
          <w:tcPr>
            <w:tcW w:type="dxa" w:w="5112"/>
            <w:vAlign w:val="top"/>
          </w:tcPr>
          <w:p>
            <w:pPr>
              <w:spacing w:after="0" w:line="240" w:lineRule="auto"/>
            </w:pPr>
            <w:r>
              <w:rPr>
                <w:rFonts w:ascii="EB Garamond" w:hAnsi="EB Garamond"/>
                <w:sz w:val="14"/>
              </w:rPr>
              <w:t>Situated subjectivity versus an ideal standpoint-free account.</w:t>
            </w:r>
          </w:p>
        </w:tc>
        <w:tc>
          <w:tcPr>
            <w:tcW w:type="dxa" w:w="5400"/>
            <w:vAlign w:val="top"/>
          </w:tcPr>
          <w:p>
            <w:pPr>
              <w:spacing w:after="0" w:line="240" w:lineRule="auto"/>
            </w:pPr>
            <w:r>
              <w:rPr>
                <w:rFonts w:ascii="EB Garamond" w:hAnsi="EB Garamond"/>
                <w:sz w:val="14"/>
              </w:rPr>
              <w:t>The powers and limits of perspective.</w:t>
            </w:r>
          </w:p>
        </w:tc>
      </w:tr>
      <w:tr>
        <w:tc>
          <w:tcPr>
            <w:tcW w:type="dxa" w:w="504"/>
            <w:vAlign w:val="top"/>
          </w:tcPr>
          <w:p>
            <w:pPr>
              <w:spacing w:after="0" w:line="240" w:lineRule="auto"/>
            </w:pPr>
            <w:r>
              <w:rPr>
                <w:rFonts w:ascii="EB Garamond" w:hAnsi="EB Garamond"/>
                <w:sz w:val="14"/>
              </w:rPr>
              <w:t>46</w:t>
            </w:r>
          </w:p>
        </w:tc>
        <w:tc>
          <w:tcPr>
            <w:tcW w:type="dxa" w:w="2808"/>
            <w:vAlign w:val="top"/>
          </w:tcPr>
          <w:p>
            <w:pPr>
              <w:spacing w:after="0" w:line="240" w:lineRule="auto"/>
            </w:pPr>
            <w:r>
              <w:rPr>
                <w:rFonts w:ascii="EB Garamond" w:hAnsi="EB Garamond"/>
                <w:sz w:val="14"/>
              </w:rPr>
              <w:t>Absolutism vs Relativism</w:t>
            </w:r>
          </w:p>
        </w:tc>
        <w:tc>
          <w:tcPr>
            <w:tcW w:type="dxa" w:w="5112"/>
            <w:vAlign w:val="top"/>
          </w:tcPr>
          <w:p>
            <w:pPr>
              <w:spacing w:after="0" w:line="240" w:lineRule="auto"/>
            </w:pPr>
            <w:r>
              <w:rPr>
                <w:rFonts w:ascii="EB Garamond" w:hAnsi="EB Garamond"/>
                <w:sz w:val="14"/>
              </w:rPr>
              <w:t>Truth independent of standpoint versus truth relative to a framework.</w:t>
            </w:r>
          </w:p>
        </w:tc>
        <w:tc>
          <w:tcPr>
            <w:tcW w:type="dxa" w:w="5400"/>
            <w:vAlign w:val="top"/>
          </w:tcPr>
          <w:p>
            <w:pPr>
              <w:spacing w:after="0" w:line="240" w:lineRule="auto"/>
            </w:pPr>
            <w:r>
              <w:rPr>
                <w:rFonts w:ascii="EB Garamond" w:hAnsi="EB Garamond"/>
                <w:sz w:val="14"/>
              </w:rPr>
              <w:t>Scope, context, culture, and standards of judgment.</w:t>
            </w:r>
          </w:p>
        </w:tc>
      </w:tr>
      <w:tr>
        <w:tc>
          <w:tcPr>
            <w:tcW w:type="dxa" w:w="504"/>
            <w:vAlign w:val="top"/>
          </w:tcPr>
          <w:p>
            <w:pPr>
              <w:spacing w:after="0" w:line="240" w:lineRule="auto"/>
            </w:pPr>
            <w:r>
              <w:rPr>
                <w:rFonts w:ascii="EB Garamond" w:hAnsi="EB Garamond"/>
                <w:sz w:val="14"/>
              </w:rPr>
              <w:t>47</w:t>
            </w:r>
          </w:p>
        </w:tc>
        <w:tc>
          <w:tcPr>
            <w:tcW w:type="dxa" w:w="2808"/>
            <w:vAlign w:val="top"/>
          </w:tcPr>
          <w:p>
            <w:pPr>
              <w:spacing w:after="0" w:line="240" w:lineRule="auto"/>
            </w:pPr>
            <w:r>
              <w:rPr>
                <w:rFonts w:ascii="EB Garamond" w:hAnsi="EB Garamond"/>
                <w:sz w:val="14"/>
              </w:rPr>
              <w:t>Explanation vs Understanding</w:t>
            </w:r>
          </w:p>
        </w:tc>
        <w:tc>
          <w:tcPr>
            <w:tcW w:type="dxa" w:w="5112"/>
            <w:vAlign w:val="top"/>
          </w:tcPr>
          <w:p>
            <w:pPr>
              <w:spacing w:after="0" w:line="240" w:lineRule="auto"/>
            </w:pPr>
            <w:r>
              <w:rPr>
                <w:rFonts w:ascii="EB Garamond" w:hAnsi="EB Garamond"/>
                <w:sz w:val="14"/>
              </w:rPr>
              <w:t>External causal account versus interpretation of lived meaning.</w:t>
            </w:r>
          </w:p>
        </w:tc>
        <w:tc>
          <w:tcPr>
            <w:tcW w:type="dxa" w:w="5400"/>
            <w:vAlign w:val="top"/>
          </w:tcPr>
          <w:p>
            <w:pPr>
              <w:spacing w:after="0" w:line="240" w:lineRule="auto"/>
            </w:pPr>
            <w:r>
              <w:rPr>
                <w:rFonts w:ascii="EB Garamond" w:hAnsi="EB Garamond"/>
                <w:sz w:val="14"/>
              </w:rPr>
              <w:t>Different methods for natural and human phenomena.</w:t>
            </w:r>
          </w:p>
        </w:tc>
      </w:tr>
      <w:tr>
        <w:tc>
          <w:tcPr>
            <w:tcW w:type="dxa" w:w="504"/>
            <w:vAlign w:val="top"/>
          </w:tcPr>
          <w:p>
            <w:pPr>
              <w:spacing w:after="0" w:line="240" w:lineRule="auto"/>
            </w:pPr>
            <w:r>
              <w:rPr>
                <w:rFonts w:ascii="EB Garamond" w:hAnsi="EB Garamond"/>
                <w:sz w:val="14"/>
              </w:rPr>
              <w:t>48</w:t>
            </w:r>
          </w:p>
        </w:tc>
        <w:tc>
          <w:tcPr>
            <w:tcW w:type="dxa" w:w="2808"/>
            <w:vAlign w:val="top"/>
          </w:tcPr>
          <w:p>
            <w:pPr>
              <w:spacing w:after="0" w:line="240" w:lineRule="auto"/>
            </w:pPr>
            <w:r>
              <w:rPr>
                <w:rFonts w:ascii="EB Garamond" w:hAnsi="EB Garamond"/>
                <w:sz w:val="14"/>
              </w:rPr>
              <w:t>Individual vs Collective</w:t>
            </w:r>
          </w:p>
        </w:tc>
        <w:tc>
          <w:tcPr>
            <w:tcW w:type="dxa" w:w="5112"/>
            <w:vAlign w:val="top"/>
          </w:tcPr>
          <w:p>
            <w:pPr>
              <w:spacing w:after="0" w:line="240" w:lineRule="auto"/>
            </w:pPr>
            <w:r>
              <w:rPr>
                <w:rFonts w:ascii="EB Garamond" w:hAnsi="EB Garamond"/>
                <w:sz w:val="14"/>
              </w:rPr>
              <w:t>Single subject versus group-level subject or structure.</w:t>
            </w:r>
          </w:p>
        </w:tc>
        <w:tc>
          <w:tcPr>
            <w:tcW w:type="dxa" w:w="5400"/>
            <w:vAlign w:val="top"/>
          </w:tcPr>
          <w:p>
            <w:pPr>
              <w:spacing w:after="0" w:line="240" w:lineRule="auto"/>
            </w:pPr>
            <w:r>
              <w:rPr>
                <w:rFonts w:ascii="EB Garamond" w:hAnsi="EB Garamond"/>
                <w:sz w:val="14"/>
              </w:rPr>
              <w:t>Collective identity, action, and responsibility.</w:t>
            </w:r>
          </w:p>
        </w:tc>
      </w:tr>
      <w:tr>
        <w:tc>
          <w:tcPr>
            <w:tcW w:type="dxa" w:w="504"/>
            <w:vAlign w:val="top"/>
          </w:tcPr>
          <w:p>
            <w:pPr>
              <w:spacing w:after="0" w:line="240" w:lineRule="auto"/>
            </w:pPr>
            <w:r>
              <w:rPr>
                <w:rFonts w:ascii="EB Garamond" w:hAnsi="EB Garamond"/>
                <w:sz w:val="14"/>
              </w:rPr>
              <w:t>49</w:t>
            </w:r>
          </w:p>
        </w:tc>
        <w:tc>
          <w:tcPr>
            <w:tcW w:type="dxa" w:w="2808"/>
            <w:vAlign w:val="top"/>
          </w:tcPr>
          <w:p>
            <w:pPr>
              <w:spacing w:after="0" w:line="240" w:lineRule="auto"/>
            </w:pPr>
            <w:r>
              <w:rPr>
                <w:rFonts w:ascii="EB Garamond" w:hAnsi="EB Garamond"/>
                <w:sz w:val="14"/>
              </w:rPr>
              <w:t>Agent vs Structure</w:t>
            </w:r>
          </w:p>
        </w:tc>
        <w:tc>
          <w:tcPr>
            <w:tcW w:type="dxa" w:w="5112"/>
            <w:vAlign w:val="top"/>
          </w:tcPr>
          <w:p>
            <w:pPr>
              <w:spacing w:after="0" w:line="240" w:lineRule="auto"/>
            </w:pPr>
            <w:r>
              <w:rPr>
                <w:rFonts w:ascii="EB Garamond" w:hAnsi="EB Garamond"/>
                <w:sz w:val="14"/>
              </w:rPr>
              <w:t>Acting subject versus enduring social conditions.</w:t>
            </w:r>
          </w:p>
        </w:tc>
        <w:tc>
          <w:tcPr>
            <w:tcW w:type="dxa" w:w="5400"/>
            <w:vAlign w:val="top"/>
          </w:tcPr>
          <w:p>
            <w:pPr>
              <w:spacing w:after="0" w:line="240" w:lineRule="auto"/>
            </w:pPr>
            <w:r>
              <w:rPr>
                <w:rFonts w:ascii="EB Garamond" w:hAnsi="EB Garamond"/>
                <w:sz w:val="14"/>
              </w:rPr>
              <w:t>Constraint, institutions, and social reproduction.</w:t>
            </w:r>
          </w:p>
        </w:tc>
      </w:tr>
      <w:tr>
        <w:tc>
          <w:tcPr>
            <w:tcW w:type="dxa" w:w="504"/>
            <w:vAlign w:val="top"/>
          </w:tcPr>
          <w:p>
            <w:pPr>
              <w:spacing w:after="0" w:line="240" w:lineRule="auto"/>
            </w:pPr>
            <w:r>
              <w:rPr>
                <w:rFonts w:ascii="EB Garamond" w:hAnsi="EB Garamond"/>
                <w:sz w:val="14"/>
              </w:rPr>
              <w:t>50</w:t>
            </w:r>
          </w:p>
        </w:tc>
        <w:tc>
          <w:tcPr>
            <w:tcW w:type="dxa" w:w="2808"/>
            <w:vAlign w:val="top"/>
          </w:tcPr>
          <w:p>
            <w:pPr>
              <w:spacing w:after="0" w:line="240" w:lineRule="auto"/>
            </w:pPr>
            <w:r>
              <w:rPr>
                <w:rFonts w:ascii="EB Garamond" w:hAnsi="EB Garamond"/>
                <w:sz w:val="14"/>
              </w:rPr>
              <w:t>Agency vs Patiency</w:t>
            </w:r>
          </w:p>
        </w:tc>
        <w:tc>
          <w:tcPr>
            <w:tcW w:type="dxa" w:w="5112"/>
            <w:vAlign w:val="top"/>
          </w:tcPr>
          <w:p>
            <w:pPr>
              <w:spacing w:after="0" w:line="240" w:lineRule="auto"/>
            </w:pPr>
            <w:r>
              <w:rPr>
                <w:rFonts w:ascii="EB Garamond" w:hAnsi="EB Garamond"/>
                <w:sz w:val="14"/>
              </w:rPr>
              <w:t>Acting upon objects versus being acted upon.</w:t>
            </w:r>
          </w:p>
        </w:tc>
        <w:tc>
          <w:tcPr>
            <w:tcW w:type="dxa" w:w="5400"/>
            <w:vAlign w:val="top"/>
          </w:tcPr>
          <w:p>
            <w:pPr>
              <w:spacing w:after="0" w:line="240" w:lineRule="auto"/>
            </w:pPr>
            <w:r>
              <w:rPr>
                <w:rFonts w:ascii="EB Garamond" w:hAnsi="EB Garamond"/>
                <w:sz w:val="14"/>
              </w:rPr>
              <w:t>Causal roles, vulnerability, and responsibility.</w:t>
            </w:r>
          </w:p>
        </w:tc>
      </w:tr>
      <w:tr>
        <w:tc>
          <w:tcPr>
            <w:tcW w:type="dxa" w:w="504"/>
            <w:vAlign w:val="top"/>
          </w:tcPr>
          <w:p>
            <w:pPr>
              <w:spacing w:after="0" w:line="240" w:lineRule="auto"/>
            </w:pPr>
            <w:r>
              <w:rPr>
                <w:rFonts w:ascii="EB Garamond" w:hAnsi="EB Garamond"/>
                <w:sz w:val="14"/>
              </w:rPr>
              <w:t>51</w:t>
            </w:r>
          </w:p>
        </w:tc>
        <w:tc>
          <w:tcPr>
            <w:tcW w:type="dxa" w:w="2808"/>
            <w:vAlign w:val="top"/>
          </w:tcPr>
          <w:p>
            <w:pPr>
              <w:spacing w:after="0" w:line="240" w:lineRule="auto"/>
            </w:pPr>
            <w:r>
              <w:rPr>
                <w:rFonts w:ascii="EB Garamond" w:hAnsi="EB Garamond"/>
                <w:sz w:val="14"/>
              </w:rPr>
              <w:t>Monism vs Dualism</w:t>
            </w:r>
          </w:p>
        </w:tc>
        <w:tc>
          <w:tcPr>
            <w:tcW w:type="dxa" w:w="5112"/>
            <w:vAlign w:val="top"/>
          </w:tcPr>
          <w:p>
            <w:pPr>
              <w:spacing w:after="0" w:line="240" w:lineRule="auto"/>
            </w:pPr>
            <w:r>
              <w:rPr>
                <w:rFonts w:ascii="EB Garamond" w:hAnsi="EB Garamond"/>
                <w:sz w:val="14"/>
              </w:rPr>
              <w:t>Subject and object as one reality versus two fundamental kinds.</w:t>
            </w:r>
          </w:p>
        </w:tc>
        <w:tc>
          <w:tcPr>
            <w:tcW w:type="dxa" w:w="5400"/>
            <w:vAlign w:val="top"/>
          </w:tcPr>
          <w:p>
            <w:pPr>
              <w:spacing w:after="0" w:line="240" w:lineRule="auto"/>
            </w:pPr>
            <w:r>
              <w:rPr>
                <w:rFonts w:ascii="EB Garamond" w:hAnsi="EB Garamond"/>
                <w:sz w:val="14"/>
              </w:rPr>
              <w:t>How many basic kinds or levels reality contains.</w:t>
            </w:r>
          </w:p>
        </w:tc>
      </w:tr>
      <w:tr>
        <w:tc>
          <w:tcPr>
            <w:tcW w:type="dxa" w:w="504"/>
            <w:vAlign w:val="top"/>
          </w:tcPr>
          <w:p>
            <w:pPr>
              <w:spacing w:after="0" w:line="240" w:lineRule="auto"/>
            </w:pPr>
            <w:r>
              <w:rPr>
                <w:rFonts w:ascii="EB Garamond" w:hAnsi="EB Garamond"/>
                <w:sz w:val="14"/>
              </w:rPr>
              <w:t>52</w:t>
            </w:r>
          </w:p>
        </w:tc>
        <w:tc>
          <w:tcPr>
            <w:tcW w:type="dxa" w:w="2808"/>
            <w:vAlign w:val="top"/>
          </w:tcPr>
          <w:p>
            <w:pPr>
              <w:spacing w:after="0" w:line="240" w:lineRule="auto"/>
            </w:pPr>
            <w:r>
              <w:rPr>
                <w:rFonts w:ascii="EB Garamond" w:hAnsi="EB Garamond"/>
                <w:sz w:val="14"/>
              </w:rPr>
              <w:t>Freedom vs Necessity</w:t>
            </w:r>
          </w:p>
        </w:tc>
        <w:tc>
          <w:tcPr>
            <w:tcW w:type="dxa" w:w="5112"/>
            <w:vAlign w:val="top"/>
          </w:tcPr>
          <w:p>
            <w:pPr>
              <w:spacing w:after="0" w:line="240" w:lineRule="auto"/>
            </w:pPr>
            <w:r>
              <w:rPr>
                <w:rFonts w:ascii="EB Garamond" w:hAnsi="EB Garamond"/>
                <w:sz w:val="14"/>
              </w:rPr>
              <w:t>Self-directed subjectivity versus unavoidable order.</w:t>
            </w:r>
          </w:p>
        </w:tc>
        <w:tc>
          <w:tcPr>
            <w:tcW w:type="dxa" w:w="5400"/>
            <w:vAlign w:val="top"/>
          </w:tcPr>
          <w:p>
            <w:pPr>
              <w:spacing w:after="0" w:line="240" w:lineRule="auto"/>
            </w:pPr>
            <w:r>
              <w:rPr>
                <w:rFonts w:ascii="EB Garamond" w:hAnsi="EB Garamond"/>
                <w:sz w:val="14"/>
              </w:rPr>
              <w:t>Autonomy, modality, constraint, and historical necessity.</w:t>
            </w:r>
          </w:p>
        </w:tc>
      </w:tr>
      <w:tr>
        <w:tc>
          <w:tcPr>
            <w:tcW w:type="dxa" w:w="504"/>
            <w:vAlign w:val="top"/>
          </w:tcPr>
          <w:p>
            <w:pPr>
              <w:spacing w:after="0" w:line="240" w:lineRule="auto"/>
            </w:pPr>
            <w:r>
              <w:rPr>
                <w:rFonts w:ascii="EB Garamond" w:hAnsi="EB Garamond"/>
                <w:sz w:val="14"/>
              </w:rPr>
              <w:t>53</w:t>
            </w:r>
          </w:p>
        </w:tc>
        <w:tc>
          <w:tcPr>
            <w:tcW w:type="dxa" w:w="2808"/>
            <w:vAlign w:val="top"/>
          </w:tcPr>
          <w:p>
            <w:pPr>
              <w:spacing w:after="0" w:line="240" w:lineRule="auto"/>
            </w:pPr>
            <w:r>
              <w:rPr>
                <w:rFonts w:ascii="EB Garamond" w:hAnsi="EB Garamond"/>
                <w:sz w:val="14"/>
              </w:rPr>
              <w:t>Free Will vs Determinism</w:t>
            </w:r>
          </w:p>
        </w:tc>
        <w:tc>
          <w:tcPr>
            <w:tcW w:type="dxa" w:w="5112"/>
            <w:vAlign w:val="top"/>
          </w:tcPr>
          <w:p>
            <w:pPr>
              <w:spacing w:after="0" w:line="240" w:lineRule="auto"/>
            </w:pPr>
            <w:r>
              <w:rPr>
                <w:rFonts w:ascii="EB Garamond" w:hAnsi="EB Garamond"/>
                <w:sz w:val="14"/>
              </w:rPr>
              <w:t>Subjective agency versus objective causal order.</w:t>
            </w:r>
          </w:p>
        </w:tc>
        <w:tc>
          <w:tcPr>
            <w:tcW w:type="dxa" w:w="5400"/>
            <w:vAlign w:val="top"/>
          </w:tcPr>
          <w:p>
            <w:pPr>
              <w:spacing w:after="0" w:line="240" w:lineRule="auto"/>
            </w:pPr>
            <w:r>
              <w:rPr>
                <w:rFonts w:ascii="EB Garamond" w:hAnsi="EB Garamond"/>
                <w:sz w:val="14"/>
              </w:rPr>
              <w:t>Control, alternative possibilities, and moral responsibility.</w:t>
            </w:r>
          </w:p>
        </w:tc>
      </w:tr>
      <w:tr>
        <w:tc>
          <w:tcPr>
            <w:tcW w:type="dxa" w:w="504"/>
            <w:vAlign w:val="top"/>
          </w:tcPr>
          <w:p>
            <w:pPr>
              <w:spacing w:after="0" w:line="240" w:lineRule="auto"/>
            </w:pPr>
            <w:r>
              <w:rPr>
                <w:rFonts w:ascii="EB Garamond" w:hAnsi="EB Garamond"/>
                <w:sz w:val="14"/>
              </w:rPr>
              <w:t>54</w:t>
            </w:r>
          </w:p>
        </w:tc>
        <w:tc>
          <w:tcPr>
            <w:tcW w:type="dxa" w:w="2808"/>
            <w:vAlign w:val="top"/>
          </w:tcPr>
          <w:p>
            <w:pPr>
              <w:spacing w:after="0" w:line="240" w:lineRule="auto"/>
            </w:pPr>
            <w:r>
              <w:rPr>
                <w:rFonts w:ascii="EB Garamond" w:hAnsi="EB Garamond"/>
                <w:sz w:val="14"/>
              </w:rPr>
              <w:t>Nature vs Culture</w:t>
            </w:r>
          </w:p>
        </w:tc>
        <w:tc>
          <w:tcPr>
            <w:tcW w:type="dxa" w:w="5112"/>
            <w:vAlign w:val="top"/>
          </w:tcPr>
          <w:p>
            <w:pPr>
              <w:spacing w:after="0" w:line="240" w:lineRule="auto"/>
            </w:pPr>
            <w:r>
              <w:rPr>
                <w:rFonts w:ascii="EB Garamond" w:hAnsi="EB Garamond"/>
                <w:sz w:val="14"/>
              </w:rPr>
              <w:t>The nonhuman or pre-social world versus human meaning-making.</w:t>
            </w:r>
          </w:p>
        </w:tc>
        <w:tc>
          <w:tcPr>
            <w:tcW w:type="dxa" w:w="5400"/>
            <w:vAlign w:val="top"/>
          </w:tcPr>
          <w:p>
            <w:pPr>
              <w:spacing w:after="0" w:line="240" w:lineRule="auto"/>
            </w:pPr>
            <w:r>
              <w:rPr>
                <w:rFonts w:ascii="EB Garamond" w:hAnsi="EB Garamond"/>
                <w:sz w:val="14"/>
              </w:rPr>
              <w:t>Social formation, symbolism, and historical variation.</w:t>
            </w:r>
          </w:p>
        </w:tc>
      </w:tr>
      <w:tr>
        <w:tc>
          <w:tcPr>
            <w:tcW w:type="dxa" w:w="504"/>
            <w:vAlign w:val="top"/>
          </w:tcPr>
          <w:p>
            <w:pPr>
              <w:spacing w:after="0" w:line="240" w:lineRule="auto"/>
            </w:pPr>
            <w:r>
              <w:rPr>
                <w:rFonts w:ascii="EB Garamond" w:hAnsi="EB Garamond"/>
                <w:sz w:val="14"/>
              </w:rPr>
              <w:t>55</w:t>
            </w:r>
          </w:p>
        </w:tc>
        <w:tc>
          <w:tcPr>
            <w:tcW w:type="dxa" w:w="2808"/>
            <w:vAlign w:val="top"/>
          </w:tcPr>
          <w:p>
            <w:pPr>
              <w:spacing w:after="0" w:line="240" w:lineRule="auto"/>
            </w:pPr>
            <w:r>
              <w:rPr>
                <w:rFonts w:ascii="EB Garamond" w:hAnsi="EB Garamond"/>
                <w:sz w:val="14"/>
              </w:rPr>
              <w:t>Nature vs Nurture</w:t>
            </w:r>
          </w:p>
        </w:tc>
        <w:tc>
          <w:tcPr>
            <w:tcW w:type="dxa" w:w="5112"/>
            <w:vAlign w:val="top"/>
          </w:tcPr>
          <w:p>
            <w:pPr>
              <w:spacing w:after="0" w:line="240" w:lineRule="auto"/>
            </w:pPr>
            <w:r>
              <w:rPr>
                <w:rFonts w:ascii="EB Garamond" w:hAnsi="EB Garamond"/>
                <w:sz w:val="14"/>
              </w:rPr>
              <w:t>Internal inheritance versus external environmental influence.</w:t>
            </w:r>
          </w:p>
        </w:tc>
        <w:tc>
          <w:tcPr>
            <w:tcW w:type="dxa" w:w="5400"/>
            <w:vAlign w:val="top"/>
          </w:tcPr>
          <w:p>
            <w:pPr>
              <w:spacing w:after="0" w:line="240" w:lineRule="auto"/>
            </w:pPr>
            <w:r>
              <w:rPr>
                <w:rFonts w:ascii="EB Garamond" w:hAnsi="EB Garamond"/>
                <w:sz w:val="14"/>
              </w:rPr>
              <w:t>How traits develop through interacting causes.</w:t>
            </w:r>
          </w:p>
        </w:tc>
      </w:tr>
      <w:tr>
        <w:tc>
          <w:tcPr>
            <w:tcW w:type="dxa" w:w="504"/>
            <w:vAlign w:val="top"/>
          </w:tcPr>
          <w:p>
            <w:pPr>
              <w:spacing w:after="0" w:line="240" w:lineRule="auto"/>
            </w:pPr>
            <w:r>
              <w:rPr>
                <w:rFonts w:ascii="EB Garamond" w:hAnsi="EB Garamond"/>
                <w:sz w:val="14"/>
              </w:rPr>
              <w:t>56</w:t>
            </w:r>
          </w:p>
        </w:tc>
        <w:tc>
          <w:tcPr>
            <w:tcW w:type="dxa" w:w="2808"/>
            <w:vAlign w:val="top"/>
          </w:tcPr>
          <w:p>
            <w:pPr>
              <w:spacing w:after="0" w:line="240" w:lineRule="auto"/>
            </w:pPr>
            <w:r>
              <w:rPr>
                <w:rFonts w:ascii="EB Garamond" w:hAnsi="EB Garamond"/>
                <w:sz w:val="14"/>
              </w:rPr>
              <w:t>Essence vs Existence</w:t>
            </w:r>
          </w:p>
        </w:tc>
        <w:tc>
          <w:tcPr>
            <w:tcW w:type="dxa" w:w="5112"/>
            <w:vAlign w:val="top"/>
          </w:tcPr>
          <w:p>
            <w:pPr>
              <w:spacing w:after="0" w:line="240" w:lineRule="auto"/>
            </w:pPr>
            <w:r>
              <w:rPr>
                <w:rFonts w:ascii="EB Garamond" w:hAnsi="EB Garamond"/>
                <w:sz w:val="14"/>
              </w:rPr>
              <w:t>Conceptual identity versus actual being.</w:t>
            </w:r>
          </w:p>
        </w:tc>
        <w:tc>
          <w:tcPr>
            <w:tcW w:type="dxa" w:w="5400"/>
            <w:vAlign w:val="top"/>
          </w:tcPr>
          <w:p>
            <w:pPr>
              <w:spacing w:after="0" w:line="240" w:lineRule="auto"/>
            </w:pPr>
            <w:r>
              <w:rPr>
                <w:rFonts w:ascii="EB Garamond" w:hAnsi="EB Garamond"/>
                <w:sz w:val="14"/>
              </w:rPr>
              <w:t>Whether identity is given, created, or enacted.</w:t>
            </w:r>
          </w:p>
        </w:tc>
      </w:tr>
      <w:tr>
        <w:tc>
          <w:tcPr>
            <w:tcW w:type="dxa" w:w="504"/>
            <w:vAlign w:val="top"/>
          </w:tcPr>
          <w:p>
            <w:pPr>
              <w:spacing w:after="0" w:line="240" w:lineRule="auto"/>
            </w:pPr>
            <w:r>
              <w:rPr>
                <w:rFonts w:ascii="EB Garamond" w:hAnsi="EB Garamond"/>
                <w:sz w:val="14"/>
              </w:rPr>
              <w:t>57</w:t>
            </w:r>
          </w:p>
        </w:tc>
        <w:tc>
          <w:tcPr>
            <w:tcW w:type="dxa" w:w="2808"/>
            <w:vAlign w:val="top"/>
          </w:tcPr>
          <w:p>
            <w:pPr>
              <w:spacing w:after="0" w:line="240" w:lineRule="auto"/>
            </w:pPr>
            <w:r>
              <w:rPr>
                <w:rFonts w:ascii="EB Garamond" w:hAnsi="EB Garamond"/>
                <w:sz w:val="14"/>
              </w:rPr>
              <w:t>Universal vs Particular</w:t>
            </w:r>
          </w:p>
        </w:tc>
        <w:tc>
          <w:tcPr>
            <w:tcW w:type="dxa" w:w="5112"/>
            <w:vAlign w:val="top"/>
          </w:tcPr>
          <w:p>
            <w:pPr>
              <w:spacing w:after="0" w:line="240" w:lineRule="auto"/>
            </w:pPr>
            <w:r>
              <w:rPr>
                <w:rFonts w:ascii="EB Garamond" w:hAnsi="EB Garamond"/>
                <w:sz w:val="14"/>
              </w:rPr>
              <w:t>General concepts held by subjects versus individual objects.</w:t>
            </w:r>
          </w:p>
        </w:tc>
        <w:tc>
          <w:tcPr>
            <w:tcW w:type="dxa" w:w="5400"/>
            <w:vAlign w:val="top"/>
          </w:tcPr>
          <w:p>
            <w:pPr>
              <w:spacing w:after="0" w:line="240" w:lineRule="auto"/>
            </w:pPr>
            <w:r>
              <w:rPr>
                <w:rFonts w:ascii="EB Garamond" w:hAnsi="EB Garamond"/>
                <w:sz w:val="14"/>
              </w:rPr>
              <w:t>Classification, predication, and repeated properties.</w:t>
            </w:r>
          </w:p>
        </w:tc>
      </w:tr>
      <w:tr>
        <w:tc>
          <w:tcPr>
            <w:tcW w:type="dxa" w:w="504"/>
            <w:vAlign w:val="top"/>
          </w:tcPr>
          <w:p>
            <w:pPr>
              <w:spacing w:after="0" w:line="240" w:lineRule="auto"/>
            </w:pPr>
            <w:r>
              <w:rPr>
                <w:rFonts w:ascii="EB Garamond" w:hAnsi="EB Garamond"/>
                <w:sz w:val="14"/>
              </w:rPr>
              <w:t>58</w:t>
            </w:r>
          </w:p>
        </w:tc>
        <w:tc>
          <w:tcPr>
            <w:tcW w:type="dxa" w:w="2808"/>
            <w:vAlign w:val="top"/>
          </w:tcPr>
          <w:p>
            <w:pPr>
              <w:spacing w:after="0" w:line="240" w:lineRule="auto"/>
            </w:pPr>
            <w:r>
              <w:rPr>
                <w:rFonts w:ascii="EB Garamond" w:hAnsi="EB Garamond"/>
                <w:sz w:val="14"/>
              </w:rPr>
              <w:t>Identity vs Difference</w:t>
            </w:r>
          </w:p>
        </w:tc>
        <w:tc>
          <w:tcPr>
            <w:tcW w:type="dxa" w:w="5112"/>
            <w:vAlign w:val="top"/>
          </w:tcPr>
          <w:p>
            <w:pPr>
              <w:spacing w:after="0" w:line="240" w:lineRule="auto"/>
            </w:pPr>
            <w:r>
              <w:rPr>
                <w:rFonts w:ascii="EB Garamond" w:hAnsi="EB Garamond"/>
                <w:sz w:val="14"/>
              </w:rPr>
              <w:t>A subject identifies stable objects by distinguishing them.</w:t>
            </w:r>
          </w:p>
        </w:tc>
        <w:tc>
          <w:tcPr>
            <w:tcW w:type="dxa" w:w="5400"/>
            <w:vAlign w:val="top"/>
          </w:tcPr>
          <w:p>
            <w:pPr>
              <w:spacing w:after="0" w:line="240" w:lineRule="auto"/>
            </w:pPr>
            <w:r>
              <w:rPr>
                <w:rFonts w:ascii="EB Garamond" w:hAnsi="EB Garamond"/>
                <w:sz w:val="14"/>
              </w:rPr>
              <w:t>Individuation, change, repetition, and otherness.</w:t>
            </w:r>
          </w:p>
        </w:tc>
      </w:tr>
      <w:tr>
        <w:tc>
          <w:tcPr>
            <w:tcW w:type="dxa" w:w="504"/>
            <w:vAlign w:val="top"/>
          </w:tcPr>
          <w:p>
            <w:pPr>
              <w:spacing w:after="0" w:line="240" w:lineRule="auto"/>
            </w:pPr>
            <w:r>
              <w:rPr>
                <w:rFonts w:ascii="EB Garamond" w:hAnsi="EB Garamond"/>
                <w:sz w:val="14"/>
              </w:rPr>
              <w:t>59</w:t>
            </w:r>
          </w:p>
        </w:tc>
        <w:tc>
          <w:tcPr>
            <w:tcW w:type="dxa" w:w="2808"/>
            <w:vAlign w:val="top"/>
          </w:tcPr>
          <w:p>
            <w:pPr>
              <w:spacing w:after="0" w:line="240" w:lineRule="auto"/>
            </w:pPr>
            <w:r>
              <w:rPr>
                <w:rFonts w:ascii="EB Garamond" w:hAnsi="EB Garamond"/>
                <w:sz w:val="14"/>
              </w:rPr>
              <w:t>Being vs Becoming</w:t>
            </w:r>
          </w:p>
        </w:tc>
        <w:tc>
          <w:tcPr>
            <w:tcW w:type="dxa" w:w="5112"/>
            <w:vAlign w:val="top"/>
          </w:tcPr>
          <w:p>
            <w:pPr>
              <w:spacing w:after="0" w:line="240" w:lineRule="auto"/>
            </w:pPr>
            <w:r>
              <w:rPr>
                <w:rFonts w:ascii="EB Garamond" w:hAnsi="EB Garamond"/>
                <w:sz w:val="14"/>
              </w:rPr>
              <w:t>Objects viewed as stable versus reality viewed as process.</w:t>
            </w:r>
          </w:p>
        </w:tc>
        <w:tc>
          <w:tcPr>
            <w:tcW w:type="dxa" w:w="5400"/>
            <w:vAlign w:val="top"/>
          </w:tcPr>
          <w:p>
            <w:pPr>
              <w:spacing w:after="0" w:line="240" w:lineRule="auto"/>
            </w:pPr>
            <w:r>
              <w:rPr>
                <w:rFonts w:ascii="EB Garamond" w:hAnsi="EB Garamond"/>
                <w:sz w:val="14"/>
              </w:rPr>
              <w:t>Time, transformation, emergence, and change.</w:t>
            </w:r>
          </w:p>
        </w:tc>
      </w:tr>
      <w:tr>
        <w:tc>
          <w:tcPr>
            <w:tcW w:type="dxa" w:w="504"/>
            <w:vAlign w:val="top"/>
          </w:tcPr>
          <w:p>
            <w:pPr>
              <w:spacing w:after="0" w:line="240" w:lineRule="auto"/>
            </w:pPr>
            <w:r>
              <w:rPr>
                <w:rFonts w:ascii="EB Garamond" w:hAnsi="EB Garamond"/>
                <w:sz w:val="14"/>
              </w:rPr>
              <w:t>60</w:t>
            </w:r>
          </w:p>
        </w:tc>
        <w:tc>
          <w:tcPr>
            <w:tcW w:type="dxa" w:w="2808"/>
            <w:vAlign w:val="top"/>
          </w:tcPr>
          <w:p>
            <w:pPr>
              <w:spacing w:after="0" w:line="240" w:lineRule="auto"/>
            </w:pPr>
            <w:r>
              <w:rPr>
                <w:rFonts w:ascii="EB Garamond" w:hAnsi="EB Garamond"/>
                <w:sz w:val="14"/>
              </w:rPr>
              <w:t>One vs Many</w:t>
            </w:r>
          </w:p>
        </w:tc>
        <w:tc>
          <w:tcPr>
            <w:tcW w:type="dxa" w:w="5112"/>
            <w:vAlign w:val="top"/>
          </w:tcPr>
          <w:p>
            <w:pPr>
              <w:spacing w:after="0" w:line="240" w:lineRule="auto"/>
            </w:pPr>
            <w:r>
              <w:rPr>
                <w:rFonts w:ascii="EB Garamond" w:hAnsi="EB Garamond"/>
                <w:sz w:val="14"/>
              </w:rPr>
              <w:t>Subject and object can be unified or treated as separate multiplicities.</w:t>
            </w:r>
          </w:p>
        </w:tc>
        <w:tc>
          <w:tcPr>
            <w:tcW w:type="dxa" w:w="5400"/>
            <w:vAlign w:val="top"/>
          </w:tcPr>
          <w:p>
            <w:pPr>
              <w:spacing w:after="0" w:line="240" w:lineRule="auto"/>
            </w:pPr>
            <w:r>
              <w:rPr>
                <w:rFonts w:ascii="EB Garamond" w:hAnsi="EB Garamond"/>
                <w:sz w:val="14"/>
              </w:rPr>
              <w:t>Unity, plurality, and metaphysical composition.</w:t>
            </w:r>
          </w:p>
        </w:tc>
      </w:tr>
      <w:tr>
        <w:tc>
          <w:tcPr>
            <w:tcW w:type="dxa" w:w="504"/>
            <w:vAlign w:val="top"/>
          </w:tcPr>
          <w:p>
            <w:pPr>
              <w:spacing w:after="0" w:line="240" w:lineRule="auto"/>
            </w:pPr>
            <w:r>
              <w:rPr>
                <w:rFonts w:ascii="EB Garamond" w:hAnsi="EB Garamond"/>
                <w:sz w:val="14"/>
              </w:rPr>
              <w:t>61</w:t>
            </w:r>
          </w:p>
        </w:tc>
        <w:tc>
          <w:tcPr>
            <w:tcW w:type="dxa" w:w="2808"/>
            <w:vAlign w:val="top"/>
          </w:tcPr>
          <w:p>
            <w:pPr>
              <w:spacing w:after="0" w:line="240" w:lineRule="auto"/>
            </w:pPr>
            <w:r>
              <w:rPr>
                <w:rFonts w:ascii="EB Garamond" w:hAnsi="EB Garamond"/>
                <w:sz w:val="14"/>
              </w:rPr>
              <w:t>Holism vs Reductionism</w:t>
            </w:r>
          </w:p>
        </w:tc>
        <w:tc>
          <w:tcPr>
            <w:tcW w:type="dxa" w:w="5112"/>
            <w:vAlign w:val="top"/>
          </w:tcPr>
          <w:p>
            <w:pPr>
              <w:spacing w:after="0" w:line="240" w:lineRule="auto"/>
            </w:pPr>
            <w:r>
              <w:rPr>
                <w:rFonts w:ascii="EB Garamond" w:hAnsi="EB Garamond"/>
                <w:sz w:val="14"/>
              </w:rPr>
              <w:t>The subject may encounter wholes or isolate objects into parts.</w:t>
            </w:r>
          </w:p>
        </w:tc>
        <w:tc>
          <w:tcPr>
            <w:tcW w:type="dxa" w:w="5400"/>
            <w:vAlign w:val="top"/>
          </w:tcPr>
          <w:p>
            <w:pPr>
              <w:spacing w:after="0" w:line="240" w:lineRule="auto"/>
            </w:pPr>
            <w:r>
              <w:rPr>
                <w:rFonts w:ascii="EB Garamond" w:hAnsi="EB Garamond"/>
                <w:sz w:val="14"/>
              </w:rPr>
              <w:t>Levels, emergence, composition, and explanation.</w:t>
            </w:r>
          </w:p>
        </w:tc>
      </w:tr>
      <w:tr>
        <w:tc>
          <w:tcPr>
            <w:tcW w:type="dxa" w:w="504"/>
            <w:vAlign w:val="top"/>
          </w:tcPr>
          <w:p>
            <w:pPr>
              <w:spacing w:after="0" w:line="240" w:lineRule="auto"/>
            </w:pPr>
            <w:r>
              <w:rPr>
                <w:rFonts w:ascii="EB Garamond" w:hAnsi="EB Garamond"/>
                <w:sz w:val="14"/>
              </w:rPr>
              <w:t>62</w:t>
            </w:r>
          </w:p>
        </w:tc>
        <w:tc>
          <w:tcPr>
            <w:tcW w:type="dxa" w:w="2808"/>
            <w:vAlign w:val="top"/>
          </w:tcPr>
          <w:p>
            <w:pPr>
              <w:spacing w:after="0" w:line="240" w:lineRule="auto"/>
            </w:pPr>
            <w:r>
              <w:rPr>
                <w:rFonts w:ascii="EB Garamond" w:hAnsi="EB Garamond"/>
                <w:sz w:val="14"/>
              </w:rPr>
              <w:t>Teleology vs Mechanism</w:t>
            </w:r>
          </w:p>
        </w:tc>
        <w:tc>
          <w:tcPr>
            <w:tcW w:type="dxa" w:w="5112"/>
            <w:vAlign w:val="top"/>
          </w:tcPr>
          <w:p>
            <w:pPr>
              <w:spacing w:after="0" w:line="240" w:lineRule="auto"/>
            </w:pPr>
            <w:r>
              <w:rPr>
                <w:rFonts w:ascii="EB Garamond" w:hAnsi="EB Garamond"/>
                <w:sz w:val="14"/>
              </w:rPr>
              <w:t>Meaningful purpose can look subject-linked while mechanism looks object-like.</w:t>
            </w:r>
          </w:p>
        </w:tc>
        <w:tc>
          <w:tcPr>
            <w:tcW w:type="dxa" w:w="5400"/>
            <w:vAlign w:val="top"/>
          </w:tcPr>
          <w:p>
            <w:pPr>
              <w:spacing w:after="0" w:line="240" w:lineRule="auto"/>
            </w:pPr>
            <w:r>
              <w:rPr>
                <w:rFonts w:ascii="EB Garamond" w:hAnsi="EB Garamond"/>
                <w:sz w:val="14"/>
              </w:rPr>
              <w:t>Goal-based explanation versus component-based causation.</w:t>
            </w:r>
          </w:p>
        </w:tc>
      </w:tr>
      <w:tr>
        <w:tc>
          <w:tcPr>
            <w:tcW w:type="dxa" w:w="504"/>
            <w:vAlign w:val="top"/>
          </w:tcPr>
          <w:p>
            <w:pPr>
              <w:spacing w:after="0" w:line="240" w:lineRule="auto"/>
            </w:pPr>
            <w:r>
              <w:rPr>
                <w:rFonts w:ascii="EB Garamond" w:hAnsi="EB Garamond"/>
                <w:sz w:val="14"/>
              </w:rPr>
              <w:t>63</w:t>
            </w:r>
          </w:p>
        </w:tc>
        <w:tc>
          <w:tcPr>
            <w:tcW w:type="dxa" w:w="2808"/>
            <w:vAlign w:val="top"/>
          </w:tcPr>
          <w:p>
            <w:pPr>
              <w:spacing w:after="0" w:line="240" w:lineRule="auto"/>
            </w:pPr>
            <w:r>
              <w:rPr>
                <w:rFonts w:ascii="EB Garamond" w:hAnsi="EB Garamond"/>
                <w:sz w:val="14"/>
              </w:rPr>
              <w:t>Fact vs Value</w:t>
            </w:r>
          </w:p>
        </w:tc>
        <w:tc>
          <w:tcPr>
            <w:tcW w:type="dxa" w:w="5112"/>
            <w:vAlign w:val="top"/>
          </w:tcPr>
          <w:p>
            <w:pPr>
              <w:spacing w:after="0" w:line="240" w:lineRule="auto"/>
            </w:pPr>
            <w:r>
              <w:rPr>
                <w:rFonts w:ascii="EB Garamond" w:hAnsi="EB Garamond"/>
                <w:sz w:val="14"/>
              </w:rPr>
              <w:t>Objects supply facts while subjects appear to supply evaluations.</w:t>
            </w:r>
          </w:p>
        </w:tc>
        <w:tc>
          <w:tcPr>
            <w:tcW w:type="dxa" w:w="5400"/>
            <w:vAlign w:val="top"/>
          </w:tcPr>
          <w:p>
            <w:pPr>
              <w:spacing w:after="0" w:line="240" w:lineRule="auto"/>
            </w:pPr>
            <w:r>
              <w:rPr>
                <w:rFonts w:ascii="EB Garamond" w:hAnsi="EB Garamond"/>
                <w:sz w:val="14"/>
              </w:rPr>
              <w:t>Description, normativity, goodness, and importance.</w:t>
            </w:r>
          </w:p>
        </w:tc>
      </w:tr>
      <w:tr>
        <w:tc>
          <w:tcPr>
            <w:tcW w:type="dxa" w:w="504"/>
            <w:vAlign w:val="top"/>
          </w:tcPr>
          <w:p>
            <w:pPr>
              <w:spacing w:after="0" w:line="240" w:lineRule="auto"/>
            </w:pPr>
            <w:r>
              <w:rPr>
                <w:rFonts w:ascii="EB Garamond" w:hAnsi="EB Garamond"/>
                <w:sz w:val="14"/>
              </w:rPr>
              <w:t>64</w:t>
            </w:r>
          </w:p>
        </w:tc>
        <w:tc>
          <w:tcPr>
            <w:tcW w:type="dxa" w:w="2808"/>
            <w:vAlign w:val="top"/>
          </w:tcPr>
          <w:p>
            <w:pPr>
              <w:spacing w:after="0" w:line="240" w:lineRule="auto"/>
            </w:pPr>
            <w:r>
              <w:rPr>
                <w:rFonts w:ascii="EB Garamond" w:hAnsi="EB Garamond"/>
                <w:sz w:val="14"/>
              </w:rPr>
              <w:t>Is vs Ought</w:t>
            </w:r>
          </w:p>
        </w:tc>
        <w:tc>
          <w:tcPr>
            <w:tcW w:type="dxa" w:w="5112"/>
            <w:vAlign w:val="top"/>
          </w:tcPr>
          <w:p>
            <w:pPr>
              <w:spacing w:after="0" w:line="240" w:lineRule="auto"/>
            </w:pPr>
            <w:r>
              <w:rPr>
                <w:rFonts w:ascii="EB Garamond" w:hAnsi="EB Garamond"/>
                <w:sz w:val="14"/>
              </w:rPr>
              <w:t>Objective reality versus demands addressed to agents.</w:t>
            </w:r>
          </w:p>
        </w:tc>
        <w:tc>
          <w:tcPr>
            <w:tcW w:type="dxa" w:w="5400"/>
            <w:vAlign w:val="top"/>
          </w:tcPr>
          <w:p>
            <w:pPr>
              <w:spacing w:after="0" w:line="240" w:lineRule="auto"/>
            </w:pPr>
            <w:r>
              <w:rPr>
                <w:rFonts w:ascii="EB Garamond" w:hAnsi="EB Garamond"/>
                <w:sz w:val="14"/>
              </w:rPr>
              <w:t>The gap between description and obligation.</w:t>
            </w:r>
          </w:p>
        </w:tc>
      </w:tr>
      <w:tr>
        <w:tc>
          <w:tcPr>
            <w:tcW w:type="dxa" w:w="504"/>
            <w:vAlign w:val="top"/>
          </w:tcPr>
          <w:p>
            <w:pPr>
              <w:spacing w:after="0" w:line="240" w:lineRule="auto"/>
            </w:pPr>
            <w:r>
              <w:rPr>
                <w:rFonts w:ascii="EB Garamond" w:hAnsi="EB Garamond"/>
                <w:sz w:val="14"/>
              </w:rPr>
              <w:t>65</w:t>
            </w:r>
          </w:p>
        </w:tc>
        <w:tc>
          <w:tcPr>
            <w:tcW w:type="dxa" w:w="2808"/>
            <w:vAlign w:val="top"/>
          </w:tcPr>
          <w:p>
            <w:pPr>
              <w:spacing w:after="0" w:line="240" w:lineRule="auto"/>
            </w:pPr>
            <w:r>
              <w:rPr>
                <w:rFonts w:ascii="EB Garamond" w:hAnsi="EB Garamond"/>
                <w:sz w:val="14"/>
              </w:rPr>
              <w:t>Foundationalism vs Coherentism</w:t>
            </w:r>
          </w:p>
        </w:tc>
        <w:tc>
          <w:tcPr>
            <w:tcW w:type="dxa" w:w="5112"/>
            <w:vAlign w:val="top"/>
          </w:tcPr>
          <w:p>
            <w:pPr>
              <w:spacing w:after="0" w:line="240" w:lineRule="auto"/>
            </w:pPr>
            <w:r>
              <w:rPr>
                <w:rFonts w:ascii="EB Garamond" w:hAnsi="EB Garamond"/>
                <w:sz w:val="14"/>
              </w:rPr>
              <w:t>The subject grounds knowledge in basic contact or in a belief-network.</w:t>
            </w:r>
          </w:p>
        </w:tc>
        <w:tc>
          <w:tcPr>
            <w:tcW w:type="dxa" w:w="5400"/>
            <w:vAlign w:val="top"/>
          </w:tcPr>
          <w:p>
            <w:pPr>
              <w:spacing w:after="0" w:line="240" w:lineRule="auto"/>
            </w:pPr>
            <w:r>
              <w:rPr>
                <w:rFonts w:ascii="EB Garamond" w:hAnsi="EB Garamond"/>
                <w:sz w:val="14"/>
              </w:rPr>
              <w:t>The structure of epistemic justification.</w:t>
            </w:r>
          </w:p>
        </w:tc>
      </w:tr>
      <w:tr>
        <w:tc>
          <w:tcPr>
            <w:tcW w:type="dxa" w:w="504"/>
            <w:vAlign w:val="top"/>
          </w:tcPr>
          <w:p>
            <w:pPr>
              <w:spacing w:after="0" w:line="240" w:lineRule="auto"/>
            </w:pPr>
            <w:r>
              <w:rPr>
                <w:rFonts w:ascii="EB Garamond" w:hAnsi="EB Garamond"/>
                <w:sz w:val="14"/>
              </w:rPr>
              <w:t>66</w:t>
            </w:r>
          </w:p>
        </w:tc>
        <w:tc>
          <w:tcPr>
            <w:tcW w:type="dxa" w:w="2808"/>
            <w:vAlign w:val="top"/>
          </w:tcPr>
          <w:p>
            <w:pPr>
              <w:spacing w:after="0" w:line="240" w:lineRule="auto"/>
            </w:pPr>
            <w:r>
              <w:rPr>
                <w:rFonts w:ascii="EB Garamond" w:hAnsi="EB Garamond"/>
                <w:sz w:val="14"/>
              </w:rPr>
              <w:t>Analytic vs Synthetic</w:t>
            </w:r>
          </w:p>
        </w:tc>
        <w:tc>
          <w:tcPr>
            <w:tcW w:type="dxa" w:w="5112"/>
            <w:vAlign w:val="top"/>
          </w:tcPr>
          <w:p>
            <w:pPr>
              <w:spacing w:after="0" w:line="240" w:lineRule="auto"/>
            </w:pPr>
            <w:r>
              <w:rPr>
                <w:rFonts w:ascii="EB Garamond" w:hAnsi="EB Garamond"/>
                <w:sz w:val="14"/>
              </w:rPr>
              <w:t>Truth through concepts versus truth involving how the world is.</w:t>
            </w:r>
          </w:p>
        </w:tc>
        <w:tc>
          <w:tcPr>
            <w:tcW w:type="dxa" w:w="5400"/>
            <w:vAlign w:val="top"/>
          </w:tcPr>
          <w:p>
            <w:pPr>
              <w:spacing w:after="0" w:line="240" w:lineRule="auto"/>
            </w:pPr>
            <w:r>
              <w:rPr>
                <w:rFonts w:ascii="EB Garamond" w:hAnsi="EB Garamond"/>
                <w:sz w:val="14"/>
              </w:rPr>
              <w:t>Meaning-based and world-dependent propositions.</w:t>
            </w:r>
          </w:p>
        </w:tc>
      </w:tr>
      <w:tr>
        <w:tc>
          <w:tcPr>
            <w:tcW w:type="dxa" w:w="504"/>
            <w:vAlign w:val="top"/>
          </w:tcPr>
          <w:p>
            <w:pPr>
              <w:spacing w:after="0" w:line="240" w:lineRule="auto"/>
            </w:pPr>
            <w:r>
              <w:rPr>
                <w:rFonts w:ascii="EB Garamond" w:hAnsi="EB Garamond"/>
                <w:sz w:val="14"/>
              </w:rPr>
              <w:t>67</w:t>
            </w:r>
          </w:p>
        </w:tc>
        <w:tc>
          <w:tcPr>
            <w:tcW w:type="dxa" w:w="2808"/>
            <w:vAlign w:val="top"/>
          </w:tcPr>
          <w:p>
            <w:pPr>
              <w:spacing w:after="0" w:line="240" w:lineRule="auto"/>
            </w:pPr>
            <w:r>
              <w:rPr>
                <w:rFonts w:ascii="EB Garamond" w:hAnsi="EB Garamond"/>
                <w:sz w:val="14"/>
              </w:rPr>
              <w:t>Necessary vs Contingent</w:t>
            </w:r>
          </w:p>
        </w:tc>
        <w:tc>
          <w:tcPr>
            <w:tcW w:type="dxa" w:w="5112"/>
            <w:vAlign w:val="top"/>
          </w:tcPr>
          <w:p>
            <w:pPr>
              <w:spacing w:after="0" w:line="240" w:lineRule="auto"/>
            </w:pPr>
            <w:r>
              <w:rPr>
                <w:rFonts w:ascii="EB Garamond" w:hAnsi="EB Garamond"/>
                <w:sz w:val="14"/>
              </w:rPr>
              <w:t>Subject-object claims can hold inevitably or only under actual conditions.</w:t>
            </w:r>
          </w:p>
        </w:tc>
        <w:tc>
          <w:tcPr>
            <w:tcW w:type="dxa" w:w="5400"/>
            <w:vAlign w:val="top"/>
          </w:tcPr>
          <w:p>
            <w:pPr>
              <w:spacing w:after="0" w:line="240" w:lineRule="auto"/>
            </w:pPr>
            <w:r>
              <w:rPr>
                <w:rFonts w:ascii="EB Garamond" w:hAnsi="EB Garamond"/>
                <w:sz w:val="14"/>
              </w:rPr>
              <w:t>What could or could not have been otherwise.</w:t>
            </w:r>
          </w:p>
        </w:tc>
      </w:tr>
      <w:tr>
        <w:tc>
          <w:tcPr>
            <w:tcW w:type="dxa" w:w="504"/>
            <w:vAlign w:val="top"/>
          </w:tcPr>
          <w:p>
            <w:pPr>
              <w:spacing w:after="0" w:line="240" w:lineRule="auto"/>
            </w:pPr>
            <w:r>
              <w:rPr>
                <w:rFonts w:ascii="EB Garamond" w:hAnsi="EB Garamond"/>
                <w:sz w:val="14"/>
              </w:rPr>
              <w:t>68</w:t>
            </w:r>
          </w:p>
        </w:tc>
        <w:tc>
          <w:tcPr>
            <w:tcW w:type="dxa" w:w="2808"/>
            <w:vAlign w:val="top"/>
          </w:tcPr>
          <w:p>
            <w:pPr>
              <w:spacing w:after="0" w:line="240" w:lineRule="auto"/>
            </w:pPr>
            <w:r>
              <w:rPr>
                <w:rFonts w:ascii="EB Garamond" w:hAnsi="EB Garamond"/>
                <w:sz w:val="14"/>
              </w:rPr>
              <w:t>Deduction vs Induction</w:t>
            </w:r>
          </w:p>
        </w:tc>
        <w:tc>
          <w:tcPr>
            <w:tcW w:type="dxa" w:w="5112"/>
            <w:vAlign w:val="top"/>
          </w:tcPr>
          <w:p>
            <w:pPr>
              <w:spacing w:after="0" w:line="240" w:lineRule="auto"/>
            </w:pPr>
            <w:r>
              <w:rPr>
                <w:rFonts w:ascii="EB Garamond" w:hAnsi="EB Garamond"/>
                <w:sz w:val="14"/>
              </w:rPr>
              <w:t>A subject reasons from rules or from observed cases.</w:t>
            </w:r>
          </w:p>
        </w:tc>
        <w:tc>
          <w:tcPr>
            <w:tcW w:type="dxa" w:w="5400"/>
            <w:vAlign w:val="top"/>
          </w:tcPr>
          <w:p>
            <w:pPr>
              <w:spacing w:after="0" w:line="240" w:lineRule="auto"/>
            </w:pPr>
            <w:r>
              <w:rPr>
                <w:rFonts w:ascii="EB Garamond" w:hAnsi="EB Garamond"/>
                <w:sz w:val="14"/>
              </w:rPr>
              <w:t>Certainty-producing versus probability-producing inference.</w:t>
            </w:r>
          </w:p>
        </w:tc>
      </w:tr>
      <w:tr>
        <w:tc>
          <w:tcPr>
            <w:tcW w:type="dxa" w:w="504"/>
            <w:vAlign w:val="top"/>
          </w:tcPr>
          <w:p>
            <w:pPr>
              <w:spacing w:after="0" w:line="240" w:lineRule="auto"/>
            </w:pPr>
            <w:r>
              <w:rPr>
                <w:rFonts w:ascii="EB Garamond" w:hAnsi="EB Garamond"/>
                <w:sz w:val="14"/>
              </w:rPr>
              <w:t>69</w:t>
            </w:r>
          </w:p>
        </w:tc>
        <w:tc>
          <w:tcPr>
            <w:tcW w:type="dxa" w:w="2808"/>
            <w:vAlign w:val="top"/>
          </w:tcPr>
          <w:p>
            <w:pPr>
              <w:spacing w:after="0" w:line="240" w:lineRule="auto"/>
            </w:pPr>
            <w:r>
              <w:rPr>
                <w:rFonts w:ascii="EB Garamond" w:hAnsi="EB Garamond"/>
                <w:sz w:val="14"/>
              </w:rPr>
              <w:t>Form vs Matter</w:t>
            </w:r>
          </w:p>
        </w:tc>
        <w:tc>
          <w:tcPr>
            <w:tcW w:type="dxa" w:w="5112"/>
            <w:vAlign w:val="top"/>
          </w:tcPr>
          <w:p>
            <w:pPr>
              <w:spacing w:after="0" w:line="240" w:lineRule="auto"/>
            </w:pPr>
            <w:r>
              <w:rPr>
                <w:rFonts w:ascii="EB Garamond" w:hAnsi="EB Garamond"/>
                <w:sz w:val="14"/>
              </w:rPr>
              <w:t>Intelligible organization can resemble the subject-side while material resembles the object-side.</w:t>
            </w:r>
          </w:p>
        </w:tc>
        <w:tc>
          <w:tcPr>
            <w:tcW w:type="dxa" w:w="5400"/>
            <w:vAlign w:val="top"/>
          </w:tcPr>
          <w:p>
            <w:pPr>
              <w:spacing w:after="0" w:line="240" w:lineRule="auto"/>
            </w:pPr>
            <w:r>
              <w:rPr>
                <w:rFonts w:ascii="EB Garamond" w:hAnsi="EB Garamond"/>
                <w:sz w:val="14"/>
              </w:rPr>
              <w:t>Composition, persistence, and change.</w:t>
            </w:r>
          </w:p>
        </w:tc>
      </w:tr>
      <w:tr>
        <w:tc>
          <w:tcPr>
            <w:tcW w:type="dxa" w:w="504"/>
            <w:vAlign w:val="top"/>
          </w:tcPr>
          <w:p>
            <w:pPr>
              <w:spacing w:after="0" w:line="240" w:lineRule="auto"/>
            </w:pPr>
            <w:r>
              <w:rPr>
                <w:rFonts w:ascii="EB Garamond" w:hAnsi="EB Garamond"/>
                <w:sz w:val="14"/>
              </w:rPr>
              <w:t>70</w:t>
            </w:r>
          </w:p>
        </w:tc>
        <w:tc>
          <w:tcPr>
            <w:tcW w:type="dxa" w:w="2808"/>
            <w:vAlign w:val="top"/>
          </w:tcPr>
          <w:p>
            <w:pPr>
              <w:spacing w:after="0" w:line="240" w:lineRule="auto"/>
            </w:pPr>
            <w:r>
              <w:rPr>
                <w:rFonts w:ascii="EB Garamond" w:hAnsi="EB Garamond"/>
                <w:sz w:val="14"/>
              </w:rPr>
              <w:t>Signifier vs Signified</w:t>
            </w:r>
          </w:p>
        </w:tc>
        <w:tc>
          <w:tcPr>
            <w:tcW w:type="dxa" w:w="5112"/>
            <w:vAlign w:val="top"/>
          </w:tcPr>
          <w:p>
            <w:pPr>
              <w:spacing w:after="0" w:line="240" w:lineRule="auto"/>
            </w:pPr>
            <w:r>
              <w:rPr>
                <w:rFonts w:ascii="EB Garamond" w:hAnsi="EB Garamond"/>
                <w:sz w:val="14"/>
              </w:rPr>
              <w:t>A subject uses a sign to present a meaning or object.</w:t>
            </w:r>
          </w:p>
        </w:tc>
        <w:tc>
          <w:tcPr>
            <w:tcW w:type="dxa" w:w="5400"/>
            <w:vAlign w:val="top"/>
          </w:tcPr>
          <w:p>
            <w:pPr>
              <w:spacing w:after="0" w:line="240" w:lineRule="auto"/>
            </w:pPr>
            <w:r>
              <w:rPr>
                <w:rFonts w:ascii="EB Garamond" w:hAnsi="EB Garamond"/>
                <w:sz w:val="14"/>
              </w:rPr>
              <w:t>The internal structure of signs and language.</w:t>
            </w:r>
          </w:p>
        </w:tc>
      </w:tr>
    </w:tbl>
    <w:p>
      <w:pPr>
        <w:sectPr>
          <w:footerReference w:type="default" r:id="rId12"/>
          <w:pgSz w:w="15840" w:h="12240" w:orient="landscape"/>
          <w:pgMar w:top="792" w:right="792" w:bottom="792" w:left="792" w:header="720" w:footer="720" w:gutter="0"/>
          <w:cols w:space="720"/>
          <w:docGrid w:linePitch="360"/>
        </w:sectPr>
      </w:pPr>
    </w:p>
    <w:p>
      <w:pPr>
        <w:pStyle w:val="Heading1"/>
      </w:pPr>
      <w:r>
        <w:t>WORKING SOURCE ROUTES</w:t>
      </w:r>
    </w:p>
    <w:p>
      <w:pPr>
        <w:pStyle w:val="BodyFirst"/>
      </w:pPr>
      <w:r>
        <w:t>1. Saul K. Nassau, Year of the Snakes, open working monograph.</w:t>
      </w:r>
    </w:p>
    <w:p>
      <w:pPr>
        <w:pStyle w:val="Body"/>
      </w:pPr>
      <w:r>
        <w:t>2. Saul K. Nassau, Contentinternet Idiomary, methodology and dictionary archive.</w:t>
      </w:r>
    </w:p>
    <w:p>
      <w:pPr>
        <w:pStyle w:val="Body"/>
      </w:pPr>
      <w:r>
        <w:t>3. Saul K. Nassau, Carrying Over the Burdens of Trace: Weaving together Civic Rituals on the Silk Roads of the Post-Apocalypse, 2019.</w:t>
      </w:r>
    </w:p>
    <w:p>
      <w:pPr>
        <w:pStyle w:val="Body"/>
      </w:pPr>
      <w:r>
        <w:t>4. Chapter 0 conversations, July 10 and July 11, 2026, including the point, Full Circle, Subject and Object, gesture, ritual, idiom, narrative, myth, dialogue, seminar, collective ritual, synergy, Flower of Life, Metatron's Cube, and Indra's Web.</w:t>
      </w:r>
    </w:p>
    <w:p>
      <w:pPr>
        <w:pStyle w:val="Body"/>
      </w:pPr>
      <w:r>
        <w:t>5. Meaninglib methodology and module materials on Ouroborosanalysis, reflection and refraction, Occam's Razor, seminar facilitation, citation, provenance, and linkability.</w:t>
      </w:r>
    </w:p>
    <w:p>
      <w:pPr>
        <w:pStyle w:val="Body"/>
      </w:pPr>
      <w:r>
        <w:t>6. Historical interlocutors for later primary citation include Euclid, Aristotle, Parmenides, Heraclitus, Hegel, Whitehead, Peirce, Husserl, Kandinsky, Bergson, Gebser, Lacan, the Dao De Jing, Zhuangzi, the Yijing, Zhou Dunyi, Agamben, Frege, Buber, and the phrase attributed to Toni Morrison concerning art and knowing when to stop.</w:t>
      </w:r>
    </w:p>
    <w:p>
      <w:pPr>
        <w:pStyle w:val="Movement"/>
      </w:pPr>
      <w:r>
        <w:t>Working authorship note: this draft integrates the author-source corpus directly into the chapter voice, corrects obvious transcription and punctuation errors, removes conversational vulgarity, and leaves final literary authorship and the ZERO -&gt; A opening to Saul.</w:t>
      </w:r>
    </w:p>
    <w:sectPr w:rsidR="00FC693F" w:rsidRPr="0006063C" w:rsidSect="00034616">
      <w:footerReference w:type="default" r:id="rId13"/>
      <w:pgSz w:w="15840" w:h="122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EB Garamond" w:hAnsi="EB Garamond"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EB Garamond" w:hAnsi="EB Garamond" w:eastAsia="Noto Serif CJK S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EB Garamond" w:hAnsi="EB Garamond" w:eastAsia="Noto Serif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EB Garamond" w:hAnsi="EB Garamond" w:eastAsia="Noto Serif CJK SC"/>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EB Garamond" w:hAnsi="EB Garamond" w:eastAsia="Noto Serif CJK SC"/>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lude">
    <w:name w:val="Prelude"/>
    <w:pPr>
      <w:spacing w:line="278" w:lineRule="auto" w:after="200"/>
      <w:ind w:firstLine="0"/>
    </w:pPr>
    <w:rPr>
      <w:rFonts w:ascii="EB Garamond" w:hAnsi="EB Garamond" w:eastAsia="Noto Serif CJK SC"/>
      <w:sz w:val="23"/>
    </w:rPr>
  </w:style>
  <w:style w:type="paragraph" w:customStyle="1" w:styleId="BodyFirst">
    <w:name w:val="Body First"/>
    <w:basedOn w:val="Normal"/>
    <w:pPr>
      <w:spacing w:line="269" w:lineRule="auto" w:after="140"/>
      <w:ind w:firstLine="0"/>
    </w:pPr>
    <w:rPr>
      <w:rFonts w:ascii="EB Garamond" w:hAnsi="EB Garamond" w:eastAsia="Noto Serif CJK SC"/>
      <w:sz w:val="22"/>
    </w:rPr>
  </w:style>
  <w:style w:type="paragraph" w:customStyle="1" w:styleId="Body">
    <w:name w:val="Body"/>
    <w:basedOn w:val="Normal"/>
    <w:pPr>
      <w:spacing w:line="269" w:lineRule="auto" w:after="140"/>
      <w:ind w:firstLine="360"/>
    </w:pPr>
    <w:rPr>
      <w:rFonts w:ascii="EB Garamond" w:hAnsi="EB Garamond" w:eastAsia="Noto Serif CJK SC"/>
      <w:sz w:val="22"/>
    </w:rPr>
  </w:style>
  <w:style w:type="paragraph" w:customStyle="1" w:styleId="Movement">
    <w:name w:val="Movement"/>
    <w:pPr>
      <w:spacing w:before="160" w:after="240"/>
      <w:jc w:val="center"/>
    </w:pPr>
    <w:rPr>
      <w:rFonts w:ascii="EB Garamond" w:hAnsi="EB Garamond" w:eastAsia="Noto Serif CJK SC"/>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0 - Working Draft 3</dc:title>
  <dc:subject>Polymorphousmythology Chapter 0 working draft</dc:subject>
  <dc:creator>Saul K. Nassau</dc:creator>
  <cp:keywords>polymorphousmythology, chapter 0, ouroboros, point, ritual, synergy, Indra web</cp:keywords>
  <dc:description>generated by python-docx</dc:description>
  <cp:lastModifiedBy/>
  <cp:revision>1</cp:revision>
  <dcterms:created xsi:type="dcterms:W3CDTF">2013-12-23T23:15:00Z</dcterms:created>
  <dcterms:modified xsi:type="dcterms:W3CDTF">2013-12-23T23:15:00Z</dcterms:modified>
  <cp:category/>
</cp:coreProperties>
</file>