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8"/>
        <w:jc w:val="center"/>
        <w:pBdr>
          <w:bottom w:val="single" w:sz="10" w:space="1" w:color="1F4E79"/>
        </w:pBdr>
      </w:pPr>
      <w:r>
        <w:rPr>
          <w:rFonts w:ascii="EB Garamond" w:hAnsi="EB Garamond"/>
          <w:b/>
          <w:color w:val="1F4E79"/>
          <w:sz w:val="60"/>
        </w:rPr>
        <w:t>CHAPTER 0</w:t>
      </w:r>
    </w:p>
    <w:p>
      <w:pPr>
        <w:jc w:val="center"/>
      </w:pPr>
      <w:r>
        <w:rPr>
          <w:rFonts w:ascii="EB Garamond" w:hAnsi="EB Garamond"/>
          <w:i/>
          <w:color w:val="4F81BD"/>
          <w:sz w:val="26"/>
        </w:rPr>
        <w:t>Working Draft 4</w:t>
      </w:r>
    </w:p>
    <w:p>
      <w:pPr>
        <w:spacing w:before="360"/>
        <w:jc w:val="center"/>
      </w:pPr>
      <w:r>
        <w:rPr>
          <w:rFonts w:ascii="EB Garamond" w:hAnsi="EB Garamond"/>
          <w:color w:val="666666"/>
          <w:sz w:val="23"/>
        </w:rPr>
        <w:t>Saul K. Nassau</w:t>
      </w:r>
    </w:p>
    <w:p>
      <w:pPr>
        <w:spacing w:before="504"/>
        <w:jc w:val="center"/>
      </w:pPr>
      <w:r>
        <w:rPr>
          <w:rFonts w:ascii="EB Garamond" w:hAnsi="EB Garamond"/>
          <w:color w:val="000000"/>
          <w:sz w:val="56"/>
        </w:rPr>
        <w:t>•</w:t>
      </w:r>
    </w:p>
    <w:p>
      <w:pPr>
        <w:sectPr>
          <w:headerReference w:type="default" r:id="rId9"/>
          <w:footerReference w:type="default" r:id="rId10"/>
          <w:pgSz w:w="12240" w:h="15840"/>
          <w:pgMar w:top="1123" w:right="1296" w:bottom="1037" w:left="1296" w:header="403" w:footer="432" w:gutter="0"/>
          <w:cols w:space="720"/>
          <w:titlePg/>
          <w:docGrid w:linePitch="360"/>
        </w:sectPr>
      </w:pPr>
    </w:p>
    <w:p>
      <w:pPr>
        <w:pStyle w:val="Heading1"/>
        <w:keepNext/>
        <w:pageBreakBefore w:val="0"/>
        <w:pBdr>
          <w:bottom w:val="single" w:sz="5" w:space="1" w:color="1F4E79"/>
        </w:pBdr>
      </w:pPr>
      <w:r>
        <w:rPr>
          <w:rFonts w:ascii="EB Garamond" w:hAnsi="EB Garamond"/>
          <w:b/>
          <w:i w:val="0"/>
          <w:color w:val="1F4E79"/>
          <w:sz w:val="34"/>
        </w:rPr>
        <w:t>WHAT MATTERS?</w:t>
      </w:r>
    </w:p>
    <w:p>
      <w:pPr>
        <w:pStyle w:val="Prelude"/>
        <w:keepLines w:val="0"/>
        <w:widowControl/>
        <w:ind w:firstLine="0"/>
      </w:pPr>
      <w:r>
        <w:rPr>
          <w:rFonts w:ascii="EB Garamond" w:hAnsi="EB Garamond"/>
          <w:b w:val="0"/>
          <w:i w:val="0"/>
        </w:rPr>
        <w:t>Every sentient being experiences existence from somewhere, and the quality of a shared world depends on whether that centre of experience is encountered as a participant with responses, vulnerabilities, interests, and a direction of its own or reduced to a resource within another purpose. Recognition places limits on power because another being can suffer from the meanings, categories, decisions, and rituals imposed upon it, while its responses can also reveal realities unavailable from any other position. Since every perspective remains partial and fallible, intelligence gains value through its ability to be changed by evidence, consequences, resistance, and encounter, returning from experience with a judgment deeper than its first assumption and clear enough to guide action. This requires the patience to remain with tensions that continue producing insight, the discipline to remove claims that collapse under scrutiny, and the judgment to finish an inquiry before complexity becomes accumulation without direction. Another mind enlarges this process by contributing memories, sensitivities, knowledge, and possibilities that no solitary perspective contains, and when distinct participants remain capable of answering and altering one another, their relation can produce a meaning or capacity that belongs to none of them alone. This surplus is synergy, and its value depends on the differences that created it, since collective intelligence loses range when participation becomes conformity and gains range when coordination preserves distinct experience. The same principle reaches beyond conversation into the repeated patterns through which communities organize care, punishment, learning, work, mourning, belonging, exclusion, and memory, because these collective rituals shape sentient life before their participants fully understand them. Once visible, they can be judged by their consequences, including whose agency they strengthen, whose suffering they conceal, which histories they carry, and which forms of participation they make possible. Their revision remains a collective task because inherited patterns exceed any single participant, yet every response can reinforce them, redirect them, or leave a trace that later beings carry further. Knowledge, wounds, practices, stories, and unfinished efforts can therefore survive their origins through memory, teaching, imitation, archive, consequence, and renewed interpretation, giving present participants both access to lives beyond their own and responsibility for how those lives are represented and continued. Language belongs to this responsibility because definitions shape recognition, membership, protection, blame, and care, and the terms used to classify a being can alter the conditions under which that being lives. Careful thought must therefore preserve distinctions that change judgment, release connections that merely increase volume, and recognize similarity across cultures, species, histories, and forms of mind without flattening the differences that make each comparison informative. Underneath these ethical, intellectual, and historical demands lies a broader understanding of individuality, in which a sentient being remains a singular centre while receiving language, memory, ability, identity, and possibility through relationships that began before it and will continue beyond it. Relation need not dissolve singularity, and singularity need not require isolation. A shared world becomes richer when its centres can meet without consuming one another, revise themselves without surrendering agency, inherit without repeating mechanically, coordinate without uniformity, and create forms of understanding whose value arises between participants while the experience of each participant continues to matter. This is what matters because sentient life already shapes sentient life, often through patterns no single being chose, and greater awareness of that participation can turn inherited influence into responsibility, difference into knowledge, encounter into correction, and collective existence into a source of possibilities that no centre could create alone.</w:t>
      </w:r>
    </w:p>
    <w:p>
      <w:pPr>
        <w:pStyle w:val="AuthorNote"/>
      </w:pPr>
      <w:r>
        <w:rPr>
          <w:rFonts w:ascii="EB Garamond" w:hAnsi="EB Garamond"/>
          <w:b w:val="0"/>
          <w:i/>
          <w:color w:val="666666"/>
          <w:sz w:val="18"/>
        </w:rPr>
        <w:t>[The opening movement from zero to the point remains open.]</w:t>
      </w:r>
    </w:p>
    <w:p>
      <w:pPr>
        <w:pStyle w:val="Heading1"/>
        <w:keepNext/>
        <w:pageBreakBefore w:val="0"/>
        <w:pBdr>
          <w:bottom w:val="single" w:sz="5" w:space="1" w:color="1F4E79"/>
        </w:pBdr>
      </w:pPr>
      <w:r>
        <w:rPr>
          <w:rFonts w:ascii="EB Garamond" w:hAnsi="EB Garamond"/>
          <w:b/>
          <w:i w:val="0"/>
          <w:color w:val="1F4E79"/>
          <w:sz w:val="34"/>
        </w:rPr>
        <w:t>THE POINT</w:t>
      </w:r>
    </w:p>
    <w:p>
      <w:pPr>
        <w:pStyle w:val="Body"/>
        <w:keepLines w:val="0"/>
        <w:widowControl/>
        <w:ind w:firstLine="0"/>
      </w:pPr>
      <w:r>
        <w:rPr>
          <w:rFonts w:ascii="EB Garamond" w:hAnsi="EB Garamond"/>
          <w:b w:val="0"/>
          <w:i w:val="0"/>
        </w:rPr>
        <w:t>A point gives movement somewhere to begin and somewhere by which its return can be recognized, even though the meaning of that point may change through the journey. A point may begin as a mark no larger than the ink that makes it visible, yet the same word can name a location, a beginning, a purpose, a centre, a reference, a turn, a stopping place, an argument, or the conclusion an argument has finally made. These senses belong close enough to illuminate one another and remain different enough to resist being pressed into one definition. A formal point has position without size, body, memory, or history, while a meaningful point is already situated in language, embodiment, culture, expectation, and relation. The point can therefore appear primitive in the order of explanation and inherited in the order of life, which separates the fantasy of a pure origin from the meaningful origin already carrying relations. It can orient a local movement without claiming to rule the whole field, and it can remain recognizable through changes that would make its later meaning strange to the person who first placed it. When the beginning and ending of a circle meet at one structural location, the passage between them gives the returned point a history, which allows the point to remain the same reference while carrying a different sense.</w:t>
      </w:r>
    </w:p>
    <w:p>
      <w:pPr>
        <w:pStyle w:val="Body"/>
        <w:keepLines w:val="0"/>
        <w:widowControl/>
        <w:ind w:firstLine="374"/>
      </w:pPr>
      <w:r>
        <w:rPr>
          <w:rFonts w:ascii="EB Garamond" w:hAnsi="EB Garamond"/>
          <w:b w:val="0"/>
          <w:i w:val="0"/>
        </w:rPr>
        <w:t>The word gathers several registers that will recur throughout the chapter. An origin or zero point establishes an orienting here. An ostensive point selects from a wider field through a finger, gaze, sound, cursor, mark, or gesture. A reference point permits comparison and makes a later return recognizable. A quilting or stopping point gives temporary stability to meanings that would otherwise continue sliding. An event or turning point alters what follows. A leverage point names a small intervention capable of redirecting a larger recursive system. A sacred point appears in many traditions as a primordial dot, spark, centre, or ground. Pointing opens attention while making a point concentrates a movement into a provisional completion. A structural point asks where the movement begins, while the point as purpose asks why the movement matters. A static point locates, while a turning point transforms. The bare point can precede meaning inside a model, while the lived point becomes visible through relations that allow it to count as a position at all.</w:t>
      </w:r>
    </w:p>
    <w:p>
      <w:pPr>
        <w:pStyle w:val="Body"/>
        <w:keepLines w:val="0"/>
        <w:widowControl/>
        <w:ind w:firstLine="374"/>
      </w:pPr>
      <w:r>
        <w:rPr>
          <w:rFonts w:ascii="EB Garamond" w:hAnsi="EB Garamond"/>
          <w:b w:val="0"/>
          <w:i w:val="0"/>
        </w:rPr>
        <w:t xml:space="preserve">The history of the point is most useful as a conversation among incompatible emphases. Euclid begins geometry with the partless point and keeps it distinct from the circle organized around a centre. Aristotle treats the point as the limit of a line and refuses to build continuity by adding indivisible points together. Parmenides presses the image of complete and motionless being, while Heraclitus places beginning and end together on the circumference and lets return become a form of movement. Hegel makes the first intelligible through the path by which it becomes last. Whitehead and Peirce resist constructing a living continuum from already completed atoms. Husserl locates a zero point in the orientation of the lived body. Kandinsky describes the point as perishing into line under force, while Bergson warns that movement cannot be reconstructed from the static positions through which it passes. Gebser places the magic point beside the mythical circle, and Lacan places a point of temporary fixation inside a moving field of signification. The Dao De Jing, Zhuangzi, the Yijing, and Zhou Dunyi approach origin through reversal, alternation, pivot, and cyclical transformation. Their disagreements organize the problem more honestly than the passing claim that philosophy has simply confused point and circle, because the deeper question concerns whether an origin precedes relation, emerges through relation, survives movement, or becomes fully intelligible only after return. The primary routes for these later citations are Euclid's </w:t>
      </w:r>
      <w:r>
        <w:rPr>
          <w:rFonts w:ascii="EB Garamond" w:hAnsi="EB Garamond"/>
          <w:b w:val="0"/>
          <w:i/>
        </w:rPr>
        <w:t>Elements</w:t>
      </w:r>
      <w:r>
        <w:rPr>
          <w:rFonts w:ascii="EB Garamond" w:hAnsi="EB Garamond"/>
          <w:b w:val="0"/>
          <w:i w:val="0"/>
        </w:rPr>
        <w:t xml:space="preserve">, Aristotle's </w:t>
      </w:r>
      <w:r>
        <w:rPr>
          <w:rFonts w:ascii="EB Garamond" w:hAnsi="EB Garamond"/>
          <w:b w:val="0"/>
          <w:i/>
        </w:rPr>
        <w:t>Physics</w:t>
      </w:r>
      <w:r>
        <w:rPr>
          <w:rFonts w:ascii="EB Garamond" w:hAnsi="EB Garamond"/>
          <w:b w:val="0"/>
          <w:i w:val="0"/>
        </w:rPr>
        <w:t xml:space="preserve"> and </w:t>
      </w:r>
      <w:r>
        <w:rPr>
          <w:rFonts w:ascii="EB Garamond" w:hAnsi="EB Garamond"/>
          <w:b w:val="0"/>
          <w:i/>
        </w:rPr>
        <w:t>Metaphysics</w:t>
      </w:r>
      <w:r>
        <w:rPr>
          <w:rFonts w:ascii="EB Garamond" w:hAnsi="EB Garamond"/>
          <w:b w:val="0"/>
          <w:i w:val="0"/>
        </w:rPr>
        <w:t xml:space="preserve">, Parmenides B8, Heraclitus B103, Hegel's </w:t>
      </w:r>
      <w:r>
        <w:rPr>
          <w:rFonts w:ascii="EB Garamond" w:hAnsi="EB Garamond"/>
          <w:b w:val="0"/>
          <w:i/>
        </w:rPr>
        <w:t>Science of Logic</w:t>
      </w:r>
      <w:r>
        <w:rPr>
          <w:rFonts w:ascii="EB Garamond" w:hAnsi="EB Garamond"/>
          <w:b w:val="0"/>
          <w:i w:val="0"/>
        </w:rPr>
        <w:t xml:space="preserve">, Whitehead's </w:t>
      </w:r>
      <w:r>
        <w:rPr>
          <w:rFonts w:ascii="EB Garamond" w:hAnsi="EB Garamond"/>
          <w:b w:val="0"/>
          <w:i/>
        </w:rPr>
        <w:t>The Concept of Nature</w:t>
      </w:r>
      <w:r>
        <w:rPr>
          <w:rFonts w:ascii="EB Garamond" w:hAnsi="EB Garamond"/>
          <w:b w:val="0"/>
          <w:i w:val="0"/>
        </w:rPr>
        <w:t xml:space="preserve">, Peirce's writings on continuity, Husserl's </w:t>
      </w:r>
      <w:r>
        <w:rPr>
          <w:rFonts w:ascii="EB Garamond" w:hAnsi="EB Garamond"/>
          <w:b w:val="0"/>
          <w:i/>
        </w:rPr>
        <w:t>Ideas II</w:t>
      </w:r>
      <w:r>
        <w:rPr>
          <w:rFonts w:ascii="EB Garamond" w:hAnsi="EB Garamond"/>
          <w:b w:val="0"/>
          <w:i w:val="0"/>
        </w:rPr>
        <w:t xml:space="preserve">, Kandinsky's </w:t>
      </w:r>
      <w:r>
        <w:rPr>
          <w:rFonts w:ascii="EB Garamond" w:hAnsi="EB Garamond"/>
          <w:b w:val="0"/>
          <w:i/>
        </w:rPr>
        <w:t>Point and Line to Plane</w:t>
      </w:r>
      <w:r>
        <w:rPr>
          <w:rFonts w:ascii="EB Garamond" w:hAnsi="EB Garamond"/>
          <w:b w:val="0"/>
          <w:i w:val="0"/>
        </w:rPr>
        <w:t xml:space="preserve">, Bergson's accounts of duration and movement, Gebser's </w:t>
      </w:r>
      <w:r>
        <w:rPr>
          <w:rFonts w:ascii="EB Garamond" w:hAnsi="EB Garamond"/>
          <w:b w:val="0"/>
          <w:i/>
        </w:rPr>
        <w:t>The Ever-Present Origin</w:t>
      </w:r>
      <w:r>
        <w:rPr>
          <w:rFonts w:ascii="EB Garamond" w:hAnsi="EB Garamond"/>
          <w:b w:val="0"/>
          <w:i w:val="0"/>
        </w:rPr>
        <w:t>, Lacan's third seminar, and the relevant passages from the classical Chinese texts.</w:t>
      </w:r>
    </w:p>
    <w:p>
      <w:pPr>
        <w:pStyle w:val="Body"/>
        <w:keepLines w:val="0"/>
        <w:widowControl/>
        <w:ind w:firstLine="374"/>
      </w:pPr>
      <w:r>
        <w:rPr>
          <w:rFonts w:ascii="EB Garamond" w:hAnsi="EB Garamond"/>
          <w:b w:val="0"/>
          <w:i w:val="0"/>
        </w:rPr>
        <w:t>Once a point has been placed, the first major question asks what kind of point it is. The point may be looking or looked at, acting or acted upon, naming or named, interpreting or interpreted, a subject from within and an object from another position, or another subject whose inner life disappears when the relation is described only from outside. Subject and Object therefore opens the largest map of distinctions in this chapter. Knower and known, observer and observed, self and other, I and me, I-Thou and I-It, lived body and objective body, appearance and reality, agency and structure, individual and collective, Being and Becoming, identity and difference, signifier and signified, form and matter, and the grammatical movements through which I becomes me and we becomes us can all be read through this relation with varying strength. Everything can enter the Subject and Object conversation, while only some distinctions derive their primary meaning from it, so the full map ranks the strength of each relation and preserves what each distinction contributes when it remains independent. Parmenides and Heraclitus, along with Kandinsky and Bergson, belong especially close to the point because they ask what movement does to identity. A point that moves may seem to perish as a point, while the movement still depends on a recognizable origin. A subject changes through encounters while retaining enough continuity to answer to a name. A circle returns to the same location while the journey changes its meaning. The point can therefore remain fixed as a reference while the relations that make it meaningful continue to become.</w:t>
      </w:r>
    </w:p>
    <w:p>
      <w:pPr>
        <w:pStyle w:val="Body"/>
        <w:keepLines w:val="0"/>
        <w:widowControl/>
        <w:ind w:firstLine="374"/>
      </w:pPr>
      <w:r>
        <w:rPr>
          <w:rFonts w:ascii="EB Garamond" w:hAnsi="EB Garamond"/>
          <w:b w:val="0"/>
          <w:i w:val="0"/>
        </w:rPr>
        <w:t>Pointing turns an undivided field into this and the rest, here and there, figure and background, selected and presently unselected. The act can direct another subject toward a place, body, sound, text, danger, question, or absence, and the point becomes shared when another subject can follow the direction and answer it. A question opens the selected point by asking what it is, why it matters, where it came from, what follows from it, or which return would count as an answer. A question can also change during the inquiry, because a Full Circle may return with an answer, a better question, several sharper questions, or the recognition that the first question contained a false opposition. Naming then gives the selected point enough continuity to be remembered, compared, cited, challenged, and revisited. A name can travel through a conversation while the subject named by it continues changing, so naming remains both necessary and dangerous. It preserves a route of return while risking the confusion of a moving life with the label that presently gathers it.</w:t>
      </w:r>
    </w:p>
    <w:p>
      <w:pPr>
        <w:pStyle w:val="Body"/>
        <w:keepLines w:val="0"/>
        <w:widowControl/>
        <w:ind w:firstLine="374"/>
      </w:pPr>
      <w:r>
        <w:rPr>
          <w:rFonts w:ascii="EB Garamond" w:hAnsi="EB Garamond"/>
          <w:b w:val="0"/>
          <w:i w:val="0"/>
        </w:rPr>
        <w:t>A provisional definition gives the name a temporary boundary and states which distinctions presently carry the inquiry. It determines which examples and counterexamples matter, what evidence belongs, which uses are being compared, and what remains outside the immediate frame. A definition is already a small model because it reduces a field to the features required by a purpose, and its value depends on whether the reduction allows the inquiry to move rather than whether it captures every possible relation. The early definition must remain provisional because the later movement through other words, examples, subjects, histories, and practices may change what deserves to count as central. A definition can therefore be strong enough to support reasoning and open enough to survive revision.</w:t>
      </w:r>
    </w:p>
    <w:p>
      <w:pPr>
        <w:pStyle w:val="Body"/>
        <w:keepLines w:val="0"/>
        <w:widowControl/>
        <w:ind w:firstLine="374"/>
      </w:pPr>
      <w:r>
        <w:rPr>
          <w:rFonts w:ascii="EB Garamond" w:hAnsi="EB Garamond"/>
          <w:b w:val="0"/>
          <w:i w:val="0"/>
        </w:rPr>
        <w:t>Identity asks when two descriptions, moments, names, persons, or events count as the same, while identity through time asks what may change before the return loses its object. A Full Circle requires enough continuity for recognition and enough difference for the journey to matter. Perfect duplication creates repetition without development, while an unrelated endpoint creates no circle at all. Frege's distinction among sign, sense, and reference clarifies how two expressions can reach the same reference through different senses and why an identity such as a equals b can carry information that a equals a cannot. Many apparent contradictions dissolve when the supposed identity is false because the claims concern different times, contexts, scales, subjects, senses, or meanings, while a real contradiction remains when incompatible claims are made about the same point in the same relevant respect. Polysemy allows one word to carry several related senses, and the presence of several senses creates a problem of interpretation only when the inquiry falsely treats them as one claim.</w:t>
      </w:r>
    </w:p>
    <w:p>
      <w:pPr>
        <w:pStyle w:val="Body"/>
        <w:keepLines w:val="0"/>
        <w:widowControl/>
        <w:ind w:firstLine="374"/>
      </w:pPr>
      <w:r>
        <w:rPr>
          <w:rFonts w:ascii="EB Garamond" w:hAnsi="EB Garamond"/>
          <w:b w:val="0"/>
          <w:i w:val="0"/>
        </w:rPr>
        <w:t>Identity must remain distinct from the other relations through which points meet. Equivalence treats different points as equal under a stated rule and for a stated purpose. Numerical equality gives quantities the same value while leaving the counted beings different. Semantic equivalence treats expressions as sufficiently similar within a context. Analogy reveals a shared explanatory pattern across forms that remain distinct. Correspondence maps a relation in one field onto a relation in another. Practical substitution allows one form to perform another form's role under specified conditions. Polymythological recurrence follows a movement, image, character, gesture, ritual, tension, or transformation as it appears across different histories and narratives. Confluence allows distinct streams to meet and create a shared movement while preserving the histories carried by each stream. Concrescence collapses those streams into a new unity that can erase the differences through which the relation became meaningful. Polymorphousmythology usually works through analogy, correspondence, recurrence, translation, and confluence, since synergy requires differences capable of altering one another.</w:t>
      </w:r>
    </w:p>
    <w:p>
      <w:pPr>
        <w:pStyle w:val="Body"/>
        <w:keepLines w:val="0"/>
        <w:widowControl/>
        <w:ind w:firstLine="374"/>
      </w:pPr>
      <w:r>
        <w:rPr>
          <w:rFonts w:ascii="EB Garamond" w:hAnsi="EB Garamond"/>
          <w:b w:val="0"/>
          <w:i w:val="0"/>
        </w:rPr>
        <w:t>Equivalence makes counting possible because several points can be treated as members of one class after the inquiry decides which differences can be left outside the present purpose. Three people remain three numerically while differing in history, experience, body, relation, and perspective. Counting gains power through compression, and the same compression creates danger when numerical sameness is mistaken for total knowledge. A model continues this selection by keeping the relations needed to answer a question and releasing those that merely enlarge the field, so relevance means that changing a relation would change the model's route or return. A cannonball model can exclude a butterfly when the butterfly changes nothing in the trajectory being calculated, while the butterfly enters the model once its effects alter the causal chain. Formal models name selected relations as variables, while interpretive and social inquiry must also attend to traces, other subjects, histories, material limits, counterexamples, inherited narratives, and conditions that resist numerical reduction. MetaConsistentLogic requires both internal logic and external logic. A structure must hold together on its own terms and remain answerable to the world beyond itself. Internal coherence alone can produce an elegant prison, while an appeal to reality without an intelligible structure can become a collection of impressions. The movement must pass through both tests before its circle can claim authority.</w:t>
      </w:r>
    </w:p>
    <w:p>
      <w:pPr>
        <w:pStyle w:val="Body"/>
        <w:keepLines w:val="0"/>
        <w:widowControl/>
        <w:ind w:firstLine="374"/>
      </w:pPr>
      <w:r>
        <w:rPr>
          <w:rFonts w:ascii="EB Garamond" w:hAnsi="EB Garamond"/>
          <w:b w:val="0"/>
          <w:i w:val="0"/>
        </w:rPr>
        <w:t>When a point moves, it draws a line. A line gives direction, sequence, distance, and a path along which consequences can unfold. A straight line represents a reduced trajectory in which interference has been set aside, yet actual thought encounters evidence, resistance, memory, material conditions, other subjects, inherited traces, alternative models, contradiction, feedback, and consequences produced by the movement itself. These encounters bend the line because the world has entered its path. The curve records those encounters in the shape of the route, and when the curve begins orienting toward its beginning, return becomes possible. A return may be physical, conceptual, narrative, ritual, emotional, historical, linguistic, or social, and it requires recognizable relation to the starting point rather than exact duplication. A circle returns to a position, while a spiral returns to a corresponding position at another depth or scale. The circle explains completion and recognizability, while the spiral explains how repeated return can deepen without becoming repetition.</w:t>
      </w:r>
    </w:p>
    <w:p>
      <w:pPr>
        <w:pStyle w:val="Heading1"/>
        <w:keepNext/>
        <w:pageBreakBefore w:val="0"/>
        <w:pBdr>
          <w:bottom w:val="single" w:sz="5" w:space="1" w:color="1F4E79"/>
        </w:pBdr>
      </w:pPr>
      <w:r>
        <w:rPr>
          <w:rFonts w:ascii="EB Garamond" w:hAnsi="EB Garamond"/>
          <w:b/>
          <w:i w:val="0"/>
          <w:color w:val="1F4E79"/>
          <w:sz w:val="34"/>
        </w:rPr>
        <w:t>THE CIRCLE</w:t>
      </w:r>
    </w:p>
    <w:p>
      <w:pPr>
        <w:pStyle w:val="Body"/>
        <w:keepLines w:val="0"/>
        <w:widowControl/>
        <w:ind w:firstLine="0"/>
      </w:pPr>
      <w:r>
        <w:rPr>
          <w:rFonts w:ascii="EB Garamond" w:hAnsi="EB Garamond"/>
          <w:b w:val="0"/>
          <w:i w:val="0"/>
        </w:rPr>
        <w:t>The snake wakes up upon itself when the line returns. Ouroboros is reflection and our ability to steer through the relations into which we are thrown and from which we gather our models, which is why the circle matters long before it becomes an image of final completion. Farcically, one can read a page and immediately recognize an author wound around their own assumptions. Tragically, enough citations may reveal that every thinker eventually inherits some version of the same predicament. The question is therefore how the snake returns. It can eat itself early like a prescription idiom that prepackages feigned depth for sale, consumption, and rule by mass psychology, or it can learn to grow, reflect, listen, and widen from monologue into dialogue, seminar, citation, history, and perhaps tradition. The first return reveals the paradox of meaningful bliss when tension survives pressure and produces further meaning. The second reveals the nullifying chaos of contradiction when a claim cancels the conditions required for its own validity. Contradiction remains negative, even when discovering it provokes valuable work. The positive movement belongs to locating the failure, correcting the terms, differentiating what was confused, dissolving the false opposition, or sublating what survives. Paradox remains alive because the opposing determinations continue to illuminate one another without cancelling the inquiry.</w:t>
      </w:r>
    </w:p>
    <w:p>
      <w:pPr>
        <w:pStyle w:val="Body"/>
        <w:keepLines w:val="0"/>
        <w:widowControl/>
        <w:ind w:firstLine="374"/>
      </w:pPr>
      <w:r>
        <w:rPr>
          <w:rFonts w:ascii="EB Garamond" w:hAnsi="EB Garamond"/>
          <w:b w:val="0"/>
          <w:i w:val="0"/>
        </w:rPr>
        <w:t>Sublation cancels what fails, preserves what remains valid, and carries the preserved material into a stronger relation. It asks more than choosing a side because each side must first be stated in its strongest form. Ironmanning strengthens a position before judgment, while MetaConsistentLogic places that strongest position into contact with the strongest version of its strongest critic. Coherence alone leaves the thinker standing in an empty room. External testing requires the position to survive contact with its strongest opposition. Arendt must survive Losurdo, Hegel must survive Kierkegaard, and every framework must survive evidence and criticism capable of changing its route. MetaConsistentLogic is combat testing rather than the worship of coherence, since a perfectly self-consistent system can remain detached from reality and a reality check without an internal structure can remain unable to explain what it has found.</w:t>
      </w:r>
    </w:p>
    <w:p>
      <w:pPr>
        <w:pStyle w:val="Body"/>
        <w:keepLines w:val="0"/>
        <w:widowControl/>
        <w:ind w:firstLine="374"/>
      </w:pPr>
      <w:r>
        <w:rPr>
          <w:rFonts w:ascii="EB Garamond" w:hAnsi="EB Garamond"/>
          <w:b w:val="0"/>
          <w:i w:val="0"/>
        </w:rPr>
        <w:t>Circular reasoning and Full Circle reasoning share a shape while performing opposite work. Circular reasoning hides the conclusion inside the premise and returns before any independent difference can enter. Full Circle reasoning begins from a point, travels through evidence, objection, perspective, consequence, and correction, then returns with a point altered by the journey. The ending may answer the original question, revise it, reveal that it was malformed, or compress its relevant movement into a conclusion another subject can receive. A Full Circle creates local completion rather than final closure, which allows a completed reflection to enter dialogue, a completed dialogue to enter seminar, and a completed seminar to travel through citation and history.</w:t>
      </w:r>
    </w:p>
    <w:p>
      <w:pPr>
        <w:pStyle w:val="Body"/>
        <w:keepLines w:val="0"/>
        <w:widowControl/>
        <w:ind w:firstLine="374"/>
      </w:pPr>
      <w:r>
        <w:rPr>
          <w:rFonts w:ascii="EB Garamond" w:hAnsi="EB Garamond"/>
          <w:b w:val="0"/>
          <w:i w:val="0"/>
        </w:rPr>
        <w:t>The Tiny Ouroboros closes before the necessary work and appears as question-begging, self-refutation, slogan, thought-terminating idiom, ritualized agreement, or a definition that explains a word only by repeating it. The Bloated Python moves in the opposite direction by collecting examples, citations, variables, qualifications, and associations until the initiating point disappears and no synthesis returns. A Full Circle travels far enough for relevant difference to alter the point and returns before expansion becomes self-consuming. Deep Ouroboros and the One or Long Ouroboros describe the degree and scale of enclosure. A Deep Ouroboros is a substantially self-contained work whose local circuits can be completed and later reopened by a second-person subject. The reader enters, changes the circuit through interpretation, and reconnects the work to a wider conversation. The One or Long Ouroboros links circles across people, texts, disciplines, generations, and traditions, becoming the great snake at the beginning of time that stretches beyond static conclusions and appears through world-serpent traditions such as Jörmungandr and Nüwa. A predatory loop reverses this openness by consuming the second-person subject, absorbing disagreement as fuel, and expanding through cancellation. The Long Snake grows through listening, while the predatory snake grows by removing the beings whose responses could have corrected it.</w:t>
      </w:r>
    </w:p>
    <w:p>
      <w:pPr>
        <w:pStyle w:val="Body"/>
        <w:keepLines w:val="0"/>
        <w:widowControl/>
        <w:ind w:firstLine="374"/>
      </w:pPr>
      <w:r>
        <w:rPr>
          <w:rFonts w:ascii="EB Garamond" w:hAnsi="EB Garamond"/>
          <w:b w:val="0"/>
          <w:i w:val="0"/>
        </w:rPr>
        <w:t>Once the circle has been opened, movement can meet several distinct fates. It can complete its own circle by returning to the question that began it. It can close destructively as a Tiny Ouroboros. It can wander as a Bloated Python until another movement identifies the useful path and compresses it. It can be interrupted and survive as trace. It can be carried by another subject through relay. It can be completed or transformed through consequences that appear only in history. It can enter another movement and produce a synergistic larger circle. Relay allows B to continue a movement begun by A, while synergy allows A and B to alter one another and generate C, a meaning, capacity, practice, or possibility fully contained in neither. C becomes another point from which movement can begin. Every meaningful movement belongs to some circle, although the circle may exceed the mover who began it. What cannot complete as action can continue as trace, and a broken circle can become a point inside a larger circle.</w:t>
      </w:r>
    </w:p>
    <w:p>
      <w:pPr>
        <w:pStyle w:val="Body"/>
        <w:keepLines w:val="0"/>
        <w:widowControl/>
        <w:ind w:firstLine="374"/>
      </w:pPr>
      <w:r>
        <w:rPr>
          <w:rFonts w:ascii="EB Garamond" w:hAnsi="EB Garamond"/>
          <w:b w:val="0"/>
          <w:i w:val="0"/>
        </w:rPr>
        <w:t>Trace keeps this claim from becoming a promise that every life receives satisfying closure. A gesture, person, project, ritual, argument, or community can end before reaching its intended destination, while what it leaves can still be remembered, cited, reenacted, inherited, contested, repaired, or transformed. The trace carries both possibility and burden because later participants inherit effects they did not choose and responsibilities they may not initially recognize as their own. Carrying over the burdens of trace means allowing the unfinished movement of another life or generation to alter the present without pretending that the present can complete the past on the past's behalf. Citation, ritual, narrative, archive, and history become ways in which absent subjects remain capable of bending a later line.</w:t>
      </w:r>
    </w:p>
    <w:p>
      <w:pPr>
        <w:pStyle w:val="Body"/>
        <w:keepLines w:val="0"/>
        <w:widowControl/>
        <w:ind w:firstLine="374"/>
      </w:pPr>
      <w:r>
        <w:rPr>
          <w:rFonts w:ascii="EB Garamond" w:hAnsi="EB Garamond"/>
          <w:b w:val="0"/>
          <w:i w:val="0"/>
        </w:rPr>
        <w:t>Journeymen give the movement a cast of recurring failures and achievements. True Journeymen engage negation, experience contradiction, and emerge more real from the struggle. False Journeymen move through pre-scripted narratives of self-discovery while mistaking motion for transformation. Tragic Journeymen possess the possibility of change and turn back into the structures they once opposed. Perpetual Journeymen seek without synthesizing and move from framework to framework without allowing any encounter to complete a return. Anti-Journeymen mistake performance for movement and repeat the gorgonified forms through which inquiry is staged and prevented. The distinction matters because struggle alone creates no development. Contradiction must be rooted out, the surviving material must be integrated, and the return must change the person who claims to have travelled.</w:t>
      </w:r>
    </w:p>
    <w:p>
      <w:pPr>
        <w:pStyle w:val="Body"/>
        <w:keepLines w:val="0"/>
        <w:widowControl/>
        <w:ind w:firstLine="374"/>
      </w:pPr>
      <w:r>
        <w:rPr>
          <w:rFonts w:ascii="EB Garamond" w:hAnsi="EB Garamond"/>
          <w:b w:val="0"/>
          <w:i w:val="0"/>
        </w:rPr>
        <w:t>Occam's Razor is always a Full Circle because simplicity earns authority after inquiry has encountered the relevant complexity and discovered which relations bear the weight of the answer. Premature simplicity skips the journey, while earned simplicity compresses completed work. The stopping point is artistic rather than mechanical. Another circuit belongs when it changes the return, while further expansion becomes Bloated Python when it adds volume without changing the answer. The artist's hand trembles between thrust and resistance, inspiration and critique, the power to act and the power to refrain. Excessive resistance prevents the work from coming into form, while excessive thrust ruins the form through continued production. Art is knowing when to stop because completion requires the judgment that the work has answered its initiating demand, passed through relevant difference, stated what it accepted and rejected, preserved what remains unresolved, and reached the point where another movement would repeat rather than transform. The aphorism is attributed to Toni Morrison, while Agamben's discussion of creation and potentiality gives the stopping judgment its deeper movement.</w:t>
      </w:r>
    </w:p>
    <w:p>
      <w:pPr>
        <w:pStyle w:val="Body"/>
        <w:keepLines w:val="0"/>
        <w:widowControl/>
        <w:ind w:firstLine="374"/>
      </w:pPr>
      <w:r>
        <w:rPr>
          <w:rFonts w:ascii="EB Garamond" w:hAnsi="EB Garamond"/>
          <w:b w:val="0"/>
          <w:i w:val="0"/>
        </w:rPr>
        <w:t>The kinds of meaning produced by a return, the architectures through which return occurs, and the felt experience of completion must remain distinct even when they appear together. Synergy produces surplus meaning through relation, while sublation preserves what survives contradiction and reinterpretation changes the earlier journey. Meaning compression allows a small ending, image, phrase, joke, definition, or point to carry a large circuit, while dissolution reveals that the original problem was badly formed and transformation returns something recognizably changed. Integration creates a coherent whole, differentiation separates what had been confused, recognition reveals what or who was present, reversal turns expectation or direction, explanation supplies a missing relation, repair addresses a rupture, and earned completion fulfils a setup proportionately. The return can occur through reflexivity, translation or transposition, reciprocity, feedback, nesting, relay, and recurrence. Completion can feel like intellectual orgasm, wonder, catharsis, surprise, satisfaction, or relief. These categories stack because one return can produce synergy and reinterpretation through reciprocity and translation while being experienced as intellectual orgasm and wonder. Synergy ranks highest as the creation of surplus meaning, while intellectual orgasm names the felt moment when many previously separate relations complete and become visible together.</w:t>
      </w:r>
    </w:p>
    <w:p>
      <w:pPr>
        <w:pStyle w:val="Body"/>
        <w:keepLines w:val="0"/>
        <w:widowControl/>
        <w:ind w:firstLine="374"/>
      </w:pPr>
      <w:r>
        <w:rPr>
          <w:rFonts w:ascii="EB Garamond" w:hAnsi="EB Garamond"/>
          <w:b w:val="0"/>
          <w:i w:val="0"/>
        </w:rPr>
        <w:t>The same circle appears across many domains while retaining the differences that make each application useful. The hermeneutic circle moves between part and whole. Reflective equilibrium lets principles reshape judgments while difficult cases revise the principles. Scientific model revision lets predictions encounter evidence and return to alter the model. Engineering moves through design, prototype, testing, feedback, and redesign. Control systems return outputs as inputs so that later movement can correct earlier movement. Learning revisits a concept after the learner has changed. Writing reaches an ending that reveals what the beginning requires. Historical interpretation turns earlier accounts into evidence for later histories. Ethical judgment moves between principles and lived situations. Law moves between rules, cases, and precedent as each judgment alters the next return. Democratic policy returns consequences and public response to the purpose that authorized action. Causal-loop analysis follows actions that alter the systems that produced them. Software recursion remains productive when every call approaches a base case. Music, rehearsal, and ritual performance create form through repeated return with variation. Conversation repair returns to an earlier statement after hearing how it affected another subject. Archivalchemy recovers older material, preserves the source, and places it into a new relation that changes its present meaning.</w:t>
      </w:r>
    </w:p>
    <w:p>
      <w:pPr>
        <w:pStyle w:val="Body"/>
        <w:keepLines w:val="0"/>
        <w:widowControl/>
        <w:ind w:firstLine="374"/>
      </w:pPr>
      <w:r>
        <w:rPr>
          <w:rFonts w:ascii="EB Garamond" w:hAnsi="EB Garamond"/>
          <w:b w:val="0"/>
          <w:i w:val="0"/>
        </w:rPr>
        <w:t>Language gives the circle one of its most concentrated forms because a word appears as a point while drawing its meaning from other words. DENOTE is a game built to reveal that hidden network. A player chooses a word, gives it a provisional definition, selects the important words inside that definition, and defines those words in turn. If the word is freedom, its first definition may rely on choice, constraint, power, responsibility, or possibility. Each of those words opens further definitions until the game reaches terms that the players accept as a practical floor, begins repeating relations already made visible, or returns to the original word with a clearer account of the distinctions supporting it. A Tiny lexical circle says A means B and B means A while adding no difference. A wider lexical circuit can become informative when the route through B, C, D, and E reveals the network that allows A to mean anything at all. DENOTE therefore moves downward through definitions rather than pretending to perform every form of interpretation. Exegesis moves outward through the text, symbol, law, story, and tradition. Text to text, text to world, and text to self remain curriculum lenses that can operate separately, together, and in any order.</w:t>
      </w:r>
    </w:p>
    <w:p>
      <w:pPr>
        <w:pStyle w:val="Body"/>
        <w:keepLines w:val="0"/>
        <w:widowControl/>
        <w:ind w:firstLine="374"/>
      </w:pPr>
      <w:r>
        <w:rPr>
          <w:rFonts w:ascii="EB Garamond" w:hAnsi="EB Garamond"/>
          <w:b w:val="0"/>
          <w:i w:val="0"/>
        </w:rPr>
        <w:t>The game also reveals why philosophy must redesign its language. Whitehead writes that every science devises its own instruments and that the instrument required for philosophy is language. Contentinternet began from the same need to construct an instrument adequate to its inquiry. A dictionary of inherited language can describe the world it has already learned to recognize, while a living inquiry sometimes needs new words to name operations concealed by available categories. The Idiomary creates terms, links them, tests them against examples, and allows the beginning of the dictionary to become the metaphorical end of the extended argument. Its linked form already performs Full Circle by returning the reader to terms whose meanings have expanded through the route. The first definition returns after enough links have shown that mythology and reality intertwine and that many participants are already creating the contentinternet through which they recognize one another.</w:t>
      </w:r>
    </w:p>
    <w:p>
      <w:pPr>
        <w:pStyle w:val="Body"/>
        <w:keepLines w:val="0"/>
        <w:widowControl/>
        <w:ind w:firstLine="374"/>
      </w:pPr>
      <w:r>
        <w:rPr>
          <w:rFonts w:ascii="EB Garamond" w:hAnsi="EB Garamond"/>
          <w:b w:val="0"/>
          <w:i w:val="0"/>
        </w:rPr>
        <w:t>When movement enters meaning production, the first circle is gesture. A gesture can point, answer, invite, refuse, imitate, offer, mark, turn away, raise a hand, make a sound, or draw a line toward another subject. Its meaning can exceed intention because reception, context, repetition, consequence, and inherited symbolism enter the act. Gesture is enacted movement, while trace is what movement carries, inherits, deposits, or leaves for later return. A footprint carries movement after the body has left, a scar carries an event, a ritual gesture carries earlier enactments, an idiom carries prior uses and expectations, and a narrative carries histories that remain active after their original speakers have disappeared. Trace therefore crosses every level of meaning rather than competing with gesture for the first place.</w:t>
      </w:r>
    </w:p>
    <w:p>
      <w:pPr>
        <w:pStyle w:val="Body"/>
        <w:keepLines w:val="0"/>
        <w:widowControl/>
        <w:ind w:firstLine="374"/>
      </w:pPr>
      <w:r>
        <w:rPr>
          <w:rFonts w:ascii="EB Garamond" w:hAnsi="EB Garamond"/>
          <w:b w:val="0"/>
          <w:i w:val="0"/>
        </w:rPr>
        <w:t>Gesture enlarges into idiom and ritual through a chicken-and-egg relation. Belief can organize ritual when a phrase, command, story, law, or inherited interpretation tells participants what to do and what the act means. Ritual can also produce belief when repeated performance creates belonging, expectation, memory, and a vocabulary through which participants later understand what they have enacted. Edward Shils assumes that beliefs can exist without ritual while ritual depends on belief. Pascal and Žižek reverse the emphasis through the proposition that acting as if one already believes can materialize a belief that the participant did not know was already operating. Neither route owns the origin because idiom and ritual continue forming one another. A phrase such as show respect, say grace, thoughts and prayers, educate yourself, set boundaries, or stand for the anthem can invoke a social script, while repeated social practices generate the phrases through which the practice becomes portable.</w:t>
      </w:r>
    </w:p>
    <w:p>
      <w:pPr>
        <w:pStyle w:val="Body"/>
        <w:keepLines w:val="0"/>
        <w:widowControl/>
        <w:ind w:firstLine="374"/>
      </w:pPr>
      <w:r>
        <w:rPr>
          <w:rFonts w:ascii="EB Garamond" w:hAnsi="EB Garamond"/>
          <w:b w:val="0"/>
          <w:i w:val="0"/>
        </w:rPr>
        <w:t>Ritual names repetition together with the social world carried by repetition. Habit foregrounds recurrence, while ritual foregrounds inherited traces, relationships, expectations, collective recognition, symbolic orders, and the tension between persistence and change. The boundary remains a gradient of ritual salience rather than a rigid division. Brushing teeth can be treated as a habit, yet it becomes visible as ritual when the inquiry includes childhood teaching, schedules, cleanliness, contamination, discipline, health, social acceptability, and the inherited expectations that make the act feel natural. Endless scrolling, queueing at a cafe, water-cooler conversation, weekly singing, mourning, gaming, grooming, gift-giving, and the rituals of addiction and recovery occupy different degrees of salience inside a society already participating in ceremony.</w:t>
      </w:r>
    </w:p>
    <w:p>
      <w:pPr>
        <w:pStyle w:val="Body"/>
        <w:keepLines w:val="0"/>
        <w:widowControl/>
        <w:ind w:firstLine="374"/>
      </w:pPr>
      <w:r>
        <w:rPr>
          <w:rFonts w:ascii="EB Garamond" w:hAnsi="EB Garamond"/>
          <w:b w:val="0"/>
          <w:i w:val="0"/>
        </w:rPr>
        <w:t>Ritual is an ambiguous supplement, a pharmakon capable of life and death, ease and pathology, belonging and exclusion, continuity and constraint. Habits make a world habitable by reducing the need to define every situation anew, while the same ease can mechanize bodies and institutions until inherited responses replace judgment. The question of ritual therefore concerns neither simple celebration nor simple resistance. It concerns which potential a repetition frees, which potential it imprisons, what trace it carries, and how the present participant can redirect its next enactment. Reading and writing are themselves derivatives of ritual because they repeat gestures, forms, sequences, and expectations while opening the possibility that repetition will create another meaning.</w:t>
      </w:r>
    </w:p>
    <w:p>
      <w:pPr>
        <w:pStyle w:val="Body"/>
        <w:keepLines w:val="0"/>
        <w:widowControl/>
        <w:ind w:firstLine="374"/>
      </w:pPr>
      <w:r>
        <w:rPr>
          <w:rFonts w:ascii="EB Garamond" w:hAnsi="EB Garamond"/>
          <w:b w:val="0"/>
          <w:i w:val="0"/>
        </w:rPr>
        <w:t>An idiom is a portable linguistic form that compresses a larger social performance into a phrase, rhythm, response, or expected turn. Some idioms carry strong ritual scripts, while others carry weaker forms of expectation, and the framework therefore avoids reducing every idiom to ritual. A hivemindidiom is the shortest and most dangerous form of Ouroboros inside Contentinternet because it cites itself, prepackages the response, and exports the hard work and accountability of thinking. The phrase returns before another subject can enter. It can become an earworm, a rule of affiliation, a denial of dialogue, or a way of converting a complex work into the one overfamiliar line everyone already knows. A chain of these phrases becomes snakelogic because each shortcut appears to advance the argument while passing the unresolved work into another shortcut. The Idiomary studies these loops because language can carry both the snake that closes thought and the counter-movement that opens it.</w:t>
      </w:r>
    </w:p>
    <w:p>
      <w:pPr>
        <w:pStyle w:val="Body"/>
        <w:keepLines w:val="0"/>
        <w:widowControl/>
        <w:ind w:firstLine="374"/>
      </w:pPr>
      <w:r>
        <w:rPr>
          <w:rFonts w:ascii="EB Garamond" w:hAnsi="EB Garamond"/>
          <w:b w:val="0"/>
          <w:i w:val="0"/>
        </w:rPr>
        <w:t>Narrative organizes gesture, idiom, and ritual through time by establishing agents, events, sequence, motive, consequence, perspective, conflict, transformation, possible worlds, beginnings, and endings, and it can move through speech, writing, film, dance, procession, image, music, architecture, digital interaction, and ritual performance while also feeding downward into the forms it organizes. A narrative supplies a world, an idiom invokes a script, a ritual organizes enactment, and gesture performs the movement. The enactment can then alter the narrative that authorized it. Compression grows more powerful at each scale because a story can coordinate a whole history through one memorable form, and the same power can erase complexity, objectify a subject, or make cancellation feel inevitable.</w:t>
      </w:r>
    </w:p>
    <w:p>
      <w:pPr>
        <w:pStyle w:val="Body"/>
        <w:keepLines w:val="0"/>
        <w:widowControl/>
        <w:ind w:firstLine="374"/>
      </w:pPr>
      <w:r>
        <w:rPr>
          <w:rFonts w:ascii="EB Garamond" w:hAnsi="EB Garamond"/>
          <w:b w:val="0"/>
          <w:i w:val="0"/>
        </w:rPr>
        <w:t xml:space="preserve">Myth names the configuration in which gesture, idiom, ritual, narrative, inherited trace, social enactment, and world orientation operate together. Mythology and reality intertwine because myths provide patterns through which reality is selected and reality supplies new events through which myths are revised. The boundary between fiction and nonfiction becomes a methodological crossing where an invented figure can reveal an operation active in the world and a real event can enter the mythic patterns through which participants recognize it. Polymorphousmythology keeps these patterns in motion by following recurrence across characters, works, actors, cultures, and histories while preserving each iteration. Ryan Gosling is K in </w:t>
      </w:r>
      <w:r>
        <w:rPr>
          <w:rFonts w:ascii="EB Garamond" w:hAnsi="EB Garamond"/>
          <w:b w:val="0"/>
          <w:i/>
        </w:rPr>
        <w:t>Blade Runner 2049</w:t>
      </w:r>
      <w:r>
        <w:rPr>
          <w:rFonts w:ascii="EB Garamond" w:hAnsi="EB Garamond"/>
          <w:b w:val="0"/>
          <w:i w:val="0"/>
        </w:rPr>
        <w:t xml:space="preserve"> and Ken in </w:t>
      </w:r>
      <w:r>
        <w:rPr>
          <w:rFonts w:ascii="EB Garamond" w:hAnsi="EB Garamond"/>
          <w:b w:val="0"/>
          <w:i/>
        </w:rPr>
        <w:t>Barbie</w:t>
      </w:r>
      <w:r>
        <w:rPr>
          <w:rFonts w:ascii="EB Garamond" w:hAnsi="EB Garamond"/>
          <w:b w:val="0"/>
          <w:i w:val="0"/>
        </w:rPr>
        <w:t>, while Harrison Ford is Deckard and Han Solo. Each character remains particular while the actor becomes a route through which the roles illuminate one another and create a meaning unavailable from any one performance. This is dialectical recursion rather than a claim that all characters are identical. Every new iteration can add another layer and turn the static archetype into a moving constellation.</w:t>
      </w:r>
    </w:p>
    <w:p>
      <w:pPr>
        <w:pStyle w:val="Body"/>
        <w:keepLines w:val="0"/>
        <w:widowControl/>
        <w:ind w:firstLine="374"/>
      </w:pPr>
      <w:r>
        <w:rPr>
          <w:rFonts w:ascii="EB Garamond" w:hAnsi="EB Garamond"/>
          <w:b w:val="0"/>
          <w:i w:val="0"/>
        </w:rPr>
        <w:t>Writing can become de-Gorgonification because sustained composition demands a longer circle than the quick rationality of the hivemindidiom, yet a book can also become a Gorgonified product when it closes every opening, protects itself from external logic, or reduces its own argument to a slogan. The familiar reduction of Arendt to the banality of evil shows how a whole work can be replaced by an available phrase whose recognizability impersonates understanding. Petrification means cancellation and names blocking, banning, shadowbanning, removing a person or work from discourse, making the source inaccessible, and obelisking the subject under a replacement narrative. Solidification is the obvious Medusa interpretation, and its very obviousness makes it an exemplary form of platformstrawmanculture because the reader recognizes the association and mistakes recognition for analysis. Gorgonification names the formation that turns living meaning into an enforcing line. Petrification names what that formation does to the subject or work it removes. The danger can enter at every scale because a gesture, idiom, ritual, narrative, reflection, dialogue, seminar, citation, history, tradition, or even polymorphousmythology can become gorgonified once the permitted response has been fixed in advance.</w:t>
      </w:r>
    </w:p>
    <w:p>
      <w:pPr>
        <w:pStyle w:val="Heading1"/>
        <w:keepNext/>
        <w:pageBreakBefore w:val="0"/>
        <w:pBdr>
          <w:bottom w:val="single" w:sz="5" w:space="1" w:color="1F4E79"/>
        </w:pBdr>
      </w:pPr>
      <w:r>
        <w:rPr>
          <w:rFonts w:ascii="EB Garamond" w:hAnsi="EB Garamond"/>
          <w:b/>
          <w:i w:val="0"/>
          <w:color w:val="1F4E79"/>
          <w:sz w:val="34"/>
        </w:rPr>
        <w:t>THE COLLECTIVE RITUAL</w:t>
      </w:r>
    </w:p>
    <w:p>
      <w:pPr>
        <w:pStyle w:val="Body"/>
        <w:keepLines w:val="0"/>
        <w:widowControl/>
        <w:ind w:firstLine="0"/>
      </w:pPr>
      <w:r>
        <w:rPr>
          <w:rFonts w:ascii="EB Garamond" w:hAnsi="EB Garamond"/>
          <w:b w:val="0"/>
          <w:i w:val="0"/>
        </w:rPr>
        <w:t>Reflection turns a movement back upon itself, while monologue names the social form through which one voice may or may not perform that return. A monologue can repeat an idiom without reflection, and reflection can occur through writing, movement, art, ritual, model revision, or silence. The relevant form is reflective monologue, where one circle examines how its assumptions, categories, and routes were produced. Reflection and refraction then separate the view from the fullest subject the inquiry can presently reconstruct. Several people walking around a statue each encounter a real side, while no angle contains the entire statue. Comparison can widen understanding without pretending that every angle is equally accurate or that the whole has finally become available. Knowledge approaches its subject asymptotically through evidence, other perspectives, and repeated correction.</w:t>
      </w:r>
    </w:p>
    <w:p>
      <w:pPr>
        <w:pStyle w:val="Body"/>
        <w:keepLines w:val="0"/>
        <w:widowControl/>
        <w:ind w:firstLine="374"/>
      </w:pPr>
      <w:r>
        <w:rPr>
          <w:rFonts w:ascii="EB Garamond" w:hAnsi="EB Garamond"/>
          <w:b w:val="0"/>
          <w:i w:val="0"/>
        </w:rPr>
        <w:t>Ouroborosanalysis gives this reflection a discipline that prevents unresolved questions from being manufactured through incomplete review. It reviews the whole discussion or body of work, strengthens every position into its strongest defensible form, answers the strongest criticisms that can already be answered, and preserves only the questions that remain genuinely unresolved. Repeated passes move from visible argument to source, assumption, method, category, contradiction, and the habits of reasoning that produced the earlier return. The process avoids turning every passing uncertainty into labour for another person because the circle must first answer what it can from within. The unresolved remainder then becomes a real question capable of entering dialogue.</w:t>
      </w:r>
    </w:p>
    <w:p>
      <w:pPr>
        <w:pStyle w:val="Body"/>
        <w:keepLines w:val="0"/>
        <w:widowControl/>
        <w:ind w:firstLine="374"/>
      </w:pPr>
      <w:r>
        <w:rPr>
          <w:rFonts w:ascii="EB Garamond" w:hAnsi="EB Garamond"/>
          <w:b w:val="0"/>
          <w:i w:val="0"/>
        </w:rPr>
        <w:t>Dialogue begins when another subject changes the route through which thought returns to itself. Two people delivering prepared speeches remain two adjacent monologues. The figure eight appears when each participant passes through a shared crossing and comes back altered. The crossing may be listening, disagreement, translation, a shared question, a common text, mutual recognition, conflict, or vulnerability to revision. The second-person subject matters because the other can answer, resist, refuse, surprise, and disclose a perspective unavailable from inside the first circle. A handshake gives a modest model of relation that can remain meaningful without total agreement. Two subjects enter a recognized form, preserve their distinct positions, and establish relation without requiring complete agreement or a fully articulated common narrative. The practice leaves maximum space for uniqueness and creativity because the gesture specifies neither the whole meaning of the relation nor everything that must follow from it, yet trust and mutual recognition can still arise through the shared act. Where we come to the edge of ourselves, we find the humanity in others, and the same structure can reach beyond humanity wherever another sentient centre can respond from a circle of its own.</w:t>
      </w:r>
    </w:p>
    <w:p>
      <w:pPr>
        <w:pStyle w:val="Body"/>
        <w:keepLines w:val="0"/>
        <w:widowControl/>
        <w:ind w:firstLine="374"/>
      </w:pPr>
      <w:r>
        <w:rPr>
          <w:rFonts w:ascii="EB Garamond" w:hAnsi="EB Garamond"/>
          <w:b w:val="0"/>
          <w:i w:val="0"/>
        </w:rPr>
        <w:t>Synergy appears when the relation produces a third meaning, capacity, practice, or possibility that existed fully in neither participant beforehand. Relay can allow one subject to complete another subject's movement, while synergy alters both movements and creates another point. Dialogue is therefore the elementary social form of polymorphousmythology. Distinct circles cross, preserve their differences, and produce surplus through relation. A conversation can still fail through domination, withdrawal, mechanical agreement, or the reduction of the other into evidence for a conclusion already chosen, so the figure eight represents an achievement rather than the mere presence of two speakers.</w:t>
      </w:r>
    </w:p>
    <w:p>
      <w:pPr>
        <w:pStyle w:val="Body"/>
        <w:keepLines w:val="0"/>
        <w:widowControl/>
        <w:ind w:firstLine="374"/>
      </w:pPr>
      <w:r>
        <w:rPr>
          <w:rFonts w:ascii="EB Garamond" w:hAnsi="EB Garamond"/>
          <w:b w:val="0"/>
          <w:i w:val="0"/>
        </w:rPr>
        <w:t>Many figure-eight dialogues can gather around a shared question, passage, event, artwork, problem, or ritual and form the seminar rosette. Each loop preserves a local exchange while the larger circle returns collectively to the shared point. A seminar requires more than numerical accumulation because the gathering must organize exchange around a shared return. It needs a gathering ritual, rules of address, shared evidence, collective memory, opportunities for later re-entry, and a way to preserve unresolved differences without converting the room into permanent indecision. The facilitator asks a question that supports several defensible answers, tracks claims, requests evidence, exposes assumptions while preserving dignity, distinguishes people who use one word differently, follows one thread deeper, identifies the stake of disagreement, recognizes exhausted agreement, and allows a productive paradox to remain open. This is the Sabachtan Socratic Dialogic Method, a practice of carrying abandonment and painful wholeness without using uncertainty as a weapon against participation.</w:t>
      </w:r>
    </w:p>
    <w:p>
      <w:pPr>
        <w:spacing w:before="120" w:after="60"/>
        <w:jc w:val="center"/>
      </w:pPr>
      <w:r>
        <w:drawing>
          <wp:inline xmlns:a="http://schemas.openxmlformats.org/drawingml/2006/main" xmlns:pic="http://schemas.openxmlformats.org/drawingml/2006/picture">
            <wp:extent cx="5394960" cy="5394960"/>
            <wp:docPr id="1" name="Picture 1"/>
            <wp:cNvGraphicFramePr>
              <a:graphicFrameLocks noChangeAspect="1"/>
            </wp:cNvGraphicFramePr>
            <a:graphic>
              <a:graphicData uri="http://schemas.openxmlformats.org/drawingml/2006/picture">
                <pic:pic>
                  <pic:nvPicPr>
                    <pic:cNvPr id="0" name="image(142).png"/>
                    <pic:cNvPicPr/>
                  </pic:nvPicPr>
                  <pic:blipFill>
                    <a:blip r:embed="rId13"/>
                    <a:stretch>
                      <a:fillRect/>
                    </a:stretch>
                  </pic:blipFill>
                  <pic:spPr>
                    <a:xfrm>
                      <a:off x="0" y="0"/>
                      <a:ext cx="5394960" cy="5394960"/>
                    </a:xfrm>
                    <a:prstGeom prst="rect"/>
                  </pic:spPr>
                </pic:pic>
              </a:graphicData>
            </a:graphic>
          </wp:inline>
        </w:drawing>
      </w:r>
    </w:p>
    <w:p>
      <w:pPr>
        <w:pStyle w:val="Movement"/>
        <w:jc w:val="center"/>
      </w:pPr>
      <w:r>
        <w:rPr>
          <w:rFonts w:ascii="EB Garamond" w:hAnsi="EB Garamond"/>
          <w:b w:val="0"/>
          <w:i/>
          <w:color w:val="666666"/>
          <w:sz w:val="18"/>
        </w:rPr>
        <w:t>The seminar rosette preserves local figure-eight dialogues inside one collective return.</w:t>
      </w:r>
    </w:p>
    <w:p>
      <w:pPr>
        <w:pStyle w:val="Body"/>
        <w:keepLines w:val="0"/>
        <w:widowControl/>
        <w:ind w:firstLine="374"/>
      </w:pPr>
      <w:r>
        <w:rPr>
          <w:rFonts w:ascii="EB Garamond" w:hAnsi="EB Garamond"/>
          <w:b w:val="0"/>
          <w:i w:val="0"/>
        </w:rPr>
        <w:t>The seminar moves in two directions at once. It returns inward when each participant reflects on what changed, which contradiction was rooted out, which paradox became richer, which voice revealed an unseen side, and which question begins the next circle. It travels outward through citation, history, and tradition when the collective movement reaches people who were absent from the room. The reflective transcript makes the facilitator's own questions part of the material for later review. The seminar can still become a Tiny Ouroboros through ritualized agreement, a Bloated Python through endless citation, or a predatory loop through predetermined answers that turn participants into enforcers. A genuine collective return preserves the figure eights inside the larger circle and allows every participant to remain a second-person subject.</w:t>
      </w:r>
    </w:p>
    <w:p>
      <w:pPr>
        <w:pStyle w:val="Body"/>
        <w:keepLines w:val="0"/>
        <w:widowControl/>
        <w:ind w:firstLine="374"/>
      </w:pPr>
      <w:r>
        <w:rPr>
          <w:rFonts w:ascii="EB Garamond" w:hAnsi="EB Garamond"/>
          <w:b w:val="0"/>
          <w:i w:val="0"/>
        </w:rPr>
        <w:t>Citation operates as relay and trace by carrying a movement beyond the subjects immediately present. It acknowledges that the present movement did not begin entirely here and gives later participants a route back to the source. Citation can preserve exact language, transmit a question, challenge an inheritance, or reconnect a forgotten movement to the Long Ouroboros. It can also become authority display, scholastic enclosure, or accumulation without return. The difference lies in whether the cited movement is allowed to alter the present inquiry and whether the present inquiry remains answerable to what the source actually said. Verbatim preservation matters because a phrase, joke, rhythm, definition, contradiction, and conceptual mutation can be the evidence. Archivalchemy keeps the source recognizable while placing it into a new relation that changes what can be seen through it.</w:t>
      </w:r>
    </w:p>
    <w:p>
      <w:pPr>
        <w:pStyle w:val="Body"/>
        <w:keepLines w:val="0"/>
        <w:widowControl/>
        <w:ind w:firstLine="374"/>
      </w:pPr>
      <w:r>
        <w:rPr>
          <w:rFonts w:ascii="EB Garamond" w:hAnsi="EB Garamond"/>
          <w:b w:val="0"/>
          <w:i w:val="0"/>
        </w:rPr>
        <w:t>History accumulates movements, traces, citations, rituals, cancellations, reinterpretations, and consequences across time. Later events can return to change what an origin means, while suppressed movements can re-enter through archives, reenactment, testimony, and rediscovery. History therefore creates another Full Circle in which the ending interprets the beginning and becomes material for another beginning. Tradition appears when historical movements are repeatedly transmitted, taught, enacted, remembered, contested, and revised. A living tradition preserves forms while allowing present participants and changed conditions to alter the meaning of repetition. A gorgonified tradition predetermines the answer, treats reinterpretation as betrayal, recruits participants as enforcers, and petrifies the dissenter. Resuscitated traditions carry both possibilities because recovered forms can reopen meaning or rebuild absolutist structures. They can reanimate lost capacities or become absolutist structures protected from response.</w:t>
      </w:r>
    </w:p>
    <w:p>
      <w:pPr>
        <w:pStyle w:val="Body"/>
        <w:keepLines w:val="0"/>
        <w:widowControl/>
        <w:ind w:firstLine="374"/>
      </w:pPr>
      <w:r>
        <w:rPr>
          <w:rFonts w:ascii="EB Garamond" w:hAnsi="EB Garamond"/>
          <w:b w:val="0"/>
          <w:i w:val="0"/>
        </w:rPr>
        <w:t>Collective ritual is a kind of synergy because it coordinates bodies, gestures, idioms, narratives, technologies, spaces, institutions, memories, expectations, absences, and inherited traces into an event that belongs to every participant and exceeds each participant. Collective Devaluation Paradox names the reverse possibility in which individually useful or rational repetitions accumulate into a collective loss. The same structure can hold a family meal, classroom, funeral, protest, ceremony, workplace, online exchange, pilgrimage, or civic response to crisis. Ritual can bring individual experience into relation with collective action and create a sublime balance between the particular and the universal, yet it can also produce collective devaluation when individually rational repetitions diminish the common world. The longer Ouroboros reaches into the black hole of collective historical trauma because it makes room for movements whose burdens cannot be processed by one subject alone.</w:t>
      </w:r>
    </w:p>
    <w:p>
      <w:pPr>
        <w:pStyle w:val="Body"/>
        <w:keepLines w:val="0"/>
        <w:widowControl/>
        <w:ind w:firstLine="374"/>
      </w:pPr>
      <w:r>
        <w:rPr>
          <w:rFonts w:ascii="EB Garamond" w:hAnsi="EB Garamond"/>
          <w:b w:val="0"/>
          <w:i w:val="0"/>
        </w:rPr>
        <w:t>We are all ritual practitioners and inscribers because every response reinforces, redirects, or leaves another trace inside the forms through which collective life continues. The responsibility is to heal ghosts of collective trauma without pretending that one universal form can contain every wound. Encountering another perspective from the utmost periphery can reveal how each position exists in a constitutive relationship with its own outside, and civic ritual can create shared spaces in which painful wholeness becomes bearable without requiring differences to disappear. The task reaches beyond the individual because collective historical wounds are carried through institutions, languages, bodies, habits, media, environments, and the rituals by which a society decides whose burdens count. Collective ritual becomes a possible route toward repair when participants accept responsibility for inheritances they did not originally believe were theirs.</w:t>
      </w:r>
    </w:p>
    <w:p>
      <w:pPr>
        <w:pStyle w:val="Body"/>
        <w:keepLines w:val="0"/>
        <w:widowControl/>
        <w:ind w:firstLine="374"/>
      </w:pPr>
      <w:r>
        <w:rPr>
          <w:rFonts w:ascii="EB Garamond" w:hAnsi="EB Garamond"/>
          <w:b w:val="0"/>
          <w:i w:val="0"/>
        </w:rPr>
        <w:t>The widening movement can now be pictured without asking the geometry to prove a cosmology. One reflective subject forms a circle, while two subjects who change one another form a figure eight. Many dialogues held inside one collective return form the seminar rosette. When several collective circles overlap, they create the flowerlike arrangement commonly called the Flower of Life. Each overlap represents a shared field in which a person, text, ritual, question, tradition, or myth participates in more than one circle, while each centre remains local rather than becoming the one absolute centre of the whole. The pattern shows living multiplication through overlap and makes visible how every shared field can create another place from which movement begins.</w:t>
      </w:r>
    </w:p>
    <w:p>
      <w:pPr>
        <w:pStyle w:val="Body"/>
        <w:keepLines w:val="0"/>
        <w:widowControl/>
        <w:ind w:firstLine="374"/>
      </w:pPr>
      <w:r>
        <w:rPr>
          <w:rFonts w:ascii="EB Garamond" w:hAnsi="EB Garamond"/>
          <w:b w:val="0"/>
          <w:i w:val="0"/>
        </w:rPr>
        <w:t>When lines are drawn among the centres and crossings produced by those overlapping circles, the pattern commonly called Metatron's Cube becomes a model for explicit relation. The lines can represent citation, influence, translation, correspondence, disagreement, pedagogical transmission, ritual inheritance, historical relay, and the movement by which one circle changes another. The point produced the line, the line bent into a circle, several circles created new points through overlap, and those new points produced new lines at a larger scale. The original geometry therefore completes and begins again without losing the path by which it grew.</w:t>
      </w:r>
    </w:p>
    <w:p>
      <w:pPr>
        <w:pStyle w:val="Body"/>
        <w:keepLines w:val="0"/>
        <w:widowControl/>
        <w:ind w:firstLine="374"/>
      </w:pPr>
      <w:r>
        <w:rPr>
          <w:rFonts w:ascii="EB Garamond" w:hAnsi="EB Garamond"/>
          <w:b w:val="0"/>
          <w:i w:val="0"/>
        </w:rPr>
        <w:t>Indra's Web opens the bounded pattern into potentially unlimited interreflection. Every point appears as a jewel, every jewel reflects other jewels, and every relation changes what can appear through the connected points. The jewel remains singular because its position, history, and experience cannot be exchanged without loss, while its possibilities arise through connections that preceded it and will continue beyond it. The node exists through its connections and the connections exist through their nodes. The point can therefore be primitive in the order of presentation and relational in the order of meaning. It comes first in the chapter because the reader needs a position from which to begin, while the web comes first as the always-already condition that allowed any meaningful point to appear.</w:t>
      </w:r>
    </w:p>
    <w:p>
      <w:pPr>
        <w:pStyle w:val="Body"/>
        <w:keepLines w:val="0"/>
        <w:widowControl/>
        <w:ind w:firstLine="374"/>
      </w:pPr>
      <w:r>
        <w:rPr>
          <w:rFonts w:ascii="EB Garamond" w:hAnsi="EB Garamond"/>
          <w:b w:val="0"/>
          <w:i w:val="0"/>
        </w:rPr>
        <w:t>The point is discovered as a jewel because the movement has gradually revealed the language, memory, embodiment, gesture, ritual, narrative, history, and other subjects that were already active inside its apparent isolation. The circle has returned to the point after travelling far enough to show that the point carried the web before the point knew how to see it. Its singularity remains through the return even as its imagined isolation disappears.</w:t>
      </w:r>
    </w:p>
    <w:p>
      <w:pPr>
        <w:pStyle w:val="Body"/>
        <w:keepLines w:val="0"/>
        <w:widowControl/>
        <w:ind w:firstLine="374"/>
      </w:pPr>
      <w:r>
        <w:rPr>
          <w:rFonts w:ascii="EB Garamond" w:hAnsi="EB Garamond"/>
          <w:b w:val="0"/>
          <w:i w:val="0"/>
        </w:rPr>
        <w:t>Polymyth is a collective ritual that is always already happening. People participate by pointing, naming, defining, speaking, listening, repeating, imitating, interpreting, citing, storytelling, platforming, remembering, forgetting, enforcing, translating, refusing, and combining. Mythologies meet in ordinary perception before anyone develops a methodology for following them, and collective rituals form before their participants clearly understand what they are carrying. Polymorphousmythology makes this ongoing process visible, reflective, contestable, and increasingly deliberate. It follows how distinct meaning-circles enter one another, preserves the differences required for synergy, roots out contradictions, keeps productive paradoxes alive, and allows the surplus of one relation to become the point from which another begins.</w:t>
      </w:r>
    </w:p>
    <w:p>
      <w:pPr>
        <w:pStyle w:val="Body"/>
        <w:keepLines w:val="0"/>
        <w:widowControl/>
        <w:ind w:firstLine="374"/>
      </w:pPr>
      <w:r>
        <w:rPr>
          <w:rFonts w:ascii="EB Garamond" w:hAnsi="EB Garamond"/>
          <w:b w:val="0"/>
          <w:i w:val="0"/>
        </w:rPr>
        <w:t>The reader has already entered the ritual by following points, accepting or resisting definitions, tracing words through other words, recalling texts, recognizing patterns, interpreting gestures, and connecting the chapter with experiences beyond it. Chapter 0 becomes a Deep Ouroboros through the internal form of its movement, while the reader reopens it and returns it to the Long Ouroboros of dialogue, citation, history, and tradition. The chapter performs the process it describes because reading adds another subject whose response can alter the work's later movement.</w:t>
      </w:r>
    </w:p>
    <w:p>
      <w:pPr>
        <w:pStyle w:val="Body"/>
        <w:keepLines w:val="0"/>
        <w:widowControl/>
        <w:ind w:firstLine="374"/>
      </w:pPr>
      <w:r>
        <w:rPr>
          <w:rFonts w:ascii="EB Garamond" w:hAnsi="EB Garamond"/>
          <w:b w:val="0"/>
          <w:i w:val="0"/>
        </w:rPr>
        <w:t>The final realization gathers every scale into the point from which the chapter began. Full Circle names the return through which the starting point becomes intelligible. Synergy names the surplus produced when distinct circles meet. Intellectual orgasm names the felt moment when the point, line, circle, figure eight, seminar rosette, Flower of Life, Metatron's Cube, and Indra's Web become visible as movements inside one another. The first point looked alone because the chapter began with an abstraction. The returned point carries the whole web in compressed form and remains one jewel among other jewels. Collective ritual is a kind of synergy, polymyth is a collective ritual that is always already happening, and realizing this is where Chapter 0 ends.</w:t>
      </w:r>
    </w:p>
    <w:p>
      <w:pPr>
        <w:pStyle w:val="Heading1"/>
        <w:keepNext/>
        <w:pageBreakBefore w:val="0"/>
        <w:pBdr>
          <w:bottom w:val="single" w:sz="5" w:space="1" w:color="1F4E79"/>
        </w:pBdr>
      </w:pPr>
      <w:r>
        <w:rPr>
          <w:rFonts w:ascii="EB Garamond" w:hAnsi="EB Garamond"/>
          <w:b/>
          <w:i w:val="0"/>
          <w:color w:val="1F4E79"/>
          <w:sz w:val="34"/>
        </w:rPr>
        <w:t>WORKING MOVEMENT MAP</w:t>
      </w:r>
    </w:p>
    <w:p>
      <w:pPr>
        <w:pStyle w:val="Movement"/>
      </w:pPr>
      <w:r>
        <w:rPr>
          <w:rFonts w:ascii="EB Garamond" w:hAnsi="EB Garamond"/>
          <w:b w:val="0"/>
          <w:i/>
          <w:color w:val="666666"/>
          <w:sz w:val="18"/>
        </w:rPr>
        <w:t>Point → Subject and Object → pointing and question → naming → provisional definition → identity → equivalence, analogy, correspondence, and recurrence → number and model → line → encounters bend the line → curve → return → Ouroboros → paradox or contradiction → correction and sublation → Tiny Ouroboros, Bloated Python, Full Circle, Deep Ouroboros, Long Ouroboros, trace, relay, historical return, predatory loop, or synergy → Occam's Razor and the stopping point → DENOTE → exegesis → gesture → idiom and ritual in reciprocal formation → narrative → myth → reflection and refraction → Ouroborosanalysis → dialogue → seminar → renewed reflection and citation → history → tradition → collective ritual → Flower of Life → Metatron's Cube → Indra's Web → polymyth as the collective ritual already underway → the point discovered as a jewel → Full Circle, synergy, and intellectual orgasm.</w:t>
      </w:r>
    </w:p>
    <w:p>
      <w:pPr>
        <w:pStyle w:val="Heading1"/>
        <w:keepNext/>
        <w:pageBreakBefore w:val="0"/>
        <w:pBdr>
          <w:bottom w:val="single" w:sz="5" w:space="1" w:color="1F4E79"/>
        </w:pBdr>
      </w:pPr>
      <w:r>
        <w:rPr>
          <w:rFonts w:ascii="EB Garamond" w:hAnsi="EB Garamond"/>
          <w:b/>
          <w:i w:val="0"/>
          <w:color w:val="1F4E79"/>
          <w:sz w:val="34"/>
        </w:rPr>
        <w:t>FULL CIRCLE INDEX</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3384"/>
            <w:shd w:fill="1F4E79"/>
            <w:vAlign w:val="center"/>
            <w:tcMar>
              <w:top w:w="90" w:type="dxa"/>
              <w:start w:w="90" w:type="dxa"/>
              <w:bottom w:w="90" w:type="dxa"/>
              <w:end w:w="90" w:type="dxa"/>
            </w:tcMar>
          </w:tcPr>
          <w:p>
            <w:pPr>
              <w:jc w:val="center"/>
            </w:pPr>
            <w:r>
              <w:rPr>
                <w:rFonts w:ascii="EB Garamond" w:hAnsi="EB Garamond"/>
                <w:b/>
                <w:color w:val="FFFFFF"/>
                <w:sz w:val="18"/>
              </w:rPr>
              <w:t>What the return produces</w:t>
            </w:r>
          </w:p>
        </w:tc>
        <w:tc>
          <w:tcPr>
            <w:tcW w:type="dxa" w:w="3384"/>
            <w:shd w:fill="1F4E79"/>
            <w:vAlign w:val="center"/>
            <w:tcMar>
              <w:top w:w="90" w:type="dxa"/>
              <w:start w:w="90" w:type="dxa"/>
              <w:bottom w:w="90" w:type="dxa"/>
              <w:end w:w="90" w:type="dxa"/>
            </w:tcMar>
          </w:tcPr>
          <w:p>
            <w:pPr>
              <w:jc w:val="center"/>
            </w:pPr>
            <w:r>
              <w:rPr>
                <w:rFonts w:ascii="EB Garamond" w:hAnsi="EB Garamond"/>
                <w:b/>
                <w:color w:val="FFFFFF"/>
                <w:sz w:val="18"/>
              </w:rPr>
              <w:t>How the return occurs</w:t>
            </w:r>
          </w:p>
        </w:tc>
        <w:tc>
          <w:tcPr>
            <w:tcW w:type="dxa" w:w="2880"/>
            <w:shd w:fill="1F4E79"/>
            <w:vAlign w:val="center"/>
            <w:tcMar>
              <w:top w:w="90" w:type="dxa"/>
              <w:start w:w="90" w:type="dxa"/>
              <w:bottom w:w="90" w:type="dxa"/>
              <w:end w:w="90" w:type="dxa"/>
            </w:tcMar>
          </w:tcPr>
          <w:p>
            <w:pPr>
              <w:jc w:val="center"/>
            </w:pPr>
            <w:r>
              <w:rPr>
                <w:rFonts w:ascii="EB Garamond" w:hAnsi="EB Garamond"/>
                <w:b/>
                <w:color w:val="FFFFFF"/>
                <w:sz w:val="18"/>
              </w:rPr>
              <w:t>How completion feels</w:t>
            </w:r>
          </w:p>
        </w:tc>
      </w:tr>
      <w:tr>
        <w:trPr>
          <w:cantSplit/>
        </w:trPr>
        <w:tc>
          <w:tcPr>
            <w:tcW w:type="dxa" w:w="3384"/>
            <w:tcMar>
              <w:top w:w="70" w:type="dxa"/>
              <w:start w:w="85" w:type="dxa"/>
              <w:bottom w:w="70" w:type="dxa"/>
              <w:end w:w="85" w:type="dxa"/>
            </w:tcMar>
          </w:tcPr>
          <w:p>
            <w:pPr>
              <w:spacing w:after="0"/>
            </w:pPr>
            <w:r>
              <w:rPr>
                <w:rFonts w:ascii="EB Garamond" w:hAnsi="EB Garamond"/>
                <w:color w:val="1F2933"/>
                <w:sz w:val="18"/>
              </w:rPr>
              <w:t>1. Synergy</w:t>
            </w:r>
          </w:p>
        </w:tc>
        <w:tc>
          <w:tcPr>
            <w:tcW w:type="dxa" w:w="3384"/>
            <w:tcMar>
              <w:top w:w="70" w:type="dxa"/>
              <w:start w:w="85" w:type="dxa"/>
              <w:bottom w:w="70" w:type="dxa"/>
              <w:end w:w="85" w:type="dxa"/>
            </w:tcMar>
          </w:tcPr>
          <w:p>
            <w:pPr>
              <w:spacing w:after="0"/>
            </w:pPr>
            <w:r>
              <w:rPr>
                <w:rFonts w:ascii="EB Garamond" w:hAnsi="EB Garamond"/>
                <w:color w:val="1F2933"/>
                <w:sz w:val="18"/>
              </w:rPr>
              <w:t>1. Reflexivity</w:t>
            </w:r>
          </w:p>
        </w:tc>
        <w:tc>
          <w:tcPr>
            <w:tcW w:type="dxa" w:w="2880"/>
            <w:tcMar>
              <w:top w:w="70" w:type="dxa"/>
              <w:start w:w="85" w:type="dxa"/>
              <w:bottom w:w="70" w:type="dxa"/>
              <w:end w:w="85" w:type="dxa"/>
            </w:tcMar>
          </w:tcPr>
          <w:p>
            <w:pPr>
              <w:spacing w:after="0"/>
            </w:pPr>
            <w:r>
              <w:rPr>
                <w:rFonts w:ascii="EB Garamond" w:hAnsi="EB Garamond"/>
                <w:color w:val="1F2933"/>
                <w:sz w:val="18"/>
              </w:rPr>
              <w:t>1. Intellectual orgasm</w:t>
            </w:r>
          </w:p>
        </w:tc>
      </w:tr>
      <w:tr>
        <w:trPr>
          <w:cantSplit/>
        </w:trPr>
        <w:tc>
          <w:tcPr>
            <w:tcW w:type="dxa" w:w="3384"/>
            <w:tcMar>
              <w:top w:w="70" w:type="dxa"/>
              <w:start w:w="85" w:type="dxa"/>
              <w:bottom w:w="70" w:type="dxa"/>
              <w:end w:w="85" w:type="dxa"/>
            </w:tcMar>
            <w:shd w:fill="EEF4F8"/>
          </w:tcPr>
          <w:p>
            <w:pPr>
              <w:spacing w:after="0"/>
            </w:pPr>
            <w:r>
              <w:rPr>
                <w:rFonts w:ascii="EB Garamond" w:hAnsi="EB Garamond"/>
                <w:color w:val="1F2933"/>
                <w:sz w:val="18"/>
              </w:rPr>
              <w:t>2. Sublation</w:t>
            </w:r>
          </w:p>
        </w:tc>
        <w:tc>
          <w:tcPr>
            <w:tcW w:type="dxa" w:w="3384"/>
            <w:tcMar>
              <w:top w:w="70" w:type="dxa"/>
              <w:start w:w="85" w:type="dxa"/>
              <w:bottom w:w="70" w:type="dxa"/>
              <w:end w:w="85" w:type="dxa"/>
            </w:tcMar>
            <w:shd w:fill="EEF4F8"/>
          </w:tcPr>
          <w:p>
            <w:pPr>
              <w:spacing w:after="0"/>
            </w:pPr>
            <w:r>
              <w:rPr>
                <w:rFonts w:ascii="EB Garamond" w:hAnsi="EB Garamond"/>
                <w:color w:val="1F2933"/>
                <w:sz w:val="18"/>
              </w:rPr>
              <w:t>2. Translation or transposition</w:t>
            </w:r>
          </w:p>
        </w:tc>
        <w:tc>
          <w:tcPr>
            <w:tcW w:type="dxa" w:w="2880"/>
            <w:tcMar>
              <w:top w:w="70" w:type="dxa"/>
              <w:start w:w="85" w:type="dxa"/>
              <w:bottom w:w="70" w:type="dxa"/>
              <w:end w:w="85" w:type="dxa"/>
            </w:tcMar>
            <w:shd w:fill="EEF4F8"/>
          </w:tcPr>
          <w:p>
            <w:pPr>
              <w:spacing w:after="0"/>
            </w:pPr>
            <w:r>
              <w:rPr>
                <w:rFonts w:ascii="EB Garamond" w:hAnsi="EB Garamond"/>
                <w:color w:val="1F2933"/>
                <w:sz w:val="18"/>
              </w:rPr>
              <w:t>2. Wonder</w:t>
            </w:r>
          </w:p>
        </w:tc>
      </w:tr>
      <w:tr>
        <w:trPr>
          <w:cantSplit/>
        </w:trPr>
        <w:tc>
          <w:tcPr>
            <w:tcW w:type="dxa" w:w="3384"/>
            <w:tcMar>
              <w:top w:w="70" w:type="dxa"/>
              <w:start w:w="85" w:type="dxa"/>
              <w:bottom w:w="70" w:type="dxa"/>
              <w:end w:w="85" w:type="dxa"/>
            </w:tcMar>
          </w:tcPr>
          <w:p>
            <w:pPr>
              <w:spacing w:after="0"/>
            </w:pPr>
            <w:r>
              <w:rPr>
                <w:rFonts w:ascii="EB Garamond" w:hAnsi="EB Garamond"/>
                <w:color w:val="1F2933"/>
                <w:sz w:val="18"/>
              </w:rPr>
              <w:t>3. Reinterpretation</w:t>
            </w:r>
          </w:p>
        </w:tc>
        <w:tc>
          <w:tcPr>
            <w:tcW w:type="dxa" w:w="3384"/>
            <w:tcMar>
              <w:top w:w="70" w:type="dxa"/>
              <w:start w:w="85" w:type="dxa"/>
              <w:bottom w:w="70" w:type="dxa"/>
              <w:end w:w="85" w:type="dxa"/>
            </w:tcMar>
          </w:tcPr>
          <w:p>
            <w:pPr>
              <w:spacing w:after="0"/>
            </w:pPr>
            <w:r>
              <w:rPr>
                <w:rFonts w:ascii="EB Garamond" w:hAnsi="EB Garamond"/>
                <w:color w:val="1F2933"/>
                <w:sz w:val="18"/>
              </w:rPr>
              <w:t>3. Reciprocity</w:t>
            </w:r>
          </w:p>
        </w:tc>
        <w:tc>
          <w:tcPr>
            <w:tcW w:type="dxa" w:w="2880"/>
            <w:tcMar>
              <w:top w:w="70" w:type="dxa"/>
              <w:start w:w="85" w:type="dxa"/>
              <w:bottom w:w="70" w:type="dxa"/>
              <w:end w:w="85" w:type="dxa"/>
            </w:tcMar>
          </w:tcPr>
          <w:p>
            <w:pPr>
              <w:spacing w:after="0"/>
            </w:pPr>
            <w:r>
              <w:rPr>
                <w:rFonts w:ascii="EB Garamond" w:hAnsi="EB Garamond"/>
                <w:color w:val="1F2933"/>
                <w:sz w:val="18"/>
              </w:rPr>
              <w:t>3. Catharsis</w:t>
            </w:r>
          </w:p>
        </w:tc>
      </w:tr>
      <w:tr>
        <w:trPr>
          <w:cantSplit/>
        </w:trPr>
        <w:tc>
          <w:tcPr>
            <w:tcW w:type="dxa" w:w="3384"/>
            <w:tcMar>
              <w:top w:w="70" w:type="dxa"/>
              <w:start w:w="85" w:type="dxa"/>
              <w:bottom w:w="70" w:type="dxa"/>
              <w:end w:w="85" w:type="dxa"/>
            </w:tcMar>
            <w:shd w:fill="EEF4F8"/>
          </w:tcPr>
          <w:p>
            <w:pPr>
              <w:spacing w:after="0"/>
            </w:pPr>
            <w:r>
              <w:rPr>
                <w:rFonts w:ascii="EB Garamond" w:hAnsi="EB Garamond"/>
                <w:color w:val="1F2933"/>
                <w:sz w:val="18"/>
              </w:rPr>
              <w:t>4. Meaning compression</w:t>
            </w:r>
          </w:p>
        </w:tc>
        <w:tc>
          <w:tcPr>
            <w:tcW w:type="dxa" w:w="3384"/>
            <w:tcMar>
              <w:top w:w="70" w:type="dxa"/>
              <w:start w:w="85" w:type="dxa"/>
              <w:bottom w:w="70" w:type="dxa"/>
              <w:end w:w="85" w:type="dxa"/>
            </w:tcMar>
            <w:shd w:fill="EEF4F8"/>
          </w:tcPr>
          <w:p>
            <w:pPr>
              <w:spacing w:after="0"/>
            </w:pPr>
            <w:r>
              <w:rPr>
                <w:rFonts w:ascii="EB Garamond" w:hAnsi="EB Garamond"/>
                <w:color w:val="1F2933"/>
                <w:sz w:val="18"/>
              </w:rPr>
              <w:t>4. Feedback</w:t>
            </w:r>
          </w:p>
        </w:tc>
        <w:tc>
          <w:tcPr>
            <w:tcW w:type="dxa" w:w="2880"/>
            <w:tcMar>
              <w:top w:w="70" w:type="dxa"/>
              <w:start w:w="85" w:type="dxa"/>
              <w:bottom w:w="70" w:type="dxa"/>
              <w:end w:w="85" w:type="dxa"/>
            </w:tcMar>
            <w:shd w:fill="EEF4F8"/>
          </w:tcPr>
          <w:p>
            <w:pPr>
              <w:spacing w:after="0"/>
            </w:pPr>
            <w:r>
              <w:rPr>
                <w:rFonts w:ascii="EB Garamond" w:hAnsi="EB Garamond"/>
                <w:color w:val="1F2933"/>
                <w:sz w:val="18"/>
              </w:rPr>
              <w:t>4. Surprise</w:t>
            </w:r>
          </w:p>
        </w:tc>
      </w:tr>
      <w:tr>
        <w:trPr>
          <w:cantSplit/>
        </w:trPr>
        <w:tc>
          <w:tcPr>
            <w:tcW w:type="dxa" w:w="3384"/>
            <w:tcMar>
              <w:top w:w="70" w:type="dxa"/>
              <w:start w:w="85" w:type="dxa"/>
              <w:bottom w:w="70" w:type="dxa"/>
              <w:end w:w="85" w:type="dxa"/>
            </w:tcMar>
          </w:tcPr>
          <w:p>
            <w:pPr>
              <w:spacing w:after="0"/>
            </w:pPr>
            <w:r>
              <w:rPr>
                <w:rFonts w:ascii="EB Garamond" w:hAnsi="EB Garamond"/>
                <w:color w:val="1F2933"/>
                <w:sz w:val="18"/>
              </w:rPr>
              <w:t>5. Dissolution</w:t>
            </w:r>
          </w:p>
        </w:tc>
        <w:tc>
          <w:tcPr>
            <w:tcW w:type="dxa" w:w="3384"/>
            <w:tcMar>
              <w:top w:w="70" w:type="dxa"/>
              <w:start w:w="85" w:type="dxa"/>
              <w:bottom w:w="70" w:type="dxa"/>
              <w:end w:w="85" w:type="dxa"/>
            </w:tcMar>
          </w:tcPr>
          <w:p>
            <w:pPr>
              <w:spacing w:after="0"/>
            </w:pPr>
            <w:r>
              <w:rPr>
                <w:rFonts w:ascii="EB Garamond" w:hAnsi="EB Garamond"/>
                <w:color w:val="1F2933"/>
                <w:sz w:val="18"/>
              </w:rPr>
              <w:t>5. Nesting</w:t>
            </w:r>
          </w:p>
        </w:tc>
        <w:tc>
          <w:tcPr>
            <w:tcW w:type="dxa" w:w="2880"/>
            <w:tcMar>
              <w:top w:w="70" w:type="dxa"/>
              <w:start w:w="85" w:type="dxa"/>
              <w:bottom w:w="70" w:type="dxa"/>
              <w:end w:w="85" w:type="dxa"/>
            </w:tcMar>
          </w:tcPr>
          <w:p>
            <w:pPr>
              <w:spacing w:after="0"/>
            </w:pPr>
            <w:r>
              <w:rPr>
                <w:rFonts w:ascii="EB Garamond" w:hAnsi="EB Garamond"/>
                <w:color w:val="1F2933"/>
                <w:sz w:val="18"/>
              </w:rPr>
              <w:t>5. Satisfaction</w:t>
            </w:r>
          </w:p>
        </w:tc>
      </w:tr>
      <w:tr>
        <w:trPr>
          <w:cantSplit/>
        </w:trPr>
        <w:tc>
          <w:tcPr>
            <w:tcW w:type="dxa" w:w="3384"/>
            <w:tcMar>
              <w:top w:w="70" w:type="dxa"/>
              <w:start w:w="85" w:type="dxa"/>
              <w:bottom w:w="70" w:type="dxa"/>
              <w:end w:w="85" w:type="dxa"/>
            </w:tcMar>
            <w:shd w:fill="EEF4F8"/>
          </w:tcPr>
          <w:p>
            <w:pPr>
              <w:spacing w:after="0"/>
            </w:pPr>
            <w:r>
              <w:rPr>
                <w:rFonts w:ascii="EB Garamond" w:hAnsi="EB Garamond"/>
                <w:color w:val="1F2933"/>
                <w:sz w:val="18"/>
              </w:rPr>
              <w:t>6. Transformation</w:t>
            </w:r>
          </w:p>
        </w:tc>
        <w:tc>
          <w:tcPr>
            <w:tcW w:type="dxa" w:w="3384"/>
            <w:tcMar>
              <w:top w:w="70" w:type="dxa"/>
              <w:start w:w="85" w:type="dxa"/>
              <w:bottom w:w="70" w:type="dxa"/>
              <w:end w:w="85" w:type="dxa"/>
            </w:tcMar>
            <w:shd w:fill="EEF4F8"/>
          </w:tcPr>
          <w:p>
            <w:pPr>
              <w:spacing w:after="0"/>
            </w:pPr>
            <w:r>
              <w:rPr>
                <w:rFonts w:ascii="EB Garamond" w:hAnsi="EB Garamond"/>
                <w:color w:val="1F2933"/>
                <w:sz w:val="18"/>
              </w:rPr>
              <w:t>6. Relay</w:t>
            </w:r>
          </w:p>
        </w:tc>
        <w:tc>
          <w:tcPr>
            <w:tcW w:type="dxa" w:w="2880"/>
            <w:tcMar>
              <w:top w:w="70" w:type="dxa"/>
              <w:start w:w="85" w:type="dxa"/>
              <w:bottom w:w="70" w:type="dxa"/>
              <w:end w:w="85" w:type="dxa"/>
            </w:tcMar>
            <w:shd w:fill="EEF4F8"/>
          </w:tcPr>
          <w:p>
            <w:pPr>
              <w:spacing w:after="0"/>
            </w:pPr>
            <w:r>
              <w:rPr>
                <w:rFonts w:ascii="EB Garamond" w:hAnsi="EB Garamond"/>
                <w:color w:val="1F2933"/>
                <w:sz w:val="18"/>
              </w:rPr>
              <w:t>6. Relief</w:t>
            </w:r>
          </w:p>
        </w:tc>
      </w:tr>
      <w:tr>
        <w:trPr>
          <w:cantSplit/>
        </w:trPr>
        <w:tc>
          <w:tcPr>
            <w:tcW w:type="dxa" w:w="3384"/>
            <w:tcMar>
              <w:top w:w="70" w:type="dxa"/>
              <w:start w:w="85" w:type="dxa"/>
              <w:bottom w:w="70" w:type="dxa"/>
              <w:end w:w="85" w:type="dxa"/>
            </w:tcMar>
          </w:tcPr>
          <w:p>
            <w:pPr>
              <w:spacing w:after="0"/>
            </w:pPr>
            <w:r>
              <w:rPr>
                <w:rFonts w:ascii="EB Garamond" w:hAnsi="EB Garamond"/>
                <w:color w:val="1F2933"/>
                <w:sz w:val="18"/>
              </w:rPr>
              <w:t>7. Integration</w:t>
            </w:r>
          </w:p>
        </w:tc>
        <w:tc>
          <w:tcPr>
            <w:tcW w:type="dxa" w:w="3384"/>
            <w:tcMar>
              <w:top w:w="70" w:type="dxa"/>
              <w:start w:w="85" w:type="dxa"/>
              <w:bottom w:w="70" w:type="dxa"/>
              <w:end w:w="85" w:type="dxa"/>
            </w:tcMar>
          </w:tcPr>
          <w:p>
            <w:pPr>
              <w:spacing w:after="0"/>
            </w:pPr>
            <w:r>
              <w:rPr>
                <w:rFonts w:ascii="EB Garamond" w:hAnsi="EB Garamond"/>
                <w:color w:val="1F2933"/>
                <w:sz w:val="18"/>
              </w:rPr>
              <w:t>7. Recurrence</w:t>
            </w:r>
          </w:p>
        </w:tc>
        <w:tc>
          <w:tcPr>
            <w:tcW w:type="dxa" w:w="2880"/>
            <w:tcMar>
              <w:top w:w="70" w:type="dxa"/>
              <w:start w:w="85" w:type="dxa"/>
              <w:bottom w:w="70" w:type="dxa"/>
              <w:end w:w="85" w:type="dxa"/>
            </w:tcMar>
          </w:tcPr>
          <w:p>
            <w:pPr>
              <w:spacing w:after="0"/>
            </w:pPr>
            <w:r>
              <w:rPr>
                <w:rFonts w:ascii="EB Garamond" w:hAnsi="EB Garamond"/>
                <w:color w:val="1F2933"/>
                <w:sz w:val="18"/>
              </w:rPr>
            </w:r>
          </w:p>
        </w:tc>
      </w:tr>
      <w:tr>
        <w:trPr>
          <w:cantSplit/>
        </w:trPr>
        <w:tc>
          <w:tcPr>
            <w:tcW w:type="dxa" w:w="3384"/>
            <w:tcMar>
              <w:top w:w="70" w:type="dxa"/>
              <w:start w:w="85" w:type="dxa"/>
              <w:bottom w:w="70" w:type="dxa"/>
              <w:end w:w="85" w:type="dxa"/>
            </w:tcMar>
            <w:shd w:fill="EEF4F8"/>
          </w:tcPr>
          <w:p>
            <w:pPr>
              <w:spacing w:after="0"/>
            </w:pPr>
            <w:r>
              <w:rPr>
                <w:rFonts w:ascii="EB Garamond" w:hAnsi="EB Garamond"/>
                <w:color w:val="1F2933"/>
                <w:sz w:val="18"/>
              </w:rPr>
              <w:t>8. Differentiation</w:t>
            </w:r>
          </w:p>
        </w:tc>
        <w:tc>
          <w:tcPr>
            <w:tcW w:type="dxa" w:w="3384"/>
            <w:tcMar>
              <w:top w:w="70" w:type="dxa"/>
              <w:start w:w="85" w:type="dxa"/>
              <w:bottom w:w="70" w:type="dxa"/>
              <w:end w:w="85" w:type="dxa"/>
            </w:tcMar>
            <w:shd w:fill="EEF4F8"/>
          </w:tcPr>
          <w:p>
            <w:pPr>
              <w:spacing w:after="0"/>
            </w:pPr>
            <w:r>
              <w:rPr>
                <w:rFonts w:ascii="EB Garamond" w:hAnsi="EB Garamond"/>
                <w:color w:val="1F2933"/>
                <w:sz w:val="18"/>
              </w:rPr>
            </w:r>
          </w:p>
        </w:tc>
        <w:tc>
          <w:tcPr>
            <w:tcW w:type="dxa" w:w="2880"/>
            <w:tcMar>
              <w:top w:w="70" w:type="dxa"/>
              <w:start w:w="85" w:type="dxa"/>
              <w:bottom w:w="70" w:type="dxa"/>
              <w:end w:w="85" w:type="dxa"/>
            </w:tcMar>
            <w:shd w:fill="EEF4F8"/>
          </w:tcPr>
          <w:p>
            <w:pPr>
              <w:spacing w:after="0"/>
            </w:pPr>
            <w:r>
              <w:rPr>
                <w:rFonts w:ascii="EB Garamond" w:hAnsi="EB Garamond"/>
                <w:color w:val="1F2933"/>
                <w:sz w:val="18"/>
              </w:rPr>
            </w:r>
          </w:p>
        </w:tc>
      </w:tr>
      <w:tr>
        <w:trPr>
          <w:cantSplit/>
        </w:trPr>
        <w:tc>
          <w:tcPr>
            <w:tcW w:type="dxa" w:w="3384"/>
            <w:tcMar>
              <w:top w:w="70" w:type="dxa"/>
              <w:start w:w="85" w:type="dxa"/>
              <w:bottom w:w="70" w:type="dxa"/>
              <w:end w:w="85" w:type="dxa"/>
            </w:tcMar>
          </w:tcPr>
          <w:p>
            <w:pPr>
              <w:spacing w:after="0"/>
            </w:pPr>
            <w:r>
              <w:rPr>
                <w:rFonts w:ascii="EB Garamond" w:hAnsi="EB Garamond"/>
                <w:color w:val="1F2933"/>
                <w:sz w:val="18"/>
              </w:rPr>
              <w:t>9. Recognition</w:t>
            </w:r>
          </w:p>
        </w:tc>
        <w:tc>
          <w:tcPr>
            <w:tcW w:type="dxa" w:w="3384"/>
            <w:tcMar>
              <w:top w:w="70" w:type="dxa"/>
              <w:start w:w="85" w:type="dxa"/>
              <w:bottom w:w="70" w:type="dxa"/>
              <w:end w:w="85" w:type="dxa"/>
            </w:tcMar>
          </w:tcPr>
          <w:p>
            <w:pPr>
              <w:spacing w:after="0"/>
            </w:pPr>
            <w:r>
              <w:rPr>
                <w:rFonts w:ascii="EB Garamond" w:hAnsi="EB Garamond"/>
                <w:color w:val="1F2933"/>
                <w:sz w:val="18"/>
              </w:rPr>
            </w:r>
          </w:p>
        </w:tc>
        <w:tc>
          <w:tcPr>
            <w:tcW w:type="dxa" w:w="2880"/>
            <w:tcMar>
              <w:top w:w="70" w:type="dxa"/>
              <w:start w:w="85" w:type="dxa"/>
              <w:bottom w:w="70" w:type="dxa"/>
              <w:end w:w="85" w:type="dxa"/>
            </w:tcMar>
          </w:tcPr>
          <w:p>
            <w:pPr>
              <w:spacing w:after="0"/>
            </w:pPr>
            <w:r>
              <w:rPr>
                <w:rFonts w:ascii="EB Garamond" w:hAnsi="EB Garamond"/>
                <w:color w:val="1F2933"/>
                <w:sz w:val="18"/>
              </w:rPr>
            </w:r>
          </w:p>
        </w:tc>
      </w:tr>
      <w:tr>
        <w:trPr>
          <w:cantSplit/>
        </w:trPr>
        <w:tc>
          <w:tcPr>
            <w:tcW w:type="dxa" w:w="3384"/>
            <w:tcMar>
              <w:top w:w="70" w:type="dxa"/>
              <w:start w:w="85" w:type="dxa"/>
              <w:bottom w:w="70" w:type="dxa"/>
              <w:end w:w="85" w:type="dxa"/>
            </w:tcMar>
            <w:shd w:fill="EEF4F8"/>
          </w:tcPr>
          <w:p>
            <w:pPr>
              <w:spacing w:after="0"/>
            </w:pPr>
            <w:r>
              <w:rPr>
                <w:rFonts w:ascii="EB Garamond" w:hAnsi="EB Garamond"/>
                <w:color w:val="1F2933"/>
                <w:sz w:val="18"/>
              </w:rPr>
              <w:t>10. Reversal</w:t>
            </w:r>
          </w:p>
        </w:tc>
        <w:tc>
          <w:tcPr>
            <w:tcW w:type="dxa" w:w="3384"/>
            <w:tcMar>
              <w:top w:w="70" w:type="dxa"/>
              <w:start w:w="85" w:type="dxa"/>
              <w:bottom w:w="70" w:type="dxa"/>
              <w:end w:w="85" w:type="dxa"/>
            </w:tcMar>
            <w:shd w:fill="EEF4F8"/>
          </w:tcPr>
          <w:p>
            <w:pPr>
              <w:spacing w:after="0"/>
            </w:pPr>
            <w:r>
              <w:rPr>
                <w:rFonts w:ascii="EB Garamond" w:hAnsi="EB Garamond"/>
                <w:color w:val="1F2933"/>
                <w:sz w:val="18"/>
              </w:rPr>
            </w:r>
          </w:p>
        </w:tc>
        <w:tc>
          <w:tcPr>
            <w:tcW w:type="dxa" w:w="2880"/>
            <w:tcMar>
              <w:top w:w="70" w:type="dxa"/>
              <w:start w:w="85" w:type="dxa"/>
              <w:bottom w:w="70" w:type="dxa"/>
              <w:end w:w="85" w:type="dxa"/>
            </w:tcMar>
            <w:shd w:fill="EEF4F8"/>
          </w:tcPr>
          <w:p>
            <w:pPr>
              <w:spacing w:after="0"/>
            </w:pPr>
            <w:r>
              <w:rPr>
                <w:rFonts w:ascii="EB Garamond" w:hAnsi="EB Garamond"/>
                <w:color w:val="1F2933"/>
                <w:sz w:val="18"/>
              </w:rPr>
            </w:r>
          </w:p>
        </w:tc>
      </w:tr>
      <w:tr>
        <w:trPr>
          <w:cantSplit/>
        </w:trPr>
        <w:tc>
          <w:tcPr>
            <w:tcW w:type="dxa" w:w="3384"/>
            <w:tcMar>
              <w:top w:w="70" w:type="dxa"/>
              <w:start w:w="85" w:type="dxa"/>
              <w:bottom w:w="70" w:type="dxa"/>
              <w:end w:w="85" w:type="dxa"/>
            </w:tcMar>
          </w:tcPr>
          <w:p>
            <w:pPr>
              <w:spacing w:after="0"/>
            </w:pPr>
            <w:r>
              <w:rPr>
                <w:rFonts w:ascii="EB Garamond" w:hAnsi="EB Garamond"/>
                <w:color w:val="1F2933"/>
                <w:sz w:val="18"/>
              </w:rPr>
              <w:t>11. Explanation</w:t>
            </w:r>
          </w:p>
        </w:tc>
        <w:tc>
          <w:tcPr>
            <w:tcW w:type="dxa" w:w="3384"/>
            <w:tcMar>
              <w:top w:w="70" w:type="dxa"/>
              <w:start w:w="85" w:type="dxa"/>
              <w:bottom w:w="70" w:type="dxa"/>
              <w:end w:w="85" w:type="dxa"/>
            </w:tcMar>
          </w:tcPr>
          <w:p>
            <w:pPr>
              <w:spacing w:after="0"/>
            </w:pPr>
            <w:r>
              <w:rPr>
                <w:rFonts w:ascii="EB Garamond" w:hAnsi="EB Garamond"/>
                <w:color w:val="1F2933"/>
                <w:sz w:val="18"/>
              </w:rPr>
            </w:r>
          </w:p>
        </w:tc>
        <w:tc>
          <w:tcPr>
            <w:tcW w:type="dxa" w:w="2880"/>
            <w:tcMar>
              <w:top w:w="70" w:type="dxa"/>
              <w:start w:w="85" w:type="dxa"/>
              <w:bottom w:w="70" w:type="dxa"/>
              <w:end w:w="85" w:type="dxa"/>
            </w:tcMar>
          </w:tcPr>
          <w:p>
            <w:pPr>
              <w:spacing w:after="0"/>
            </w:pPr>
            <w:r>
              <w:rPr>
                <w:rFonts w:ascii="EB Garamond" w:hAnsi="EB Garamond"/>
                <w:color w:val="1F2933"/>
                <w:sz w:val="18"/>
              </w:rPr>
            </w:r>
          </w:p>
        </w:tc>
      </w:tr>
      <w:tr>
        <w:trPr>
          <w:cantSplit/>
        </w:trPr>
        <w:tc>
          <w:tcPr>
            <w:tcW w:type="dxa" w:w="3384"/>
            <w:tcMar>
              <w:top w:w="70" w:type="dxa"/>
              <w:start w:w="85" w:type="dxa"/>
              <w:bottom w:w="70" w:type="dxa"/>
              <w:end w:w="85" w:type="dxa"/>
            </w:tcMar>
            <w:shd w:fill="EEF4F8"/>
          </w:tcPr>
          <w:p>
            <w:pPr>
              <w:spacing w:after="0"/>
            </w:pPr>
            <w:r>
              <w:rPr>
                <w:rFonts w:ascii="EB Garamond" w:hAnsi="EB Garamond"/>
                <w:color w:val="1F2933"/>
                <w:sz w:val="18"/>
              </w:rPr>
              <w:t>12. Repair</w:t>
            </w:r>
          </w:p>
        </w:tc>
        <w:tc>
          <w:tcPr>
            <w:tcW w:type="dxa" w:w="3384"/>
            <w:tcMar>
              <w:top w:w="70" w:type="dxa"/>
              <w:start w:w="85" w:type="dxa"/>
              <w:bottom w:w="70" w:type="dxa"/>
              <w:end w:w="85" w:type="dxa"/>
            </w:tcMar>
            <w:shd w:fill="EEF4F8"/>
          </w:tcPr>
          <w:p>
            <w:pPr>
              <w:spacing w:after="0"/>
            </w:pPr>
            <w:r>
              <w:rPr>
                <w:rFonts w:ascii="EB Garamond" w:hAnsi="EB Garamond"/>
                <w:color w:val="1F2933"/>
                <w:sz w:val="18"/>
              </w:rPr>
            </w:r>
          </w:p>
        </w:tc>
        <w:tc>
          <w:tcPr>
            <w:tcW w:type="dxa" w:w="2880"/>
            <w:tcMar>
              <w:top w:w="70" w:type="dxa"/>
              <w:start w:w="85" w:type="dxa"/>
              <w:bottom w:w="70" w:type="dxa"/>
              <w:end w:w="85" w:type="dxa"/>
            </w:tcMar>
            <w:shd w:fill="EEF4F8"/>
          </w:tcPr>
          <w:p>
            <w:pPr>
              <w:spacing w:after="0"/>
            </w:pPr>
            <w:r>
              <w:rPr>
                <w:rFonts w:ascii="EB Garamond" w:hAnsi="EB Garamond"/>
                <w:color w:val="1F2933"/>
                <w:sz w:val="18"/>
              </w:rPr>
            </w:r>
          </w:p>
        </w:tc>
      </w:tr>
      <w:tr>
        <w:trPr>
          <w:cantSplit/>
        </w:trPr>
        <w:tc>
          <w:tcPr>
            <w:tcW w:type="dxa" w:w="3384"/>
            <w:tcMar>
              <w:top w:w="70" w:type="dxa"/>
              <w:start w:w="85" w:type="dxa"/>
              <w:bottom w:w="70" w:type="dxa"/>
              <w:end w:w="85" w:type="dxa"/>
            </w:tcMar>
          </w:tcPr>
          <w:p>
            <w:pPr>
              <w:spacing w:after="0"/>
            </w:pPr>
            <w:r>
              <w:rPr>
                <w:rFonts w:ascii="EB Garamond" w:hAnsi="EB Garamond"/>
                <w:color w:val="1F2933"/>
                <w:sz w:val="18"/>
              </w:rPr>
              <w:t>13. Earned completion</w:t>
            </w:r>
          </w:p>
        </w:tc>
        <w:tc>
          <w:tcPr>
            <w:tcW w:type="dxa" w:w="3384"/>
            <w:tcMar>
              <w:top w:w="70" w:type="dxa"/>
              <w:start w:w="85" w:type="dxa"/>
              <w:bottom w:w="70" w:type="dxa"/>
              <w:end w:w="85" w:type="dxa"/>
            </w:tcMar>
          </w:tcPr>
          <w:p>
            <w:pPr>
              <w:spacing w:after="0"/>
            </w:pPr>
            <w:r>
              <w:rPr>
                <w:rFonts w:ascii="EB Garamond" w:hAnsi="EB Garamond"/>
                <w:color w:val="1F2933"/>
                <w:sz w:val="18"/>
              </w:rPr>
            </w:r>
          </w:p>
        </w:tc>
        <w:tc>
          <w:tcPr>
            <w:tcW w:type="dxa" w:w="2880"/>
            <w:tcMar>
              <w:top w:w="70" w:type="dxa"/>
              <w:start w:w="85" w:type="dxa"/>
              <w:bottom w:w="70" w:type="dxa"/>
              <w:end w:w="85" w:type="dxa"/>
            </w:tcMar>
          </w:tcPr>
          <w:p>
            <w:pPr>
              <w:spacing w:after="0"/>
            </w:pPr>
            <w:r>
              <w:rPr>
                <w:rFonts w:ascii="EB Garamond" w:hAnsi="EB Garamond"/>
                <w:color w:val="1F2933"/>
                <w:sz w:val="18"/>
              </w:rPr>
            </w:r>
          </w:p>
        </w:tc>
      </w:tr>
    </w:tbl>
    <w:p>
      <w:pPr>
        <w:sectPr>
          <w:headerReference w:type="default" r:id="rId11"/>
          <w:footerReference w:type="default" r:id="rId12"/>
          <w:pgSz w:w="12240" w:h="15840"/>
          <w:pgMar w:top="1123" w:right="1296" w:bottom="1037" w:left="1296" w:header="403" w:footer="432" w:gutter="0"/>
          <w:cols w:space="720"/>
          <w:docGrid w:linePitch="360"/>
        </w:sectPr>
      </w:pPr>
    </w:p>
    <w:p>
      <w:pPr>
        <w:pStyle w:val="Heading1"/>
        <w:keepNext/>
        <w:pageBreakBefore w:val="0"/>
        <w:pBdr>
          <w:bottom w:val="single" w:sz="5" w:space="1" w:color="1F4E79"/>
        </w:pBdr>
      </w:pPr>
      <w:r>
        <w:rPr>
          <w:rFonts w:ascii="EB Garamond" w:hAnsi="EB Garamond"/>
          <w:b/>
          <w:i w:val="0"/>
          <w:color w:val="1F4E79"/>
          <w:sz w:val="34"/>
        </w:rPr>
        <w:t>SUBJECT AND OBJECT MAP</w:t>
      </w:r>
    </w:p>
    <w:p>
      <w:pPr>
        <w:pStyle w:val="Body"/>
        <w:keepLines w:val="0"/>
        <w:widowControl/>
        <w:ind w:firstLine="0"/>
      </w:pPr>
      <w:r>
        <w:rPr>
          <w:rFonts w:ascii="EB Garamond" w:hAnsi="EB Garamond"/>
          <w:b w:val="0"/>
          <w:i w:val="0"/>
        </w:rPr>
        <w:t>This map ranks how strongly each duality can be read through Subject and Object while preserving the meaning that remains when the duality keeps its own name. Parmenides and Heraclitus, along with Kandinsky and Bergson, enter under Being and Becoming and persistence through movement. The map organizes these questions without pretending to resolve them through one master opposition.</w:t>
      </w:r>
    </w:p>
    <w:tbl>
      <w:tblPr>
        <w:tblStyle w:val="TableGrid"/>
        <w:tblW w:type="auto" w:w="0"/>
        <w:jc w:val="center"/>
        <w:tblLayout w:type="fixed"/>
        <w:tblLook w:firstColumn="1" w:firstRow="1" w:lastColumn="0" w:lastRow="0" w:noHBand="0" w:noVBand="1" w:val="04A0"/>
      </w:tblPr>
      <w:tblGrid>
        <w:gridCol w:w="3585"/>
        <w:gridCol w:w="3585"/>
        <w:gridCol w:w="3585"/>
        <w:gridCol w:w="3585"/>
      </w:tblGrid>
      <w:tr>
        <w:trPr>
          <w:tblHeader w:val="true"/>
        </w:trPr>
        <w:tc>
          <w:tcPr>
            <w:tcW w:type="dxa" w:w="547"/>
            <w:shd w:fill="1F4E79"/>
            <w:tcMar>
              <w:top w:w="65" w:type="dxa"/>
              <w:start w:w="65" w:type="dxa"/>
              <w:bottom w:w="65" w:type="dxa"/>
              <w:end w:w="65" w:type="dxa"/>
            </w:tcMar>
            <w:vAlign w:val="center"/>
          </w:tcPr>
          <w:p>
            <w:pPr>
              <w:jc w:val="center"/>
            </w:pPr>
            <w:r>
              <w:rPr>
                <w:rFonts w:ascii="EB Garamond" w:hAnsi="EB Garamond"/>
                <w:b/>
                <w:color w:val="FFFFFF"/>
                <w:sz w:val="14"/>
              </w:rPr>
              <w:t>#</w:t>
            </w:r>
          </w:p>
        </w:tc>
        <w:tc>
          <w:tcPr>
            <w:tcW w:type="dxa" w:w="2448"/>
            <w:shd w:fill="1F4E79"/>
            <w:tcMar>
              <w:top w:w="65" w:type="dxa"/>
              <w:start w:w="65" w:type="dxa"/>
              <w:bottom w:w="65" w:type="dxa"/>
              <w:end w:w="65" w:type="dxa"/>
            </w:tcMar>
            <w:vAlign w:val="center"/>
          </w:tcPr>
          <w:p>
            <w:pPr>
              <w:jc w:val="center"/>
            </w:pPr>
            <w:r>
              <w:rPr>
                <w:rFonts w:ascii="EB Garamond" w:hAnsi="EB Garamond"/>
                <w:b/>
                <w:color w:val="FFFFFF"/>
                <w:sz w:val="14"/>
              </w:rPr>
              <w:t>Duality</w:t>
            </w:r>
          </w:p>
        </w:tc>
        <w:tc>
          <w:tcPr>
            <w:tcW w:type="dxa" w:w="5256"/>
            <w:shd w:fill="1F4E79"/>
            <w:tcMar>
              <w:top w:w="65" w:type="dxa"/>
              <w:start w:w="65" w:type="dxa"/>
              <w:bottom w:w="65" w:type="dxa"/>
              <w:end w:w="65" w:type="dxa"/>
            </w:tcMar>
            <w:vAlign w:val="center"/>
          </w:tcPr>
          <w:p>
            <w:pPr>
              <w:jc w:val="center"/>
            </w:pPr>
            <w:r>
              <w:rPr>
                <w:rFonts w:ascii="EB Garamond" w:hAnsi="EB Garamond"/>
                <w:b/>
                <w:color w:val="FFFFFF"/>
                <w:sz w:val="14"/>
              </w:rPr>
              <w:t>Relation to Subject and Object</w:t>
            </w:r>
          </w:p>
        </w:tc>
        <w:tc>
          <w:tcPr>
            <w:tcW w:type="dxa" w:w="5976"/>
            <w:shd w:fill="1F4E79"/>
            <w:tcMar>
              <w:top w:w="65" w:type="dxa"/>
              <w:start w:w="65" w:type="dxa"/>
              <w:bottom w:w="65" w:type="dxa"/>
              <w:end w:w="65" w:type="dxa"/>
            </w:tcMar>
            <w:vAlign w:val="center"/>
          </w:tcPr>
          <w:p>
            <w:pPr>
              <w:jc w:val="center"/>
            </w:pPr>
            <w:r>
              <w:rPr>
                <w:rFonts w:ascii="EB Garamond" w:hAnsi="EB Garamond"/>
                <w:b/>
                <w:color w:val="FFFFFF"/>
                <w:sz w:val="14"/>
              </w:rPr>
              <w:t>Meaning preserved independently</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1</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Subject vs Object</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The exact distinction.</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Experiencer versus what is experienced.</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2</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Subjectivity vs Objectivity</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View from a subject versus truth independent of that view.</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Standards for evidence, neutrality, and shared truth.</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3</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Knower vs Known</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The knowing subject versus the known object.</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What knowledge is and how it succeeds.</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4</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Observer vs Observed</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The subject examines an object.</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Measurement, method, and observer influence.</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5</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First-person vs Third-person</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Experience from within versus a subject viewed externally.</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Different access to experience and behaviour.</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6</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Self vs Other</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The self encounters something outside itself.</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The Other is another subject, creating ethics and intersubjectivity.</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7</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I-Thou vs I-It</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Subject-to-subject encounter versus subject-to-object treatment.</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Reciprocity, dialogue, presence, and objectification.</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8</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Subject-Subject vs Subject-Object</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Mutual subjecthood versus one-sided objectification.</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Shared meaning and reciprocal recognition.</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9</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I vs Me</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The acting I versus the self treated as a known object.</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Spontaneity versus socially formed self-image.</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10</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Self-as-Subject vs Self-as-Object</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Living as oneself versus observing oneself.</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Reflexivity, shame, identity, and self-knowledge.</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11</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Ego vs Alter Ego</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One subject encounters another centre of experience.</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Empathy and knowledge of other minds.</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12</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Transcendental Subject vs Empirical Self</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The condition of experience versus the person encountered within experience.</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Conditions of knowledge versus psychological individuality.</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13</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Consciousness vs Intentional Object</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Consciousness is directed toward an object.</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Intentionality, representation, and aboutness.</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14</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Noesis vs Noema</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The act of experiencing versus the object as experienced or meant.</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How meaning mediates consciousness and its object.</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15</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Mind vs World</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Subjective mental life versus the surrounding world.</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Skepticism, world-involvement, and perceptual access.</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16</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Being-for-itself vs Being-in-itself</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Conscious being versus thinglike being.</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Freedom, possibility, facticity, and nothingness.</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17</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Person vs Thing</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A subject versus an object lacking subject-status.</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Personhood, dignity, rights, and instrumental use.</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18</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Recognition vs Reification</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Affirming someone as a subject versus treating them as a thing.</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Domination, social freedom, and human status.</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19</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Master vs Slave</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Two subjects struggle to reduce each other to objects.</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Power, dependence, labour, and mutual recognition.</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20</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Lived Body vs Objective Body</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The body as one’s subject-position versus the body as an observed object.</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Embodied agency and bodily self-awareness.</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21</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Appearance vs Reality</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The object as it appears to a subject versus how it is.</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Illusion, hidden structure, and truth.</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22</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Phenomenon vs Noumenon</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Object-for-us versus thing-in-itself.</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The limits imposed by human cognition.</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23</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Solipsism vs External-world Realism</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Only the subject is certain versus an independently existing world.</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Skepticism, external objects, and other minds.</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24</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Mind-dependent vs Mind-independent</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Reality dependent upon subjects versus reality independent of them.</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The clearest test for metaphysical objectivity.</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25</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Constructed vs Given</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Something formed through subjects or practices versus something encountered as already there.</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Origins of categories, identities, facts, and norms.</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26</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Constituted vs Discovered</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The subject helps form the object versus simply finds it.</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The mind’s contribution to experienced reality.</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27</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Representation vs Reality</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A subject’s image or model versus the represented object.</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Accuracy, mediation, illusion, and misrepresentation.</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28</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Direct Realism vs Representationalism</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Direct contact with objects versus access through representations.</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The structure of perception.</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29</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Realism vs Antirealism</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Reality independent of minds or schemes versus dependence on them.</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Different domains have different realism debates.</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30</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Idealism vs Materialism</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Mind or the ideal receives priority versus physical reality receiving priority.</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What kind of reality is fundamental.</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31</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Consciousness vs Matter</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Experiential subjectivity versus physical reality.</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Emergence, reduction, and the explanatory gap.</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32</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Mind vs Body</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Mental subjectivity versus the physical organism.</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Mental causation, identity, and embodiment.</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33</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Internalism vs Externalism</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Meaning or justification inside the subject versus partly determined by the world.</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What fixes thought, meaning, and knowledge.</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34</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Private vs Public</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First-person inner access versus shared observable access.</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Communicability, verification, and privacy of experience.</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35</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Embodiment vs Disembodiment</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A bodily, situated subject versus an abstract or bodiless mind.</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The body’s role in perception, action, and thought.</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36</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Immanence vs Transcendence</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What remains within experience versus what exceeds it.</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Theology, world-limits, alterity, and modes of being.</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37</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Theory vs Observation</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The subject’s conceptual framework versus observed objects or data.</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Theory-ladenness, testing, and scientific evidence.</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38</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Constructivism vs Objectivism</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Subjective or social construction versus independent standards.</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Construction and objectivity can coexist in different forms.</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39</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Phenomenology vs Positivism</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First-person experience versus publicly measurable phenomena.</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Competing methods for studying reality.</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40</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Rationalism vs Empiricism</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Reason within the knower versus sensory contact with the world.</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Competing sources of concepts and knowledge.</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41</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A priori vs A posteriori</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Knowledge independent of experience versus knowledge gained through experience.</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Types of justification rather than types of reality.</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42</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Language vs World</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A subject’s symbolic system versus what it describes.</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Reference, interpretation, and linguistic mediation.</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43</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Concept vs Intuition</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The mind’s organizing rule versus immediate sensory presentation.</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How thought and sensation combine into cognition.</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44</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Sense vs Reference</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The way an object is presented versus the object picked out.</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Meaning can differ while reference remains shared.</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45</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Perspective vs View from Nowhere</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Situated subjectivity versus an ideal standpoint-free account.</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The powers and limits of perspective.</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46</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Absolutism vs Relativism</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Truth independent of standpoint versus truth relative to a framework.</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Scope, context, culture, and standards of judgment.</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47</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Explanation vs Understanding</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External causal account versus interpretation of lived meaning.</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Different methods for natural and human phenomena.</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48</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Individual vs Collective</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Single subject versus group-level subject or structure.</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Collective identity, action, and responsibility.</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49</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Agent vs Structure</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Acting subject versus enduring social conditions.</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Constraint, institutions, and social reproduction.</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50</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Agency vs Patiency</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Acting upon objects versus being acted upon.</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Causal roles, vulnerability, and responsibility.</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51</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Monism vs Dualism</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Subject and object as one reality versus two fundamental kinds.</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How many basic kinds or levels reality contains.</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52</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Freedom vs Necessity</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Self-directed subjectivity versus unavoidable order.</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Autonomy, modality, constraint, and historical necessity.</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53</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Free Will vs Determinism</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Subjective agency versus objective causal order.</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Control, alternative possibilities, and moral responsibility.</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54</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Nature vs Culture</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The nonhuman or pre-social world versus human meaning-making.</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Social formation, symbolism, and historical variation.</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55</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Nature vs Nurture</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Internal inheritance versus external environmental influence.</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How traits develop through interacting causes.</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56</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Essence vs Existence</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Conceptual identity versus actual being.</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Whether identity is given, created, or enacted.</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57</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Universal vs Particular</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General concepts held by subjects versus individual objects.</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Classification, predication, and repeated properties.</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58</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Identity vs Difference</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A subject identifies stable objects by distinguishing them.</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Individuation, change, repetition, and otherness.</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59</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Being vs Becoming</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Objects viewed as stable versus reality viewed as process.</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Time, transformation, emergence, and change.</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60</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One vs Many</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Subject and object can be unified or treated as separate multiplicities.</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Unity, plurality, and metaphysical composition.</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61</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Holism vs Reductionism</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The subject may encounter wholes or isolate objects into parts.</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Levels, emergence, composition, and explanation.</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62</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Teleology vs Mechanism</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Meaningful purpose can look subject-linked while mechanism looks object-like.</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Goal-based explanation versus component-based causation.</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63</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Fact vs Value</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Objects supply facts while subjects appear to supply evaluations.</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Description, normativity, goodness, and importance.</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64</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Is vs Ought</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Objective reality versus demands addressed to agents.</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The gap between description and obligation.</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65</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Foundationalism vs Coherentism</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The subject grounds knowledge in basic contact or in a belief-network.</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The structure of epistemic justification.</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66</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Analytic vs Synthetic</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Truth through concepts versus truth involving how the world is.</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Meaning-based and world-dependent propositions.</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67</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Necessary vs Contingent</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Subject-object claims can hold inevitably or only under actual conditions.</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What could or could not have been otherwise.</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68</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Deduction vs Induction</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A subject reasons from rules or from observed cases.</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Certainty-producing versus probability-producing inference.</w:t>
            </w:r>
          </w:p>
        </w:tc>
      </w:tr>
      <w:tr>
        <w:trPr>
          <w:cantSplit/>
        </w:trPr>
        <w:tc>
          <w:tcPr>
            <w:tcW w:type="dxa" w:w="547"/>
            <w:tcMar>
              <w:top w:w="24" w:type="dxa"/>
              <w:start w:w="48" w:type="dxa"/>
              <w:bottom w:w="24" w:type="dxa"/>
              <w:end w:w="48" w:type="dxa"/>
            </w:tcMar>
            <w:vAlign w:val="top"/>
          </w:tcPr>
          <w:p>
            <w:pPr>
              <w:spacing w:after="0" w:line="226" w:lineRule="auto"/>
              <w:jc w:val="center"/>
            </w:pPr>
            <w:r>
              <w:rPr>
                <w:rFonts w:ascii="EB Garamond" w:hAnsi="EB Garamond"/>
                <w:color w:val="1F2933"/>
                <w:sz w:val="13"/>
              </w:rPr>
              <w:t>69</w:t>
            </w:r>
          </w:p>
        </w:tc>
        <w:tc>
          <w:tcPr>
            <w:tcW w:type="dxa" w:w="2448"/>
            <w:tcMar>
              <w:top w:w="24" w:type="dxa"/>
              <w:start w:w="48" w:type="dxa"/>
              <w:bottom w:w="24" w:type="dxa"/>
              <w:end w:w="48" w:type="dxa"/>
            </w:tcMar>
            <w:vAlign w:val="top"/>
          </w:tcPr>
          <w:p>
            <w:pPr>
              <w:spacing w:after="0" w:line="226" w:lineRule="auto"/>
            </w:pPr>
            <w:r>
              <w:rPr>
                <w:rFonts w:ascii="EB Garamond" w:hAnsi="EB Garamond"/>
                <w:b/>
                <w:color w:val="1F2933"/>
                <w:sz w:val="13"/>
              </w:rPr>
              <w:t>Form vs Matter</w:t>
            </w:r>
          </w:p>
        </w:tc>
        <w:tc>
          <w:tcPr>
            <w:tcW w:type="dxa" w:w="5256"/>
            <w:tcMar>
              <w:top w:w="24" w:type="dxa"/>
              <w:start w:w="48" w:type="dxa"/>
              <w:bottom w:w="24" w:type="dxa"/>
              <w:end w:w="48" w:type="dxa"/>
            </w:tcMar>
            <w:vAlign w:val="top"/>
          </w:tcPr>
          <w:p>
            <w:pPr>
              <w:spacing w:after="0" w:line="226" w:lineRule="auto"/>
            </w:pPr>
            <w:r>
              <w:rPr>
                <w:rFonts w:ascii="EB Garamond" w:hAnsi="EB Garamond"/>
                <w:color w:val="1F2933"/>
                <w:sz w:val="13"/>
              </w:rPr>
              <w:t>Intelligible organization can resemble the subject-side while material resembles the object-side.</w:t>
            </w:r>
          </w:p>
        </w:tc>
        <w:tc>
          <w:tcPr>
            <w:tcW w:type="dxa" w:w="5976"/>
            <w:tcMar>
              <w:top w:w="24" w:type="dxa"/>
              <w:start w:w="48" w:type="dxa"/>
              <w:bottom w:w="24" w:type="dxa"/>
              <w:end w:w="48" w:type="dxa"/>
            </w:tcMar>
            <w:vAlign w:val="top"/>
          </w:tcPr>
          <w:p>
            <w:pPr>
              <w:spacing w:after="0" w:line="226" w:lineRule="auto"/>
            </w:pPr>
            <w:r>
              <w:rPr>
                <w:rFonts w:ascii="EB Garamond" w:hAnsi="EB Garamond"/>
                <w:color w:val="1F2933"/>
                <w:sz w:val="13"/>
              </w:rPr>
              <w:t>Composition, persistence, and change.</w:t>
            </w:r>
          </w:p>
        </w:tc>
      </w:tr>
      <w:tr>
        <w:trPr>
          <w:cantSplit/>
        </w:trPr>
        <w:tc>
          <w:tcPr>
            <w:tcW w:type="dxa" w:w="547"/>
            <w:tcMar>
              <w:top w:w="24" w:type="dxa"/>
              <w:start w:w="48" w:type="dxa"/>
              <w:bottom w:w="24" w:type="dxa"/>
              <w:end w:w="48" w:type="dxa"/>
            </w:tcMar>
            <w:vAlign w:val="top"/>
            <w:shd w:fill="EEF4F8"/>
          </w:tcPr>
          <w:p>
            <w:pPr>
              <w:spacing w:after="0" w:line="226" w:lineRule="auto"/>
              <w:jc w:val="center"/>
            </w:pPr>
            <w:r>
              <w:rPr>
                <w:rFonts w:ascii="EB Garamond" w:hAnsi="EB Garamond"/>
                <w:color w:val="1F2933"/>
                <w:sz w:val="13"/>
              </w:rPr>
              <w:t>70</w:t>
            </w:r>
          </w:p>
        </w:tc>
        <w:tc>
          <w:tcPr>
            <w:tcW w:type="dxa" w:w="2448"/>
            <w:tcMar>
              <w:top w:w="24" w:type="dxa"/>
              <w:start w:w="48" w:type="dxa"/>
              <w:bottom w:w="24" w:type="dxa"/>
              <w:end w:w="48" w:type="dxa"/>
            </w:tcMar>
            <w:vAlign w:val="top"/>
            <w:shd w:fill="EEF4F8"/>
          </w:tcPr>
          <w:p>
            <w:pPr>
              <w:spacing w:after="0" w:line="226" w:lineRule="auto"/>
            </w:pPr>
            <w:r>
              <w:rPr>
                <w:rFonts w:ascii="EB Garamond" w:hAnsi="EB Garamond"/>
                <w:b/>
                <w:color w:val="1F2933"/>
                <w:sz w:val="13"/>
              </w:rPr>
              <w:t>Signifier vs Signified</w:t>
            </w:r>
          </w:p>
        </w:tc>
        <w:tc>
          <w:tcPr>
            <w:tcW w:type="dxa" w:w="5256"/>
            <w:tcMar>
              <w:top w:w="24" w:type="dxa"/>
              <w:start w:w="48" w:type="dxa"/>
              <w:bottom w:w="24" w:type="dxa"/>
              <w:end w:w="48" w:type="dxa"/>
            </w:tcMar>
            <w:vAlign w:val="top"/>
            <w:shd w:fill="EEF4F8"/>
          </w:tcPr>
          <w:p>
            <w:pPr>
              <w:spacing w:after="0" w:line="226" w:lineRule="auto"/>
            </w:pPr>
            <w:r>
              <w:rPr>
                <w:rFonts w:ascii="EB Garamond" w:hAnsi="EB Garamond"/>
                <w:color w:val="1F2933"/>
                <w:sz w:val="13"/>
              </w:rPr>
              <w:t>A subject uses a sign to present a meaning or object.</w:t>
            </w:r>
          </w:p>
        </w:tc>
        <w:tc>
          <w:tcPr>
            <w:tcW w:type="dxa" w:w="5976"/>
            <w:tcMar>
              <w:top w:w="24" w:type="dxa"/>
              <w:start w:w="48" w:type="dxa"/>
              <w:bottom w:w="24" w:type="dxa"/>
              <w:end w:w="48" w:type="dxa"/>
            </w:tcMar>
            <w:vAlign w:val="top"/>
            <w:shd w:fill="EEF4F8"/>
          </w:tcPr>
          <w:p>
            <w:pPr>
              <w:spacing w:after="0" w:line="226" w:lineRule="auto"/>
            </w:pPr>
            <w:r>
              <w:rPr>
                <w:rFonts w:ascii="EB Garamond" w:hAnsi="EB Garamond"/>
                <w:color w:val="1F2933"/>
                <w:sz w:val="13"/>
              </w:rPr>
              <w:t>The internal structure of signs and language.</w:t>
            </w:r>
          </w:p>
        </w:tc>
      </w:tr>
    </w:tbl>
    <w:p>
      <w:pPr>
        <w:sectPr>
          <w:headerReference w:type="default" r:id="rId14"/>
          <w:footerReference w:type="default" r:id="rId15"/>
          <w:pgSz w:w="15840" w:h="12240" w:orient="landscape"/>
          <w:pgMar w:top="691" w:right="749" w:bottom="691" w:left="749" w:header="403" w:footer="432" w:gutter="0"/>
          <w:cols w:space="720"/>
          <w:docGrid w:linePitch="360"/>
        </w:sectPr>
      </w:pPr>
    </w:p>
    <w:p>
      <w:pPr>
        <w:pStyle w:val="Heading1"/>
        <w:keepNext/>
        <w:pageBreakBefore w:val="0"/>
        <w:pBdr>
          <w:bottom w:val="single" w:sz="5" w:space="1" w:color="1F4E79"/>
        </w:pBdr>
      </w:pPr>
      <w:r>
        <w:rPr>
          <w:rFonts w:ascii="EB Garamond" w:hAnsi="EB Garamond"/>
          <w:b/>
          <w:i w:val="0"/>
          <w:color w:val="1F4E79"/>
          <w:sz w:val="34"/>
        </w:rPr>
        <w:t>WORKING SOURCE ROUTES</w:t>
      </w:r>
    </w:p>
    <w:p>
      <w:pPr>
        <w:pStyle w:val="SourceRoute"/>
      </w:pPr>
      <w:r>
        <w:rPr>
          <w:rFonts w:ascii="EB Garamond" w:hAnsi="EB Garamond"/>
          <w:b w:val="0"/>
          <w:i w:val="0"/>
          <w:sz w:val="20"/>
        </w:rPr>
        <w:t xml:space="preserve">1. Saul K. Nassau, </w:t>
      </w:r>
      <w:r>
        <w:rPr>
          <w:rFonts w:ascii="EB Garamond" w:hAnsi="EB Garamond"/>
          <w:b w:val="0"/>
          <w:i/>
          <w:sz w:val="20"/>
        </w:rPr>
        <w:t>Year of the Snakes</w:t>
      </w:r>
      <w:r>
        <w:rPr>
          <w:rFonts w:ascii="EB Garamond" w:hAnsi="EB Garamond"/>
          <w:b w:val="0"/>
          <w:i w:val="0"/>
          <w:sz w:val="20"/>
        </w:rPr>
        <w:t xml:space="preserve">, open working monograph. 2. Saul K. Nassau, </w:t>
      </w:r>
      <w:r>
        <w:rPr>
          <w:rFonts w:ascii="EB Garamond" w:hAnsi="EB Garamond"/>
          <w:b w:val="0"/>
          <w:i/>
          <w:sz w:val="20"/>
        </w:rPr>
        <w:t>Contentinternet Idiomary</w:t>
      </w:r>
      <w:r>
        <w:rPr>
          <w:rFonts w:ascii="EB Garamond" w:hAnsi="EB Garamond"/>
          <w:b w:val="0"/>
          <w:i w:val="0"/>
          <w:sz w:val="20"/>
        </w:rPr>
        <w:t xml:space="preserve">, methodology and dictionary archive. 3. Saul K. Nassau, </w:t>
      </w:r>
      <w:r>
        <w:rPr>
          <w:rFonts w:ascii="EB Garamond" w:hAnsi="EB Garamond"/>
          <w:b w:val="0"/>
          <w:i/>
          <w:sz w:val="20"/>
        </w:rPr>
        <w:t>Carrying Over the Burdens of Trace: Weaving together Civic Rituals on the Silk Roads of the Post-Apocalypse</w:t>
      </w:r>
      <w:r>
        <w:rPr>
          <w:rFonts w:ascii="EB Garamond" w:hAnsi="EB Garamond"/>
          <w:b w:val="0"/>
          <w:i w:val="0"/>
          <w:sz w:val="20"/>
        </w:rPr>
        <w:t>, 2019. 4. Chapter 0 conversations from July 10 and July 11, 2026, including the point, Full Circle, Subject and Object, gesture, ritual, idiom, narrative, myth, dialogue, seminar, collective ritual, synergy, Flower of Life, Metatron's Cube, and Indra's Web. 5. Meaninglib methodology and module materials on Ouroborosanalysis, reflection and refraction, Occam's Razor, seminar facilitation, citation, provenance, linkability, internal and external logic, ironmanning, and MetaConsistentLogic. 6. Historical interlocutors for later primary citation include Euclid, Aristotle, Parmenides, Heraclitus, Hegel, Whitehead, Peirce, Husserl, Kandinsky, Bergson, Gebser, Lacan, Frege, Buber, Agamben, the Dao De Jing, Zhuangzi, the Yijing, Zhou Dunyi, and the phrase attributed to Toni Morrison concerning art and knowing when to stop.</w:t>
      </w:r>
    </w:p>
    <w:p>
      <w:pPr>
        <w:pStyle w:val="Heading1"/>
        <w:keepNext/>
        <w:pageBreakBefore w:val="0"/>
        <w:pBdr>
          <w:bottom w:val="single" w:sz="5" w:space="1" w:color="1F4E79"/>
        </w:pBdr>
      </w:pPr>
      <w:r>
        <w:rPr>
          <w:rFonts w:ascii="EB Garamond" w:hAnsi="EB Garamond"/>
          <w:b/>
          <w:i w:val="0"/>
          <w:color w:val="1F4E79"/>
          <w:sz w:val="34"/>
        </w:rPr>
        <w:t>BRACKETED DOWNSTREAM ROUTES</w:t>
      </w:r>
    </w:p>
    <w:p>
      <w:pPr>
        <w:pStyle w:val="AuthorNote"/>
      </w:pPr>
      <w:r>
        <w:rPr>
          <w:rFonts w:ascii="EB Garamond" w:hAnsi="EB Garamond"/>
          <w:b w:val="0"/>
          <w:i/>
          <w:color w:val="666666"/>
          <w:sz w:val="18"/>
        </w:rPr>
        <w:t xml:space="preserve">The exact ownership of Chapter 0 remains open because the chapter may begin </w:t>
      </w:r>
      <w:r>
        <w:rPr>
          <w:rFonts w:ascii="EB Garamond" w:hAnsi="EB Garamond"/>
          <w:b w:val="0"/>
          <w:i/>
          <w:color w:val="666666"/>
          <w:sz w:val="18"/>
        </w:rPr>
        <w:t>Polymorphousmythology</w:t>
      </w:r>
      <w:r>
        <w:rPr>
          <w:rFonts w:ascii="EB Garamond" w:hAnsi="EB Garamond"/>
          <w:b w:val="0"/>
          <w:i/>
          <w:color w:val="666666"/>
          <w:sz w:val="18"/>
        </w:rPr>
        <w:t xml:space="preserve">, begin </w:t>
      </w:r>
      <w:r>
        <w:rPr>
          <w:rFonts w:ascii="EB Garamond" w:hAnsi="EB Garamond"/>
          <w:b w:val="0"/>
          <w:i/>
          <w:color w:val="666666"/>
          <w:sz w:val="18"/>
        </w:rPr>
        <w:t>Year of the Snakes</w:t>
      </w:r>
      <w:r>
        <w:rPr>
          <w:rFonts w:ascii="EB Garamond" w:hAnsi="EB Garamond"/>
          <w:b w:val="0"/>
          <w:i/>
          <w:color w:val="666666"/>
          <w:sz w:val="18"/>
        </w:rPr>
        <w:t xml:space="preserve">, serve as a shared threshold, or become Book 0. </w:t>
      </w:r>
      <w:r>
        <w:rPr>
          <w:rFonts w:ascii="EB Garamond" w:hAnsi="EB Garamond"/>
          <w:b w:val="0"/>
          <w:i/>
          <w:color w:val="666666"/>
          <w:sz w:val="18"/>
        </w:rPr>
        <w:t>Year of the Snakes</w:t>
      </w:r>
      <w:r>
        <w:rPr>
          <w:rFonts w:ascii="EB Garamond" w:hAnsi="EB Garamond"/>
          <w:b w:val="0"/>
          <w:i/>
          <w:color w:val="666666"/>
          <w:sz w:val="18"/>
        </w:rPr>
        <w:t xml:space="preserve"> is itself simultaneously Book 0 and Book 5. The available bridge into the next movement begins when the relational jewel becomes the subject made from inherited clay. Language, culture, platformstrawmanculture, and mythology supply the material that a subject receives, digests, rejects, transforms, and recombines, which allows Chapter 1 to begin from the claim that originality is impossible and move toward original anyway. The developmental image remains earthworm substrate → bookworm consumption → silkworm digestion and production → cocoon → self-named emergence. These routes remain preserved without determining the opening or closing prose of Chapter 0.</w:t>
      </w:r>
    </w:p>
    <w:p>
      <w:pPr>
        <w:pStyle w:val="AuthorNote"/>
        <w:spacing w:before="240"/>
      </w:pPr>
      <w:r>
        <w:rPr>
          <w:rFonts w:ascii="EB Garamond" w:hAnsi="EB Garamond"/>
          <w:b w:val="0"/>
          <w:i/>
          <w:color w:val="666666"/>
          <w:sz w:val="17"/>
        </w:rPr>
        <w:t>Working provenance. This draft integrates the author-source corpus directly into the chapter voice, corrects obvious transcription and punctuation errors, and uses connective synthesis only where the sources leave a gap. It remains a working draft for Saul’s revision.</w:t>
      </w:r>
    </w:p>
    <w:sectPr w:rsidR="00FC693F" w:rsidRPr="0006063C" w:rsidSect="00034616">
      <w:headerReference w:type="default" r:id="rId16"/>
      <w:footerReference w:type="default" r:id="rId17"/>
      <w:pgSz w:w="12240" w:h="15840"/>
      <w:pgMar w:top="1123" w:right="1296" w:bottom="1037" w:left="1296"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66666"/>
        <w:sz w:val="16"/>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66666"/>
        <w:sz w:val="16"/>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EB Garamond" w:hAnsi="EB Garamond"/>
        <w:color w:val="666666"/>
        <w:sz w:val="16"/>
      </w:rPr>
      <w:t>CHAPTER 0  •  WORKING DRAFT 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EB Garamond" w:hAnsi="EB Garamond"/>
        <w:color w:val="666666"/>
        <w:sz w:val="16"/>
      </w:rPr>
      <w:t>CHAPTER 0  •  WORKING DRAFT 4</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EB Garamond" w:hAnsi="EB Garamond"/>
        <w:color w:val="666666"/>
        <w:sz w:val="16"/>
      </w:rPr>
      <w:t>CHAPTER 0  •  WORKING DRAFT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8" w:lineRule="auto"/>
    </w:pPr>
    <w:rPr>
      <w:rFonts w:ascii="EB Garamond" w:hAnsi="EB Garamond"/>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EB Garamond" w:hAnsi="EB Garamond"/>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widowControl/>
      <w:spacing w:after="140" w:line="278" w:lineRule="auto"/>
    </w:pPr>
    <w:rPr>
      <w:rFonts w:ascii="EB Garamond" w:hAnsi="EB Garamond"/>
      <w:color w:val="1F2933"/>
      <w:sz w:val="22"/>
    </w:rPr>
  </w:style>
  <w:style w:type="paragraph" w:customStyle="1" w:styleId="Prelude">
    <w:name w:val="Prelude"/>
    <w:basedOn w:val="Normal"/>
    <w:pPr>
      <w:widowControl/>
      <w:spacing w:after="200" w:line="283" w:lineRule="auto"/>
    </w:pPr>
    <w:rPr>
      <w:rFonts w:ascii="EB Garamond" w:hAnsi="EB Garamond"/>
      <w:color w:val="1F2933"/>
      <w:sz w:val="22"/>
    </w:rPr>
  </w:style>
  <w:style w:type="paragraph" w:customStyle="1" w:styleId="AuthorNote">
    <w:name w:val="Author Note"/>
    <w:basedOn w:val="Normal"/>
    <w:pPr>
      <w:spacing w:before="100" w:after="240"/>
      <w:ind w:left="360"/>
    </w:pPr>
    <w:rPr>
      <w:rFonts w:ascii="EB Garamond" w:hAnsi="EB Garamond"/>
      <w:i/>
      <w:color w:val="666666"/>
      <w:sz w:val="18"/>
    </w:rPr>
  </w:style>
  <w:style w:type="paragraph" w:customStyle="1" w:styleId="Movement">
    <w:name w:val="Movement"/>
    <w:basedOn w:val="Normal"/>
    <w:pPr>
      <w:spacing w:before="80" w:after="200" w:line="259" w:lineRule="auto"/>
    </w:pPr>
    <w:rPr>
      <w:rFonts w:ascii="EB Garamond" w:hAnsi="EB Garamond"/>
      <w:i/>
      <w:color w:val="666666"/>
      <w:sz w:val="18"/>
    </w:rPr>
  </w:style>
  <w:style w:type="paragraph" w:customStyle="1" w:styleId="SourceRoute">
    <w:name w:val="Source Route"/>
    <w:basedOn w:val="Normal"/>
    <w:pPr>
      <w:spacing w:after="80" w:line="259" w:lineRule="auto"/>
      <w:ind w:left="317" w:hanging="259"/>
    </w:pPr>
    <w:rPr>
      <w:rFonts w:ascii="EB Garamond" w:hAnsi="EB Garamond"/>
      <w:color w:val="1F29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0, Working Draft 4</dc:title>
  <dc:subject>Polymorphousmythology Chapter 0 working draft</dc:subject>
  <dc:creator>Saul K. Nassau</dc:creator>
  <cp:keywords/>
  <dc:description>Source-preserving working draft for author revision.</dc:description>
  <cp:lastModifiedBy/>
  <cp:revision>1</cp:revision>
  <dcterms:created xsi:type="dcterms:W3CDTF">2013-12-23T23:15:00Z</dcterms:created>
  <dcterms:modified xsi:type="dcterms:W3CDTF">2013-12-23T23:15:00Z</dcterms:modified>
  <cp:category/>
</cp:coreProperties>
</file>