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01A982"/>
          <w:sz w:val="72"/>
          <w:szCs w:val="72"/>
        </w:rPr>
        <w:t xml:space="preserve">OpenCMDB</w:t>
      </w:r>
    </w:p>
    <w:p>
      <w:pPr>
        <w:spacing w:after="40"/>
        <w:jc w:val="center"/>
      </w:pPr>
      <w:r>
        <w:rPr>
          <w:color w:val="767676"/>
          <w:sz w:val="36"/>
          <w:szCs w:val="36"/>
        </w:rPr>
        <w:t xml:space="preserve">Solution Design Document</w:t>
      </w:r>
    </w:p>
    <w:p>
      <w:pPr>
        <w:spacing w:after="600"/>
        <w:jc w:val="center"/>
      </w:pPr>
      <w:r>
        <w:rPr>
          <w:sz w:val="24"/>
          <w:szCs w:val="24"/>
        </w:rPr>
        <w:t xml:space="preserve">Enterprise Hardware Asset Discovery &amp; CMDB</w:t>
      </w:r>
    </w:p>
    <w:p>
      <w:pPr>
        <w:jc w:val="center"/>
      </w:pPr>
      <w:r>
        <w:rPr>
          <w:i/>
          <w:iCs/>
          <w:color w:val="767676"/>
          <w:sz w:val="22"/>
          <w:szCs w:val="22"/>
        </w:rPr>
        <w:t xml:space="preserve">High-Level Design (HLD) · Low-Level Design (LLD) · Technical Diagrams</w:t>
      </w:r>
    </w:p>
    <w:p>
      <w:pPr>
        <w:spacing w:before="1200"/>
        <w:jc w:val="center"/>
      </w:pPr>
      <w:r>
        <w:rPr>
          <w:sz w:val="22"/>
          <w:szCs w:val="22"/>
        </w:rPr>
        <w:t xml:space="preserve">Version 1.0    ·    2026-07-06</w:t>
      </w:r>
    </w:p>
    <w:p>
      <w:pPr>
        <w:jc w:val="center"/>
      </w:pPr>
      <w:r>
        <w:rPr>
          <w:color w:val="767676"/>
          <w:sz w:val="20"/>
          <w:szCs w:val="20"/>
        </w:rPr>
        <w:t xml:space="preserve">Baremetal · Hypervisors · VMs · Storage · Network</w:t>
      </w:r>
    </w:p>
    <w:p>
      <w:r>
        <w:br w:type="page"/>
      </w:r>
    </w:p>
    <w:p>
      <w:pPr>
        <w:pStyle w:val="Heading1"/>
        <w:pBdr>
          <w:bottom w:val="single" w:color="01A982" w:sz="10" w:space="4"/>
        </w:pBdr>
        <w:spacing w:after="120" w:before="260"/>
      </w:pPr>
      <w:r>
        <w:rPr>
          <w:color w:val="333333"/>
        </w:rPr>
        <w:t xml:space="preserve">1. Executive Summary</w:t>
      </w:r>
    </w:p>
    <w:p>
      <w:pPr>
        <w:spacing w:after="100"/>
      </w:pPr>
      <w:r>
        <w:t xml:space="preserve">OpenCMDB is an enterprise-grade platform that discovers, normalizes, and manages a complete hardware asset inventory across baremetal servers, hypervisors, virtual machines, storage, and network devices. It combines the two disciplines that commercial tools such as OpenText uCMDB and HPE OpsRamp address separately: agentless multi-protocol discovery and a reconciled system of record (CMDB).</w:t>
      </w:r>
    </w:p>
    <w:p>
      <w:pPr>
        <w:spacing w:after="100"/>
      </w:pPr>
      <w:r>
        <w:t xml:space="preserve">Discovery is performed agentlessly over the Redfish API (HPE iLO / DMTF BMCs) for deep baremetal hardware inventory, and over SNMP (v2c/v3) for network devices and servers. Every discovered resource becomes a first-class Configuration Item (CI) with a full attribute set and typed relationships. A reconciliation engine guarantees one stable identity per physical asset across sources and repeated scans. The platform exposes a REST API, a web console (inventory, resource hierarchy, dependency topology), and an Excel inventory export.</w:t>
      </w:r>
    </w:p>
    <w:p>
      <w:pPr>
        <w:spacing w:after="100"/>
      </w:pPr>
      <w:r>
        <w:t xml:space="preserve">This document presents the High-Level Design (system architecture, data flow, deployment) and the Low-Level Design (data model, reconciliation algorithm, connector design, discovery sequence, API), supported by technical diagrams.</w:t>
      </w:r>
    </w:p>
    <w:p>
      <w:pPr>
        <w:pStyle w:val="Heading1"/>
        <w:pBdr>
          <w:bottom w:val="single" w:color="01A982" w:sz="10" w:space="4"/>
        </w:pBdr>
        <w:spacing w:after="120" w:before="260"/>
      </w:pPr>
      <w:r>
        <w:rPr>
          <w:color w:val="333333"/>
        </w:rPr>
        <w:t xml:space="preserve">2. Objectives &amp; Scope</w:t>
      </w:r>
    </w:p>
    <w:p>
      <w:pPr>
        <w:pStyle w:val="Heading3"/>
        <w:spacing w:after="60" w:before="120"/>
      </w:pPr>
      <w:r>
        <w:t xml:space="preserve">In scope</w:t>
      </w:r>
    </w:p>
    <w:p>
      <w:pPr>
        <w:pStyle w:val="ListParagraph"/>
        <w:numPr>
          <w:ilvl w:val="0"/>
          <w:numId w:val="1"/>
        </w:numPr>
        <w:spacing w:after="40"/>
      </w:pPr>
      <w:r>
        <w:t xml:space="preserve">Agentless discovery via Redfish (baremetal), SNMP (network/servers, +LLDP L2 topology), vCenter/ESXi (hypervisors + VMs + datastores), and SSH (Linux/Unix).</w:t>
      </w:r>
    </w:p>
    <w:p>
      <w:pPr>
        <w:pStyle w:val="ListParagraph"/>
        <w:numPr>
          <w:ilvl w:val="0"/>
          <w:numId w:val="1"/>
        </w:numPr>
        <w:spacing w:after="40"/>
      </w:pPr>
      <w:r>
        <w:t xml:space="preserve">CMDB core: typed CIs, directed relationships, reconciliation, change history, manual merge.</w:t>
      </w:r>
    </w:p>
    <w:p>
      <w:pPr>
        <w:pStyle w:val="ListParagraph"/>
        <w:numPr>
          <w:ilvl w:val="0"/>
          <w:numId w:val="1"/>
        </w:numPr>
        <w:spacing w:after="40"/>
      </w:pPr>
      <w:r>
        <w:t xml:space="preserve">Encrypted credential vault (AES-256-GCM at rest); API tokens + RBAC + audit trail (opt-in).</w:t>
      </w:r>
    </w:p>
    <w:p>
      <w:pPr>
        <w:pStyle w:val="ListParagraph"/>
        <w:numPr>
          <w:ilvl w:val="0"/>
          <w:numId w:val="1"/>
        </w:numPr>
        <w:spacing w:after="40"/>
      </w:pPr>
      <w:r>
        <w:t xml:space="preserve">CI lifecycle (stale → decommissioned) and Prometheus metrics.</w:t>
      </w:r>
    </w:p>
    <w:p>
      <w:pPr>
        <w:pStyle w:val="ListParagraph"/>
        <w:numPr>
          <w:ilvl w:val="0"/>
          <w:numId w:val="1"/>
        </w:numPr>
        <w:spacing w:after="40"/>
      </w:pPr>
      <w:r>
        <w:t xml:space="preserve">Web console: dashboard, searchable inventory, CI detail, resource hierarchy, dependency topology, access &amp; audit.</w:t>
      </w:r>
    </w:p>
    <w:p>
      <w:pPr>
        <w:pStyle w:val="ListParagraph"/>
        <w:numPr>
          <w:ilvl w:val="0"/>
          <w:numId w:val="1"/>
        </w:numPr>
        <w:spacing w:after="40"/>
      </w:pPr>
      <w:r>
        <w:t xml:space="preserve">Bulk inventory reports: filter-aware Excel and CSV.</w:t>
      </w:r>
    </w:p>
    <w:p>
      <w:pPr>
        <w:pStyle w:val="Heading3"/>
        <w:spacing w:after="60" w:before="120"/>
      </w:pPr>
      <w:r>
        <w:t xml:space="preserve">Out of scope</w:t>
      </w:r>
    </w:p>
    <w:p>
      <w:pPr>
        <w:pStyle w:val="ListParagraph"/>
        <w:numPr>
          <w:ilvl w:val="0"/>
          <w:numId w:val="1"/>
        </w:numPr>
        <w:spacing w:after="40"/>
      </w:pPr>
      <w:r>
        <w:t xml:space="preserve">Monitoring / alerting / AIOps; agent-based collection; multi-tenancy.</w:t>
      </w:r>
    </w:p>
    <w:p>
      <w:pPr>
        <w:pStyle w:val="ListParagraph"/>
        <w:numPr>
          <w:ilvl w:val="0"/>
          <w:numId w:val="1"/>
        </w:numPr>
        <w:spacing w:after="40"/>
      </w:pPr>
      <w:r>
        <w:t xml:space="preserve">Connectors not yet built: WMI/WinRM (Windows), cloud (AWS/Azure/GCP), storage arrays.</w:t>
      </w:r>
    </w:p>
    <w:p>
      <w:pPr>
        <w:pStyle w:val="ListParagraph"/>
        <w:numPr>
          <w:ilvl w:val="0"/>
          <w:numId w:val="1"/>
        </w:numPr>
        <w:spacing w:after="40"/>
      </w:pPr>
      <w:r>
        <w:t xml:space="preserve">Postgres backend, collector appliances, and OIDC federation (designed for; see §9).</w:t>
      </w:r>
    </w:p>
    <w:p>
      <w:pPr>
        <w:pStyle w:val="Heading1"/>
        <w:pBdr>
          <w:bottom w:val="single" w:color="01A982" w:sz="10" w:space="4"/>
        </w:pBdr>
        <w:spacing w:after="120" w:before="260"/>
      </w:pPr>
      <w:r>
        <w:rPr>
          <w:color w:val="333333"/>
        </w:rPr>
        <w:t xml:space="preserve">3. Reference Product Analysis</w:t>
      </w:r>
    </w:p>
    <w:p>
      <w:pPr>
        <w:spacing w:after="100"/>
      </w:pPr>
      <w:r>
        <w:t xml:space="preserve">OpenCMDB targets the intersection of the two reference products: discover → normalize → manage a hardware asset inventory.</w:t>
      </w:r>
    </w:p>
    <w:tbl>
      <w:tblPr>
        <w:tblW w:type="pct" w:w="100%"/>
        <w:tblBorders>
          <w:top w:val="single" w:color="D5DCE6" w:sz="2"/>
          <w:left w:val="single" w:color="D5DCE6" w:sz="2"/>
          <w:bottom w:val="single" w:color="D5DCE6" w:sz="2"/>
          <w:right w:val="single" w:color="D5DCE6" w:sz="2"/>
          <w:insideH w:val="single" w:color="D5DCE6" w:sz="2"/>
          <w:insideV w:val="single" w:color="D5DCE6" w:sz="2"/>
        </w:tblBorders>
      </w:tblPr>
      <w:tblGrid>
        <w:gridCol w:w="100"/>
        <w:gridCol w:w="100"/>
        <w:gridCol w:w="100"/>
        <w:gridCol w:w="100"/>
      </w:tblGrid>
      <w:tr>
        <w:trPr>
          <w:tblHeader/>
        </w:trPr>
        <w:tc>
          <w:tcPr>
            <w:tcW w:type="pct" w:w="22%"/>
            <w:shd w:fill="01A982"/>
            <w:tcMar>
              <w:top w:type="dxa" w:w="40"/>
              <w:left w:type="dxa" w:w="90"/>
              <w:bottom w:type="dxa" w:w="40"/>
              <w:right w:type="dxa" w:w="90"/>
            </w:tcMar>
          </w:tcPr>
          <w:p>
            <w:r>
              <w:rPr>
                <w:b/>
                <w:bCs/>
                <w:color w:val="FFFFFF"/>
                <w:sz w:val="18"/>
                <w:szCs w:val="18"/>
              </w:rPr>
              <w:t xml:space="preserve">Capability</w:t>
            </w:r>
          </w:p>
        </w:tc>
        <w:tc>
          <w:tcPr>
            <w:tcW w:type="pct" w:w="26%"/>
            <w:shd w:fill="01A982"/>
            <w:tcMar>
              <w:top w:type="dxa" w:w="40"/>
              <w:left w:type="dxa" w:w="90"/>
              <w:bottom w:type="dxa" w:w="40"/>
              <w:right w:type="dxa" w:w="90"/>
            </w:tcMar>
          </w:tcPr>
          <w:p>
            <w:r>
              <w:rPr>
                <w:b/>
                <w:bCs/>
                <w:color w:val="FFFFFF"/>
                <w:sz w:val="18"/>
                <w:szCs w:val="18"/>
              </w:rPr>
              <w:t xml:space="preserve">OpenText uCMDB</w:t>
            </w:r>
          </w:p>
        </w:tc>
        <w:tc>
          <w:tcPr>
            <w:tcW w:type="pct" w:w="26%"/>
            <w:shd w:fill="01A982"/>
            <w:tcMar>
              <w:top w:type="dxa" w:w="40"/>
              <w:left w:type="dxa" w:w="90"/>
              <w:bottom w:type="dxa" w:w="40"/>
              <w:right w:type="dxa" w:w="90"/>
            </w:tcMar>
          </w:tcPr>
          <w:p>
            <w:r>
              <w:rPr>
                <w:b/>
                <w:bCs/>
                <w:color w:val="FFFFFF"/>
                <w:sz w:val="18"/>
                <w:szCs w:val="18"/>
              </w:rPr>
              <w:t xml:space="preserve">HPE OpsRamp</w:t>
            </w:r>
          </w:p>
        </w:tc>
        <w:tc>
          <w:tcPr>
            <w:tcW w:type="pct" w:w="26%"/>
            <w:shd w:fill="01A982"/>
            <w:tcMar>
              <w:top w:type="dxa" w:w="40"/>
              <w:left w:type="dxa" w:w="90"/>
              <w:bottom w:type="dxa" w:w="40"/>
              <w:right w:type="dxa" w:w="90"/>
            </w:tcMar>
          </w:tcPr>
          <w:p>
            <w:r>
              <w:rPr>
                <w:b/>
                <w:bCs/>
                <w:color w:val="FFFFFF"/>
                <w:sz w:val="18"/>
                <w:szCs w:val="18"/>
              </w:rPr>
              <w:t xml:space="preserve">OpenCMDB</w:t>
            </w:r>
          </w:p>
        </w:tc>
      </w:tr>
      <w:tr>
        <w:tc>
          <w:tcPr>
            <w:tcW w:type="pct" w:w="22%"/>
            <w:tcMar>
              <w:top w:type="dxa" w:w="40"/>
              <w:left w:type="dxa" w:w="90"/>
              <w:bottom w:type="dxa" w:w="40"/>
              <w:right w:type="dxa" w:w="90"/>
            </w:tcMar>
          </w:tcPr>
          <w:p>
            <w:r>
              <w:rPr>
                <w:sz w:val="18"/>
                <w:szCs w:val="18"/>
              </w:rPr>
              <w:t xml:space="preserve">Primary role</w:t>
            </w:r>
          </w:p>
        </w:tc>
        <w:tc>
          <w:tcPr>
            <w:tcW w:type="pct" w:w="26%"/>
            <w:tcMar>
              <w:top w:type="dxa" w:w="40"/>
              <w:left w:type="dxa" w:w="90"/>
              <w:bottom w:type="dxa" w:w="40"/>
              <w:right w:type="dxa" w:w="90"/>
            </w:tcMar>
          </w:tcPr>
          <w:p>
            <w:r>
              <w:rPr>
                <w:sz w:val="18"/>
                <w:szCs w:val="18"/>
              </w:rPr>
              <w:t xml:space="preserve">System of record (CMDB)</w:t>
            </w:r>
          </w:p>
        </w:tc>
        <w:tc>
          <w:tcPr>
            <w:tcW w:type="pct" w:w="26%"/>
            <w:tcMar>
              <w:top w:type="dxa" w:w="40"/>
              <w:left w:type="dxa" w:w="90"/>
              <w:bottom w:type="dxa" w:w="40"/>
              <w:right w:type="dxa" w:w="90"/>
            </w:tcMar>
          </w:tcPr>
          <w:p>
            <w:r>
              <w:rPr>
                <w:sz w:val="18"/>
                <w:szCs w:val="18"/>
              </w:rPr>
              <w:t xml:space="preserve">Hybrid IT ops &amp; monitoring</w:t>
            </w:r>
          </w:p>
        </w:tc>
        <w:tc>
          <w:tcPr>
            <w:tcW w:type="pct" w:w="26%"/>
            <w:tcMar>
              <w:top w:type="dxa" w:w="40"/>
              <w:left w:type="dxa" w:w="90"/>
              <w:bottom w:type="dxa" w:w="40"/>
              <w:right w:type="dxa" w:w="90"/>
            </w:tcMar>
          </w:tcPr>
          <w:p>
            <w:r>
              <w:rPr>
                <w:sz w:val="18"/>
                <w:szCs w:val="18"/>
              </w:rPr>
              <w:t xml:space="preserve">Discovery + CMDB inventory</w:t>
            </w:r>
          </w:p>
        </w:tc>
      </w:tr>
      <w:tr>
        <w:tc>
          <w:tcPr>
            <w:tcW w:type="pct" w:w="22%"/>
            <w:shd w:fill="F5F7FA"/>
            <w:tcMar>
              <w:top w:type="dxa" w:w="40"/>
              <w:left w:type="dxa" w:w="90"/>
              <w:bottom w:type="dxa" w:w="40"/>
              <w:right w:type="dxa" w:w="90"/>
            </w:tcMar>
          </w:tcPr>
          <w:p>
            <w:r>
              <w:rPr>
                <w:sz w:val="18"/>
                <w:szCs w:val="18"/>
              </w:rPr>
              <w:t xml:space="preserve">CI type model</w:t>
            </w:r>
          </w:p>
        </w:tc>
        <w:tc>
          <w:tcPr>
            <w:tcW w:type="pct" w:w="26%"/>
            <w:shd w:fill="F5F7FA"/>
            <w:tcMar>
              <w:top w:type="dxa" w:w="40"/>
              <w:left w:type="dxa" w:w="90"/>
              <w:bottom w:type="dxa" w:w="40"/>
              <w:right w:type="dxa" w:w="90"/>
            </w:tcMar>
          </w:tcPr>
          <w:p>
            <w:r>
              <w:rPr>
                <w:sz w:val="18"/>
                <w:szCs w:val="18"/>
              </w:rPr>
              <w:t xml:space="preserve">Rich CIT hierarchy</w:t>
            </w:r>
          </w:p>
        </w:tc>
        <w:tc>
          <w:tcPr>
            <w:tcW w:type="pct" w:w="26%"/>
            <w:shd w:fill="F5F7FA"/>
            <w:tcMar>
              <w:top w:type="dxa" w:w="40"/>
              <w:left w:type="dxa" w:w="90"/>
              <w:bottom w:type="dxa" w:w="40"/>
              <w:right w:type="dxa" w:w="90"/>
            </w:tcMar>
          </w:tcPr>
          <w:p>
            <w:r>
              <w:rPr>
                <w:sz w:val="18"/>
                <w:szCs w:val="18"/>
              </w:rPr>
              <w:t xml:space="preserve">Resource-type based</w:t>
            </w:r>
          </w:p>
        </w:tc>
        <w:tc>
          <w:tcPr>
            <w:tcW w:type="pct" w:w="26%"/>
            <w:shd w:fill="F5F7FA"/>
            <w:tcMar>
              <w:top w:type="dxa" w:w="40"/>
              <w:left w:type="dxa" w:w="90"/>
              <w:bottom w:type="dxa" w:w="40"/>
              <w:right w:type="dxa" w:w="90"/>
            </w:tcMar>
          </w:tcPr>
          <w:p>
            <w:r>
              <w:rPr>
                <w:sz w:val="18"/>
                <w:szCs w:val="18"/>
              </w:rPr>
              <w:t xml:space="preserve">Typed CI catalog</w:t>
            </w:r>
          </w:p>
        </w:tc>
      </w:tr>
      <w:tr>
        <w:tc>
          <w:tcPr>
            <w:tcW w:type="pct" w:w="22%"/>
            <w:tcMar>
              <w:top w:type="dxa" w:w="40"/>
              <w:left w:type="dxa" w:w="90"/>
              <w:bottom w:type="dxa" w:w="40"/>
              <w:right w:type="dxa" w:w="90"/>
            </w:tcMar>
          </w:tcPr>
          <w:p>
            <w:r>
              <w:rPr>
                <w:sz w:val="18"/>
                <w:szCs w:val="18"/>
              </w:rPr>
              <w:t xml:space="preserve">Discovery</w:t>
            </w:r>
          </w:p>
        </w:tc>
        <w:tc>
          <w:tcPr>
            <w:tcW w:type="pct" w:w="26%"/>
            <w:tcMar>
              <w:top w:type="dxa" w:w="40"/>
              <w:left w:type="dxa" w:w="90"/>
              <w:bottom w:type="dxa" w:w="40"/>
              <w:right w:type="dxa" w:w="90"/>
            </w:tcMar>
          </w:tcPr>
          <w:p>
            <w:r>
              <w:rPr>
                <w:sz w:val="18"/>
                <w:szCs w:val="18"/>
              </w:rPr>
              <w:t xml:space="preserve">Universal Discovery (agent + agentless)</w:t>
            </w:r>
          </w:p>
        </w:tc>
        <w:tc>
          <w:tcPr>
            <w:tcW w:type="pct" w:w="26%"/>
            <w:tcMar>
              <w:top w:type="dxa" w:w="40"/>
              <w:left w:type="dxa" w:w="90"/>
              <w:bottom w:type="dxa" w:w="40"/>
              <w:right w:type="dxa" w:w="90"/>
            </w:tcMar>
          </w:tcPr>
          <w:p>
            <w:r>
              <w:rPr>
                <w:sz w:val="18"/>
                <w:szCs w:val="18"/>
              </w:rPr>
              <w:t xml:space="preserve">Agent + agentless gateway</w:t>
            </w:r>
          </w:p>
        </w:tc>
        <w:tc>
          <w:tcPr>
            <w:tcW w:type="pct" w:w="26%"/>
            <w:tcMar>
              <w:top w:type="dxa" w:w="40"/>
              <w:left w:type="dxa" w:w="90"/>
              <w:bottom w:type="dxa" w:w="40"/>
              <w:right w:type="dxa" w:w="90"/>
            </w:tcMar>
          </w:tcPr>
          <w:p>
            <w:r>
              <w:rPr>
                <w:sz w:val="18"/>
                <w:szCs w:val="18"/>
              </w:rPr>
              <w:t xml:space="preserve">Agentless: Redfish, SNMP, vCenter, SSH</w:t>
            </w:r>
          </w:p>
        </w:tc>
      </w:tr>
      <w:tr>
        <w:tc>
          <w:tcPr>
            <w:tcW w:type="pct" w:w="22%"/>
            <w:shd w:fill="F5F7FA"/>
            <w:tcMar>
              <w:top w:type="dxa" w:w="40"/>
              <w:left w:type="dxa" w:w="90"/>
              <w:bottom w:type="dxa" w:w="40"/>
              <w:right w:type="dxa" w:w="90"/>
            </w:tcMar>
          </w:tcPr>
          <w:p>
            <w:r>
              <w:rPr>
                <w:sz w:val="18"/>
                <w:szCs w:val="18"/>
              </w:rPr>
              <w:t xml:space="preserve">Reconciliation</w:t>
            </w:r>
          </w:p>
        </w:tc>
        <w:tc>
          <w:tcPr>
            <w:tcW w:type="pct" w:w="26%"/>
            <w:shd w:fill="F5F7FA"/>
            <w:tcMar>
              <w:top w:type="dxa" w:w="40"/>
              <w:left w:type="dxa" w:w="90"/>
              <w:bottom w:type="dxa" w:w="40"/>
              <w:right w:type="dxa" w:w="90"/>
            </w:tcMar>
          </w:tcPr>
          <w:p>
            <w:r>
              <w:rPr>
                <w:sz w:val="18"/>
                <w:szCs w:val="18"/>
              </w:rPr>
              <w:t xml:space="preserve">Identification rules</w:t>
            </w:r>
          </w:p>
        </w:tc>
        <w:tc>
          <w:tcPr>
            <w:tcW w:type="pct" w:w="26%"/>
            <w:shd w:fill="F5F7FA"/>
            <w:tcMar>
              <w:top w:type="dxa" w:w="40"/>
              <w:left w:type="dxa" w:w="90"/>
              <w:bottom w:type="dxa" w:w="40"/>
              <w:right w:type="dxa" w:w="90"/>
            </w:tcMar>
          </w:tcPr>
          <w:p>
            <w:r>
              <w:rPr>
                <w:sz w:val="18"/>
                <w:szCs w:val="18"/>
              </w:rPr>
              <w:t xml:space="preserve">Resource de-dup</w:t>
            </w:r>
          </w:p>
        </w:tc>
        <w:tc>
          <w:tcPr>
            <w:tcW w:type="pct" w:w="26%"/>
            <w:shd w:fill="F5F7FA"/>
            <w:tcMar>
              <w:top w:type="dxa" w:w="40"/>
              <w:left w:type="dxa" w:w="90"/>
              <w:bottom w:type="dxa" w:w="40"/>
              <w:right w:type="dxa" w:w="90"/>
            </w:tcMar>
          </w:tcPr>
          <w:p>
            <w:r>
              <w:rPr>
                <w:sz w:val="18"/>
                <w:szCs w:val="18"/>
              </w:rPr>
              <w:t xml:space="preserve">Type-scoped identifier-priority engine</w:t>
            </w:r>
          </w:p>
        </w:tc>
      </w:tr>
      <w:tr>
        <w:tc>
          <w:tcPr>
            <w:tcW w:type="pct" w:w="22%"/>
            <w:tcMar>
              <w:top w:type="dxa" w:w="40"/>
              <w:left w:type="dxa" w:w="90"/>
              <w:bottom w:type="dxa" w:w="40"/>
              <w:right w:type="dxa" w:w="90"/>
            </w:tcMar>
          </w:tcPr>
          <w:p>
            <w:r>
              <w:rPr>
                <w:sz w:val="18"/>
                <w:szCs w:val="18"/>
              </w:rPr>
              <w:t xml:space="preserve">Topology</w:t>
            </w:r>
          </w:p>
        </w:tc>
        <w:tc>
          <w:tcPr>
            <w:tcW w:type="pct" w:w="26%"/>
            <w:tcMar>
              <w:top w:type="dxa" w:w="40"/>
              <w:left w:type="dxa" w:w="90"/>
              <w:bottom w:type="dxa" w:w="40"/>
              <w:right w:type="dxa" w:w="90"/>
            </w:tcMar>
          </w:tcPr>
          <w:p>
            <w:r>
              <w:rPr>
                <w:sz w:val="18"/>
                <w:szCs w:val="18"/>
              </w:rPr>
              <w:t xml:space="preserve">Graph + impact analysis</w:t>
            </w:r>
          </w:p>
        </w:tc>
        <w:tc>
          <w:tcPr>
            <w:tcW w:type="pct" w:w="26%"/>
            <w:tcMar>
              <w:top w:type="dxa" w:w="40"/>
              <w:left w:type="dxa" w:w="90"/>
              <w:bottom w:type="dxa" w:w="40"/>
              <w:right w:type="dxa" w:w="90"/>
            </w:tcMar>
          </w:tcPr>
          <w:p>
            <w:r>
              <w:rPr>
                <w:sz w:val="18"/>
                <w:szCs w:val="18"/>
              </w:rPr>
              <w:t xml:space="preserve">Service maps</w:t>
            </w:r>
          </w:p>
        </w:tc>
        <w:tc>
          <w:tcPr>
            <w:tcW w:type="pct" w:w="26%"/>
            <w:tcMar>
              <w:top w:type="dxa" w:w="40"/>
              <w:left w:type="dxa" w:w="90"/>
              <w:bottom w:type="dxa" w:w="40"/>
              <w:right w:type="dxa" w:w="90"/>
            </w:tcMar>
          </w:tcPr>
          <w:p>
            <w:r>
              <w:rPr>
                <w:sz w:val="18"/>
                <w:szCs w:val="18"/>
              </w:rPr>
              <w:t xml:space="preserve">Directed relationship graph + views</w:t>
            </w:r>
          </w:p>
        </w:tc>
      </w:tr>
      <w:tr>
        <w:tc>
          <w:tcPr>
            <w:tcW w:type="pct" w:w="22%"/>
            <w:shd w:fill="F5F7FA"/>
            <w:tcMar>
              <w:top w:type="dxa" w:w="40"/>
              <w:left w:type="dxa" w:w="90"/>
              <w:bottom w:type="dxa" w:w="40"/>
              <w:right w:type="dxa" w:w="90"/>
            </w:tcMar>
          </w:tcPr>
          <w:p>
            <w:r>
              <w:rPr>
                <w:sz w:val="18"/>
                <w:szCs w:val="18"/>
              </w:rPr>
              <w:t xml:space="preserve">Deployment</w:t>
            </w:r>
          </w:p>
        </w:tc>
        <w:tc>
          <w:tcPr>
            <w:tcW w:type="pct" w:w="26%"/>
            <w:shd w:fill="F5F7FA"/>
            <w:tcMar>
              <w:top w:type="dxa" w:w="40"/>
              <w:left w:type="dxa" w:w="90"/>
              <w:bottom w:type="dxa" w:w="40"/>
              <w:right w:type="dxa" w:w="90"/>
            </w:tcMar>
          </w:tcPr>
          <w:p>
            <w:r>
              <w:rPr>
                <w:sz w:val="18"/>
                <w:szCs w:val="18"/>
              </w:rPr>
              <w:t xml:space="preserve">Server + Data Flow Probes</w:t>
            </w:r>
          </w:p>
        </w:tc>
        <w:tc>
          <w:tcPr>
            <w:tcW w:type="pct" w:w="26%"/>
            <w:shd w:fill="F5F7FA"/>
            <w:tcMar>
              <w:top w:type="dxa" w:w="40"/>
              <w:left w:type="dxa" w:w="90"/>
              <w:bottom w:type="dxa" w:w="40"/>
              <w:right w:type="dxa" w:w="90"/>
            </w:tcMar>
          </w:tcPr>
          <w:p>
            <w:r>
              <w:rPr>
                <w:sz w:val="18"/>
                <w:szCs w:val="18"/>
              </w:rPr>
              <w:t xml:space="preserve">SaaS + collector appliances</w:t>
            </w:r>
          </w:p>
        </w:tc>
        <w:tc>
          <w:tcPr>
            <w:tcW w:type="pct" w:w="26%"/>
            <w:shd w:fill="F5F7FA"/>
            <w:tcMar>
              <w:top w:type="dxa" w:w="40"/>
              <w:left w:type="dxa" w:w="90"/>
              <w:bottom w:type="dxa" w:w="40"/>
              <w:right w:type="dxa" w:w="90"/>
            </w:tcMar>
          </w:tcPr>
          <w:p>
            <w:r>
              <w:rPr>
                <w:sz w:val="18"/>
                <w:szCs w:val="18"/>
              </w:rPr>
              <w:t xml:space="preserve">Single node; collector model on roadmap</w:t>
            </w:r>
          </w:p>
        </w:tc>
      </w:tr>
    </w:tbl>
    <w:p>
      <w:pPr>
        <w:spacing w:after="120"/>
      </w:pPr>
    </w:p>
    <w:p>
      <w:pPr>
        <w:spacing w:after="100"/>
      </w:pPr>
      <w:r>
        <w:t xml:space="preserve">Design stance: keep the core (CI model, reconciliation, relationships, API) small and correct; make discovery a pluggable connector interface so new protocols are additive.</w:t>
      </w:r>
    </w:p>
    <w:p>
      <w:r>
        <w:br w:type="page"/>
      </w:r>
    </w:p>
    <w:p>
      <w:pPr>
        <w:pStyle w:val="Heading1"/>
        <w:pBdr>
          <w:bottom w:val="single" w:color="01A982" w:sz="10" w:space="4"/>
        </w:pBdr>
        <w:spacing w:after="120" w:before="260"/>
      </w:pPr>
      <w:r>
        <w:rPr>
          <w:color w:val="333333"/>
        </w:rPr>
        <w:t xml:space="preserve">4. High-Level Design (HLD)</w:t>
      </w:r>
    </w:p>
    <w:p>
      <w:pPr>
        <w:pStyle w:val="Heading2"/>
        <w:spacing w:after="80" w:before="180"/>
      </w:pPr>
      <w:r>
        <w:rPr>
          <w:color w:val="01A982"/>
        </w:rPr>
        <w:t xml:space="preserve">4.1 System Architecture</w:t>
      </w:r>
    </w:p>
    <w:p>
      <w:pPr>
        <w:spacing w:after="40" w:before="60"/>
        <w:jc w:val="center"/>
      </w:pPr>
      <w:r>
        <w:drawing>
          <wp:inline distT="0" distB="0" distL="0" distR="0">
            <wp:extent cx="59055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771900"/>
                    </a:xfrm>
                    <a:prstGeom prst="rect">
                      <a:avLst/>
                    </a:prstGeom>
                  </pic:spPr>
                </pic:pic>
              </a:graphicData>
            </a:graphic>
          </wp:inline>
        </w:drawing>
      </w:r>
    </w:p>
    <w:p>
      <w:pPr>
        <w:spacing w:after="160"/>
        <w:jc w:val="center"/>
      </w:pPr>
      <w:r>
        <w:rPr>
          <w:i/>
          <w:iCs/>
          <w:color w:val="767676"/>
          <w:sz w:val="17"/>
          <w:szCs w:val="17"/>
        </w:rPr>
        <w:t xml:space="preserve">Figure 1 — Layered system architecture</w:t>
      </w:r>
    </w:p>
    <w:p>
      <w:pPr>
        <w:spacing w:after="100"/>
      </w:pPr>
      <w:r>
        <w:t xml:space="preserve">The platform is organized in layers:</w:t>
      </w:r>
    </w:p>
    <w:p>
      <w:pPr>
        <w:pStyle w:val="ListParagraph"/>
        <w:numPr>
          <w:ilvl w:val="0"/>
          <w:numId w:val="1"/>
        </w:numPr>
        <w:spacing w:after="40"/>
      </w:pPr>
      <w:r>
        <w:rPr>
          <w:b/>
          <w:bCs/>
        </w:rPr>
        <w:t xml:space="preserve">Web Console (SPA):</w:t>
      </w:r>
      <w:r>
        <w:t xml:space="preserve"> dashboard, inventory browser, CI detail, resource hierarchy tree, and dependency topology graph — no build step, served statically.</w:t>
      </w:r>
    </w:p>
    <w:p>
      <w:pPr>
        <w:pStyle w:val="ListParagraph"/>
        <w:numPr>
          <w:ilvl w:val="0"/>
          <w:numId w:val="1"/>
        </w:numPr>
        <w:spacing w:after="40"/>
      </w:pPr>
      <w:r>
        <w:rPr>
          <w:b/>
          <w:bCs/>
        </w:rPr>
        <w:t xml:space="preserve">REST API (Fastify):</w:t>
      </w:r>
      <w:r>
        <w:t xml:space="preserve"> a thin, fast HTTP layer exposing CIs, jobs, runs, topology, and export endpoints.</w:t>
      </w:r>
    </w:p>
    <w:p>
      <w:pPr>
        <w:pStyle w:val="ListParagraph"/>
        <w:numPr>
          <w:ilvl w:val="0"/>
          <w:numId w:val="1"/>
        </w:numPr>
        <w:spacing w:after="40"/>
      </w:pPr>
      <w:r>
        <w:rPr>
          <w:b/>
          <w:bCs/>
        </w:rPr>
        <w:t xml:space="preserve">CMDB Core:</w:t>
      </w:r>
      <w:r>
        <w:t xml:space="preserve"> the CI type model, the reconciliation engine, relationships, and change history.</w:t>
      </w:r>
    </w:p>
    <w:p>
      <w:pPr>
        <w:pStyle w:val="ListParagraph"/>
        <w:numPr>
          <w:ilvl w:val="0"/>
          <w:numId w:val="1"/>
        </w:numPr>
        <w:spacing w:after="40"/>
      </w:pPr>
      <w:r>
        <w:rPr>
          <w:b/>
          <w:bCs/>
        </w:rPr>
        <w:t xml:space="preserve">Discovery Orchestrator:</w:t>
      </w:r>
      <w:r>
        <w:t xml:space="preserve"> expands targets, runs connectors in a bounded worker pool, and schedules recurring jobs.</w:t>
      </w:r>
    </w:p>
    <w:p>
      <w:pPr>
        <w:pStyle w:val="ListParagraph"/>
        <w:numPr>
          <w:ilvl w:val="0"/>
          <w:numId w:val="1"/>
        </w:numPr>
        <w:spacing w:after="40"/>
      </w:pPr>
      <w:r>
        <w:rPr>
          <w:b/>
          <w:bCs/>
        </w:rPr>
        <w:t xml:space="preserve">Credential Vault:</w:t>
      </w:r>
      <w:r>
        <w:t xml:space="preserve"> AES-256-GCM sealing of protocol secrets; secrets never leave the server.</w:t>
      </w:r>
    </w:p>
    <w:p>
      <w:pPr>
        <w:pStyle w:val="ListParagraph"/>
        <w:numPr>
          <w:ilvl w:val="0"/>
          <w:numId w:val="1"/>
        </w:numPr>
        <w:spacing w:after="40"/>
      </w:pPr>
      <w:r>
        <w:rPr>
          <w:b/>
          <w:bCs/>
        </w:rPr>
        <w:t xml:space="preserve">Data Access Layer / SQLite:</w:t>
      </w:r>
      <w:r>
        <w:t xml:space="preserve"> all persistence behind a repository abstraction (portable to Postgres).</w:t>
      </w:r>
    </w:p>
    <w:p>
      <w:pPr>
        <w:pStyle w:val="Heading2"/>
        <w:spacing w:after="80" w:before="180"/>
      </w:pPr>
      <w:r>
        <w:rPr>
          <w:color w:val="01A982"/>
        </w:rPr>
        <w:t xml:space="preserve">4.2 Discovery Data Flow</w:t>
      </w:r>
    </w:p>
    <w:p>
      <w:pPr>
        <w:spacing w:after="40" w:before="60"/>
        <w:jc w:val="center"/>
      </w:pPr>
      <w:r>
        <w:drawing>
          <wp:inline distT="0" distB="0" distL="0" distR="0">
            <wp:extent cx="609600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1371600"/>
                    </a:xfrm>
                    <a:prstGeom prst="rect">
                      <a:avLst/>
                    </a:prstGeom>
                  </pic:spPr>
                </pic:pic>
              </a:graphicData>
            </a:graphic>
          </wp:inline>
        </w:drawing>
      </w:r>
    </w:p>
    <w:p>
      <w:pPr>
        <w:spacing w:after="160"/>
        <w:jc w:val="center"/>
      </w:pPr>
      <w:r>
        <w:rPr>
          <w:i/>
          <w:iCs/>
          <w:color w:val="767676"/>
          <w:sz w:val="17"/>
          <w:szCs w:val="17"/>
        </w:rPr>
        <w:t xml:space="preserve">Figure 2 — End-to-end discovery pipeline</w:t>
      </w:r>
    </w:p>
    <w:p>
      <w:pPr>
        <w:pStyle w:val="ListParagraph"/>
        <w:numPr>
          <w:ilvl w:val="0"/>
          <w:numId w:val="1"/>
        </w:numPr>
        <w:spacing w:after="40"/>
      </w:pPr>
      <w:r>
        <w:rPr>
          <w:b/>
          <w:bCs/>
        </w:rPr>
        <w:t xml:space="preserve">1. </w:t>
      </w:r>
      <w:r>
        <w:t xml:space="preserve">Configure — operator stores protocol credentials and defines a discovery job (connector + targets + credential).</w:t>
      </w:r>
    </w:p>
    <w:p>
      <w:pPr>
        <w:pStyle w:val="ListParagraph"/>
        <w:numPr>
          <w:ilvl w:val="0"/>
          <w:numId w:val="1"/>
        </w:numPr>
        <w:spacing w:after="40"/>
      </w:pPr>
      <w:r>
        <w:rPr>
          <w:b/>
          <w:bCs/>
        </w:rPr>
        <w:t xml:space="preserve">2. </w:t>
      </w:r>
      <w:r>
        <w:t xml:space="preserve">Expand — the orchestrator expands the target spec (IP / CIDR / range) into a host list.</w:t>
      </w:r>
    </w:p>
    <w:p>
      <w:pPr>
        <w:pStyle w:val="ListParagraph"/>
        <w:numPr>
          <w:ilvl w:val="0"/>
          <w:numId w:val="1"/>
        </w:numPr>
        <w:spacing w:after="40"/>
      </w:pPr>
      <w:r>
        <w:rPr>
          <w:b/>
          <w:bCs/>
        </w:rPr>
        <w:t xml:space="preserve">3. </w:t>
      </w:r>
      <w:r>
        <w:t xml:space="preserve">Probe — a bounded worker pool runs the connector against each host, returning a normalized CI graph {nodes, edges}.</w:t>
      </w:r>
    </w:p>
    <w:p>
      <w:pPr>
        <w:pStyle w:val="ListParagraph"/>
        <w:numPr>
          <w:ilvl w:val="0"/>
          <w:numId w:val="1"/>
        </w:numPr>
        <w:spacing w:after="40"/>
      </w:pPr>
      <w:r>
        <w:rPr>
          <w:b/>
          <w:bCs/>
        </w:rPr>
        <w:t xml:space="preserve">4. </w:t>
      </w:r>
      <w:r>
        <w:t xml:space="preserve">Reconcile &amp; Ingest — each node resolves to a new or existing CI; attributes merge, deltas are logged, relationships upsert — transactionally.</w:t>
      </w:r>
    </w:p>
    <w:p>
      <w:pPr>
        <w:pStyle w:val="ListParagraph"/>
        <w:numPr>
          <w:ilvl w:val="0"/>
          <w:numId w:val="1"/>
        </w:numPr>
        <w:spacing w:after="40"/>
      </w:pPr>
      <w:r>
        <w:rPr>
          <w:b/>
          <w:bCs/>
        </w:rPr>
        <w:t xml:space="preserve">5. </w:t>
      </w:r>
      <w:r>
        <w:t xml:space="preserve">Serve — CIs, relationships, history, topology, and the Excel report are exposed via REST and the console.</w:t>
      </w:r>
    </w:p>
    <w:p>
      <w:pPr>
        <w:pStyle w:val="Heading2"/>
        <w:spacing w:after="80" w:before="180"/>
      </w:pPr>
      <w:r>
        <w:rPr>
          <w:color w:val="01A982"/>
        </w:rPr>
        <w:t xml:space="preserve">4.3 Technology Stack</w:t>
      </w:r>
    </w:p>
    <w:tbl>
      <w:tblPr>
        <w:tblW w:type="pct" w:w="100%"/>
        <w:tblBorders>
          <w:top w:val="single" w:color="D5DCE6" w:sz="2"/>
          <w:left w:val="single" w:color="D5DCE6" w:sz="2"/>
          <w:bottom w:val="single" w:color="D5DCE6" w:sz="2"/>
          <w:right w:val="single" w:color="D5DCE6" w:sz="2"/>
          <w:insideH w:val="single" w:color="D5DCE6" w:sz="2"/>
          <w:insideV w:val="single" w:color="D5DCE6" w:sz="2"/>
        </w:tblBorders>
      </w:tblPr>
      <w:tblGrid>
        <w:gridCol w:w="100"/>
        <w:gridCol w:w="100"/>
        <w:gridCol w:w="100"/>
      </w:tblGrid>
      <w:tr>
        <w:trPr>
          <w:tblHeader/>
        </w:trPr>
        <w:tc>
          <w:tcPr>
            <w:tcW w:type="pct" w:w="16%"/>
            <w:shd w:fill="01A982"/>
            <w:tcMar>
              <w:top w:type="dxa" w:w="40"/>
              <w:left w:type="dxa" w:w="90"/>
              <w:bottom w:type="dxa" w:w="40"/>
              <w:right w:type="dxa" w:w="90"/>
            </w:tcMar>
          </w:tcPr>
          <w:p>
            <w:r>
              <w:rPr>
                <w:b/>
                <w:bCs/>
                <w:color w:val="FFFFFF"/>
                <w:sz w:val="18"/>
                <w:szCs w:val="18"/>
              </w:rPr>
              <w:t xml:space="preserve">Concern</w:t>
            </w:r>
          </w:p>
        </w:tc>
        <w:tc>
          <w:tcPr>
            <w:tcW w:type="pct" w:w="26%"/>
            <w:shd w:fill="01A982"/>
            <w:tcMar>
              <w:top w:type="dxa" w:w="40"/>
              <w:left w:type="dxa" w:w="90"/>
              <w:bottom w:type="dxa" w:w="40"/>
              <w:right w:type="dxa" w:w="90"/>
            </w:tcMar>
          </w:tcPr>
          <w:p>
            <w:r>
              <w:rPr>
                <w:b/>
                <w:bCs/>
                <w:color w:val="FFFFFF"/>
                <w:sz w:val="18"/>
                <w:szCs w:val="18"/>
              </w:rPr>
              <w:t xml:space="preserve">Choice</w:t>
            </w:r>
          </w:p>
        </w:tc>
        <w:tc>
          <w:tcPr>
            <w:tcW w:type="pct" w:w="58%"/>
            <w:shd w:fill="01A982"/>
            <w:tcMar>
              <w:top w:type="dxa" w:w="40"/>
              <w:left w:type="dxa" w:w="90"/>
              <w:bottom w:type="dxa" w:w="40"/>
              <w:right w:type="dxa" w:w="90"/>
            </w:tcMar>
          </w:tcPr>
          <w:p>
            <w:r>
              <w:rPr>
                <w:b/>
                <w:bCs/>
                <w:color w:val="FFFFFF"/>
                <w:sz w:val="18"/>
                <w:szCs w:val="18"/>
              </w:rPr>
              <w:t xml:space="preserve">Rationale</w:t>
            </w:r>
          </w:p>
        </w:tc>
      </w:tr>
      <w:tr>
        <w:tc>
          <w:tcPr>
            <w:tcW w:type="pct" w:w="16%"/>
            <w:tcMar>
              <w:top w:type="dxa" w:w="40"/>
              <w:left w:type="dxa" w:w="90"/>
              <w:bottom w:type="dxa" w:w="40"/>
              <w:right w:type="dxa" w:w="90"/>
            </w:tcMar>
          </w:tcPr>
          <w:p>
            <w:r>
              <w:rPr>
                <w:sz w:val="18"/>
                <w:szCs w:val="18"/>
              </w:rPr>
              <w:t xml:space="preserve">Runtime</w:t>
            </w:r>
          </w:p>
        </w:tc>
        <w:tc>
          <w:tcPr>
            <w:tcW w:type="pct" w:w="26%"/>
            <w:tcMar>
              <w:top w:type="dxa" w:w="40"/>
              <w:left w:type="dxa" w:w="90"/>
              <w:bottom w:type="dxa" w:w="40"/>
              <w:right w:type="dxa" w:w="90"/>
            </w:tcMar>
          </w:tcPr>
          <w:p>
            <w:r>
              <w:rPr>
                <w:sz w:val="18"/>
                <w:szCs w:val="18"/>
              </w:rPr>
              <w:t xml:space="preserve">Node.js 20+ (ESM)</w:t>
            </w:r>
          </w:p>
        </w:tc>
        <w:tc>
          <w:tcPr>
            <w:tcW w:type="pct" w:w="58%"/>
            <w:tcMar>
              <w:top w:type="dxa" w:w="40"/>
              <w:left w:type="dxa" w:w="90"/>
              <w:bottom w:type="dxa" w:w="40"/>
              <w:right w:type="dxa" w:w="90"/>
            </w:tcMar>
          </w:tcPr>
          <w:p>
            <w:r>
              <w:rPr>
                <w:sz w:val="18"/>
                <w:szCs w:val="18"/>
              </w:rPr>
              <w:t xml:space="preserve">Async I/O fits fan-out network discovery; one language across API + UI</w:t>
            </w:r>
          </w:p>
        </w:tc>
      </w:tr>
      <w:tr>
        <w:tc>
          <w:tcPr>
            <w:tcW w:type="pct" w:w="16%"/>
            <w:shd w:fill="F5F7FA"/>
            <w:tcMar>
              <w:top w:type="dxa" w:w="40"/>
              <w:left w:type="dxa" w:w="90"/>
              <w:bottom w:type="dxa" w:w="40"/>
              <w:right w:type="dxa" w:w="90"/>
            </w:tcMar>
          </w:tcPr>
          <w:p>
            <w:r>
              <w:rPr>
                <w:sz w:val="18"/>
                <w:szCs w:val="18"/>
              </w:rPr>
              <w:t xml:space="preserve">API</w:t>
            </w:r>
          </w:p>
        </w:tc>
        <w:tc>
          <w:tcPr>
            <w:tcW w:type="pct" w:w="26%"/>
            <w:shd w:fill="F5F7FA"/>
            <w:tcMar>
              <w:top w:type="dxa" w:w="40"/>
              <w:left w:type="dxa" w:w="90"/>
              <w:bottom w:type="dxa" w:w="40"/>
              <w:right w:type="dxa" w:w="90"/>
            </w:tcMar>
          </w:tcPr>
          <w:p>
            <w:r>
              <w:rPr>
                <w:sz w:val="18"/>
                <w:szCs w:val="18"/>
              </w:rPr>
              <w:t xml:space="preserve">Fastify</w:t>
            </w:r>
          </w:p>
        </w:tc>
        <w:tc>
          <w:tcPr>
            <w:tcW w:type="pct" w:w="58%"/>
            <w:shd w:fill="F5F7FA"/>
            <w:tcMar>
              <w:top w:type="dxa" w:w="40"/>
              <w:left w:type="dxa" w:w="90"/>
              <w:bottom w:type="dxa" w:w="40"/>
              <w:right w:type="dxa" w:w="90"/>
            </w:tcMar>
          </w:tcPr>
          <w:p>
            <w:r>
              <w:rPr>
                <w:sz w:val="18"/>
                <w:szCs w:val="18"/>
              </w:rPr>
              <w:t xml:space="preserve">Lightweight, fast, schema-friendly</w:t>
            </w:r>
          </w:p>
        </w:tc>
      </w:tr>
      <w:tr>
        <w:tc>
          <w:tcPr>
            <w:tcW w:type="pct" w:w="16%"/>
            <w:tcMar>
              <w:top w:type="dxa" w:w="40"/>
              <w:left w:type="dxa" w:w="90"/>
              <w:bottom w:type="dxa" w:w="40"/>
              <w:right w:type="dxa" w:w="90"/>
            </w:tcMar>
          </w:tcPr>
          <w:p>
            <w:r>
              <w:rPr>
                <w:sz w:val="18"/>
                <w:szCs w:val="18"/>
              </w:rPr>
              <w:t xml:space="preserve">Datastore</w:t>
            </w:r>
          </w:p>
        </w:tc>
        <w:tc>
          <w:tcPr>
            <w:tcW w:type="pct" w:w="26%"/>
            <w:tcMar>
              <w:top w:type="dxa" w:w="40"/>
              <w:left w:type="dxa" w:w="90"/>
              <w:bottom w:type="dxa" w:w="40"/>
              <w:right w:type="dxa" w:w="90"/>
            </w:tcMar>
          </w:tcPr>
          <w:p>
            <w:r>
              <w:rPr>
                <w:sz w:val="18"/>
                <w:szCs w:val="18"/>
              </w:rPr>
              <w:t xml:space="preserve">SQLite (WAL) / better-sqlite3</w:t>
            </w:r>
          </w:p>
        </w:tc>
        <w:tc>
          <w:tcPr>
            <w:tcW w:type="pct" w:w="58%"/>
            <w:tcMar>
              <w:top w:type="dxa" w:w="40"/>
              <w:left w:type="dxa" w:w="90"/>
              <w:bottom w:type="dxa" w:w="40"/>
              <w:right w:type="dxa" w:w="90"/>
            </w:tcMar>
          </w:tcPr>
          <w:p>
            <w:r>
              <w:rPr>
                <w:sz w:val="18"/>
                <w:szCs w:val="18"/>
              </w:rPr>
              <w:t xml:space="preserve">Zero-ops embedded DB; synchronous, transactional reconciliation; abstracted for Postgres</w:t>
            </w:r>
          </w:p>
        </w:tc>
      </w:tr>
      <w:tr>
        <w:tc>
          <w:tcPr>
            <w:tcW w:type="pct" w:w="16%"/>
            <w:shd w:fill="F5F7FA"/>
            <w:tcMar>
              <w:top w:type="dxa" w:w="40"/>
              <w:left w:type="dxa" w:w="90"/>
              <w:bottom w:type="dxa" w:w="40"/>
              <w:right w:type="dxa" w:w="90"/>
            </w:tcMar>
          </w:tcPr>
          <w:p>
            <w:r>
              <w:rPr>
                <w:sz w:val="18"/>
                <w:szCs w:val="18"/>
              </w:rPr>
              <w:t xml:space="preserve">Redfish</w:t>
            </w:r>
          </w:p>
        </w:tc>
        <w:tc>
          <w:tcPr>
            <w:tcW w:type="pct" w:w="26%"/>
            <w:shd w:fill="F5F7FA"/>
            <w:tcMar>
              <w:top w:type="dxa" w:w="40"/>
              <w:left w:type="dxa" w:w="90"/>
              <w:bottom w:type="dxa" w:w="40"/>
              <w:right w:type="dxa" w:w="90"/>
            </w:tcMar>
          </w:tcPr>
          <w:p>
            <w:r>
              <w:rPr>
                <w:sz w:val="18"/>
                <w:szCs w:val="18"/>
              </w:rPr>
              <w:t xml:space="preserve">axios + Node https</w:t>
            </w:r>
          </w:p>
        </w:tc>
        <w:tc>
          <w:tcPr>
            <w:tcW w:type="pct" w:w="58%"/>
            <w:shd w:fill="F5F7FA"/>
            <w:tcMar>
              <w:top w:type="dxa" w:w="40"/>
              <w:left w:type="dxa" w:w="90"/>
              <w:bottom w:type="dxa" w:w="40"/>
              <w:right w:type="dxa" w:w="90"/>
            </w:tcMar>
          </w:tcPr>
          <w:p>
            <w:r>
              <w:rPr>
                <w:sz w:val="18"/>
                <w:szCs w:val="18"/>
              </w:rPr>
              <w:t xml:space="preserve">Self-signed-cert handling for BMCs</w:t>
            </w:r>
          </w:p>
        </w:tc>
      </w:tr>
      <w:tr>
        <w:tc>
          <w:tcPr>
            <w:tcW w:type="pct" w:w="16%"/>
            <w:tcMar>
              <w:top w:type="dxa" w:w="40"/>
              <w:left w:type="dxa" w:w="90"/>
              <w:bottom w:type="dxa" w:w="40"/>
              <w:right w:type="dxa" w:w="90"/>
            </w:tcMar>
          </w:tcPr>
          <w:p>
            <w:r>
              <w:rPr>
                <w:sz w:val="18"/>
                <w:szCs w:val="18"/>
              </w:rPr>
              <w:t xml:space="preserve">SNMP</w:t>
            </w:r>
          </w:p>
        </w:tc>
        <w:tc>
          <w:tcPr>
            <w:tcW w:type="pct" w:w="26%"/>
            <w:tcMar>
              <w:top w:type="dxa" w:w="40"/>
              <w:left w:type="dxa" w:w="90"/>
              <w:bottom w:type="dxa" w:w="40"/>
              <w:right w:type="dxa" w:w="90"/>
            </w:tcMar>
          </w:tcPr>
          <w:p>
            <w:r>
              <w:rPr>
                <w:sz w:val="18"/>
                <w:szCs w:val="18"/>
              </w:rPr>
              <w:t xml:space="preserve">net-snmp (pure JS)</w:t>
            </w:r>
          </w:p>
        </w:tc>
        <w:tc>
          <w:tcPr>
            <w:tcW w:type="pct" w:w="58%"/>
            <w:tcMar>
              <w:top w:type="dxa" w:w="40"/>
              <w:left w:type="dxa" w:w="90"/>
              <w:bottom w:type="dxa" w:w="40"/>
              <w:right w:type="dxa" w:w="90"/>
            </w:tcMar>
          </w:tcPr>
          <w:p>
            <w:r>
              <w:rPr>
                <w:sz w:val="18"/>
                <w:szCs w:val="18"/>
              </w:rPr>
              <w:t xml:space="preserve">v2c + v3, no native dependencies</w:t>
            </w:r>
          </w:p>
        </w:tc>
      </w:tr>
      <w:tr>
        <w:tc>
          <w:tcPr>
            <w:tcW w:type="pct" w:w="16%"/>
            <w:shd w:fill="F5F7FA"/>
            <w:tcMar>
              <w:top w:type="dxa" w:w="40"/>
              <w:left w:type="dxa" w:w="90"/>
              <w:bottom w:type="dxa" w:w="40"/>
              <w:right w:type="dxa" w:w="90"/>
            </w:tcMar>
          </w:tcPr>
          <w:p>
            <w:r>
              <w:rPr>
                <w:sz w:val="18"/>
                <w:szCs w:val="18"/>
              </w:rPr>
              <w:t xml:space="preserve">Concurrency</w:t>
            </w:r>
          </w:p>
        </w:tc>
        <w:tc>
          <w:tcPr>
            <w:tcW w:type="pct" w:w="26%"/>
            <w:shd w:fill="F5F7FA"/>
            <w:tcMar>
              <w:top w:type="dxa" w:w="40"/>
              <w:left w:type="dxa" w:w="90"/>
              <w:bottom w:type="dxa" w:w="40"/>
              <w:right w:type="dxa" w:w="90"/>
            </w:tcMar>
          </w:tcPr>
          <w:p>
            <w:r>
              <w:rPr>
                <w:sz w:val="18"/>
                <w:szCs w:val="18"/>
              </w:rPr>
              <w:t xml:space="preserve">p-limit</w:t>
            </w:r>
          </w:p>
        </w:tc>
        <w:tc>
          <w:tcPr>
            <w:tcW w:type="pct" w:w="58%"/>
            <w:shd w:fill="F5F7FA"/>
            <w:tcMar>
              <w:top w:type="dxa" w:w="40"/>
              <w:left w:type="dxa" w:w="90"/>
              <w:bottom w:type="dxa" w:w="40"/>
              <w:right w:type="dxa" w:w="90"/>
            </w:tcMar>
          </w:tcPr>
          <w:p>
            <w:r>
              <w:rPr>
                <w:sz w:val="18"/>
                <w:szCs w:val="18"/>
              </w:rPr>
              <w:t xml:space="preserve">Bounded parallel probing</w:t>
            </w:r>
          </w:p>
        </w:tc>
      </w:tr>
      <w:tr>
        <w:tc>
          <w:tcPr>
            <w:tcW w:type="pct" w:w="16%"/>
            <w:tcMar>
              <w:top w:type="dxa" w:w="40"/>
              <w:left w:type="dxa" w:w="90"/>
              <w:bottom w:type="dxa" w:w="40"/>
              <w:right w:type="dxa" w:w="90"/>
            </w:tcMar>
          </w:tcPr>
          <w:p>
            <w:r>
              <w:rPr>
                <w:sz w:val="18"/>
                <w:szCs w:val="18"/>
              </w:rPr>
              <w:t xml:space="preserve">Vault</w:t>
            </w:r>
          </w:p>
        </w:tc>
        <w:tc>
          <w:tcPr>
            <w:tcW w:type="pct" w:w="26%"/>
            <w:tcMar>
              <w:top w:type="dxa" w:w="40"/>
              <w:left w:type="dxa" w:w="90"/>
              <w:bottom w:type="dxa" w:w="40"/>
              <w:right w:type="dxa" w:w="90"/>
            </w:tcMar>
          </w:tcPr>
          <w:p>
            <w:r>
              <w:rPr>
                <w:sz w:val="18"/>
                <w:szCs w:val="18"/>
              </w:rPr>
              <w:t xml:space="preserve">node:crypto AES-256-GCM</w:t>
            </w:r>
          </w:p>
        </w:tc>
        <w:tc>
          <w:tcPr>
            <w:tcW w:type="pct" w:w="58%"/>
            <w:tcMar>
              <w:top w:type="dxa" w:w="40"/>
              <w:left w:type="dxa" w:w="90"/>
              <w:bottom w:type="dxa" w:w="40"/>
              <w:right w:type="dxa" w:w="90"/>
            </w:tcMar>
          </w:tcPr>
          <w:p>
            <w:r>
              <w:rPr>
                <w:sz w:val="18"/>
                <w:szCs w:val="18"/>
              </w:rPr>
              <w:t xml:space="preserve">Authenticated encryption without an external KMS dependency (v1)</w:t>
            </w:r>
          </w:p>
        </w:tc>
      </w:tr>
      <w:tr>
        <w:tc>
          <w:tcPr>
            <w:tcW w:type="pct" w:w="16%"/>
            <w:shd w:fill="F5F7FA"/>
            <w:tcMar>
              <w:top w:type="dxa" w:w="40"/>
              <w:left w:type="dxa" w:w="90"/>
              <w:bottom w:type="dxa" w:w="40"/>
              <w:right w:type="dxa" w:w="90"/>
            </w:tcMar>
          </w:tcPr>
          <w:p>
            <w:r>
              <w:rPr>
                <w:sz w:val="18"/>
                <w:szCs w:val="18"/>
              </w:rPr>
              <w:t xml:space="preserve">Excel export</w:t>
            </w:r>
          </w:p>
        </w:tc>
        <w:tc>
          <w:tcPr>
            <w:tcW w:type="pct" w:w="26%"/>
            <w:shd w:fill="F5F7FA"/>
            <w:tcMar>
              <w:top w:type="dxa" w:w="40"/>
              <w:left w:type="dxa" w:w="90"/>
              <w:bottom w:type="dxa" w:w="40"/>
              <w:right w:type="dxa" w:w="90"/>
            </w:tcMar>
          </w:tcPr>
          <w:p>
            <w:r>
              <w:rPr>
                <w:sz w:val="18"/>
                <w:szCs w:val="18"/>
              </w:rPr>
              <w:t xml:space="preserve">exceljs</w:t>
            </w:r>
          </w:p>
        </w:tc>
        <w:tc>
          <w:tcPr>
            <w:tcW w:type="pct" w:w="58%"/>
            <w:shd w:fill="F5F7FA"/>
            <w:tcMar>
              <w:top w:type="dxa" w:w="40"/>
              <w:left w:type="dxa" w:w="90"/>
              <w:bottom w:type="dxa" w:w="40"/>
              <w:right w:type="dxa" w:w="90"/>
            </w:tcMar>
          </w:tcPr>
          <w:p>
            <w:r>
              <w:rPr>
                <w:sz w:val="18"/>
                <w:szCs w:val="18"/>
              </w:rPr>
              <w:t xml:space="preserve">Multi-sheet .xlsx inventory report</w:t>
            </w:r>
          </w:p>
        </w:tc>
      </w:tr>
    </w:tbl>
    <w:p>
      <w:pPr>
        <w:pStyle w:val="Heading2"/>
        <w:spacing w:after="80" w:before="180"/>
      </w:pPr>
      <w:r>
        <w:rPr>
          <w:color w:val="01A982"/>
        </w:rPr>
        <w:t xml:space="preserve">4.4 Deployment Topology</w:t>
      </w:r>
    </w:p>
    <w:p>
      <w:pPr>
        <w:spacing w:after="40" w:before="60"/>
        <w:jc w:val="center"/>
      </w:pPr>
      <w:r>
        <w:drawing>
          <wp:inline distT="0" distB="0" distL="0" distR="0">
            <wp:extent cx="60960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867025"/>
                    </a:xfrm>
                    <a:prstGeom prst="rect">
                      <a:avLst/>
                    </a:prstGeom>
                  </pic:spPr>
                </pic:pic>
              </a:graphicData>
            </a:graphic>
          </wp:inline>
        </w:drawing>
      </w:r>
    </w:p>
    <w:p>
      <w:pPr>
        <w:spacing w:after="160"/>
        <w:jc w:val="center"/>
      </w:pPr>
      <w:r>
        <w:rPr>
          <w:i/>
          <w:iCs/>
          <w:color w:val="767676"/>
          <w:sz w:val="17"/>
          <w:szCs w:val="17"/>
        </w:rPr>
        <w:t xml:space="preserve">Figure 3 — Current single-node deployment and roadmap collector scale-out</w:t>
      </w:r>
    </w:p>
    <w:p>
      <w:pPr>
        <w:spacing w:after="100"/>
      </w:pPr>
      <w:r>
        <w:t xml:space="preserve">v1 runs as a single Node process with embedded SQLite, deployed wherever it can reach the discovery targets (a lab, a data-center pod, or an appliance). The scale-out target mirrors the OpsRamp collector model: a central plane (API + Postgres + reconciliation) with per-site collectors that run connectors locally and stream normalized CI graphs upstream over mTLS. The data-access abstraction and stable connector contract make this migration additive.</w:t>
      </w:r>
    </w:p>
    <w:p>
      <w:r>
        <w:br w:type="page"/>
      </w:r>
    </w:p>
    <w:p>
      <w:pPr>
        <w:pStyle w:val="Heading1"/>
        <w:pBdr>
          <w:bottom w:val="single" w:color="01A982" w:sz="10" w:space="4"/>
        </w:pBdr>
        <w:spacing w:after="120" w:before="260"/>
      </w:pPr>
      <w:r>
        <w:rPr>
          <w:color w:val="333333"/>
        </w:rPr>
        <w:t xml:space="preserve">5. Low-Level Design (LLD)</w:t>
      </w:r>
    </w:p>
    <w:p>
      <w:pPr>
        <w:pStyle w:val="Heading2"/>
        <w:spacing w:after="80" w:before="180"/>
      </w:pPr>
      <w:r>
        <w:rPr>
          <w:color w:val="01A982"/>
        </w:rPr>
        <w:t xml:space="preserve">5.1 Data Model</w:t>
      </w:r>
    </w:p>
    <w:p>
      <w:pPr>
        <w:spacing w:after="40" w:before="60"/>
        <w:jc w:val="center"/>
      </w:pPr>
      <w:r>
        <w:drawing>
          <wp:inline distT="0" distB="0" distL="0" distR="0">
            <wp:extent cx="59055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781425"/>
                    </a:xfrm>
                    <a:prstGeom prst="rect">
                      <a:avLst/>
                    </a:prstGeom>
                  </pic:spPr>
                </pic:pic>
              </a:graphicData>
            </a:graphic>
          </wp:inline>
        </w:drawing>
      </w:r>
    </w:p>
    <w:p>
      <w:pPr>
        <w:spacing w:after="160"/>
        <w:jc w:val="center"/>
      </w:pPr>
      <w:r>
        <w:rPr>
          <w:i/>
          <w:iCs/>
          <w:color w:val="767676"/>
          <w:sz w:val="17"/>
          <w:szCs w:val="17"/>
        </w:rPr>
        <w:t xml:space="preserve">Figure 4 — Entity-relationship model</w:t>
      </w:r>
    </w:p>
    <w:p>
      <w:pPr>
        <w:spacing w:after="100"/>
      </w:pPr>
      <w:r>
        <w:t xml:space="preserve">Hot identity/query fields are promoted to indexed columns on the cis table; the long tail of attributes lives in attributes_json (portable to Postgres JSONB). Key entities:</w:t>
      </w:r>
    </w:p>
    <w:p>
      <w:pPr>
        <w:pStyle w:val="ListParagraph"/>
        <w:numPr>
          <w:ilvl w:val="0"/>
          <w:numId w:val="1"/>
        </w:numPr>
        <w:spacing w:after="40"/>
      </w:pPr>
      <w:r>
        <w:rPr>
          <w:b/>
          <w:bCs/>
        </w:rPr>
        <w:t xml:space="preserve">cis — </w:t>
      </w:r>
      <w:r>
        <w:t xml:space="preserve">Configuration Items. recon_key is the unique, deterministic identity key. serial/uuid/model/vendor/mgmt_ip/hostname are promoted for indexed lookup and UI filters.</w:t>
      </w:r>
    </w:p>
    <w:p>
      <w:pPr>
        <w:pStyle w:val="ListParagraph"/>
        <w:numPr>
          <w:ilvl w:val="0"/>
          <w:numId w:val="1"/>
        </w:numPr>
        <w:spacing w:after="40"/>
      </w:pPr>
      <w:r>
        <w:rPr>
          <w:b/>
          <w:bCs/>
        </w:rPr>
        <w:t xml:space="preserve">ci_identifiers — </w:t>
      </w:r>
      <w:r>
        <w:t xml:space="preserve">Alternate identity keys (mac, ip, fqdn, serial, uuid, asset_tag) that let future sources reconcile to an existing CI.</w:t>
      </w:r>
    </w:p>
    <w:p>
      <w:pPr>
        <w:pStyle w:val="ListParagraph"/>
        <w:numPr>
          <w:ilvl w:val="0"/>
          <w:numId w:val="1"/>
        </w:numPr>
        <w:spacing w:after="40"/>
      </w:pPr>
      <w:r>
        <w:rPr>
          <w:b/>
          <w:bCs/>
        </w:rPr>
        <w:t xml:space="preserve">relationships — </w:t>
      </w:r>
      <w:r>
        <w:t xml:space="preserve">Directed edges (contains, managed_by, runs_on, connected_to, member_of) forming the topology graph.</w:t>
      </w:r>
    </w:p>
    <w:p>
      <w:pPr>
        <w:pStyle w:val="ListParagraph"/>
        <w:numPr>
          <w:ilvl w:val="0"/>
          <w:numId w:val="1"/>
        </w:numPr>
        <w:spacing w:after="40"/>
      </w:pPr>
      <w:r>
        <w:rPr>
          <w:b/>
          <w:bCs/>
        </w:rPr>
        <w:t xml:space="preserve">ci_changes — </w:t>
      </w:r>
      <w:r>
        <w:t xml:space="preserve">Per-run attribute deltas — the change history.</w:t>
      </w:r>
    </w:p>
    <w:p>
      <w:pPr>
        <w:pStyle w:val="ListParagraph"/>
        <w:numPr>
          <w:ilvl w:val="0"/>
          <w:numId w:val="1"/>
        </w:numPr>
        <w:spacing w:after="40"/>
      </w:pPr>
      <w:r>
        <w:rPr>
          <w:b/>
          <w:bCs/>
        </w:rPr>
        <w:t xml:space="preserve">credentials / discovery_jobs / discovery_runs — </w:t>
      </w:r>
      <w:r>
        <w:t xml:space="preserve">The credential vault and Data-Flow-Management equivalents (job definitions and run results).</w:t>
      </w:r>
    </w:p>
    <w:p>
      <w:pPr>
        <w:pStyle w:val="Heading2"/>
        <w:spacing w:after="80" w:before="180"/>
      </w:pPr>
      <w:r>
        <w:rPr>
          <w:color w:val="01A982"/>
        </w:rPr>
        <w:t xml:space="preserve">5.2 Reconciliation Engine</w:t>
      </w:r>
    </w:p>
    <w:p>
      <w:pPr>
        <w:spacing w:after="40" w:before="60"/>
        <w:jc w:val="center"/>
      </w:pPr>
      <w:r>
        <w:drawing>
          <wp:inline distT="0" distB="0" distL="0" distR="0">
            <wp:extent cx="4476750" cy="459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4591050"/>
                    </a:xfrm>
                    <a:prstGeom prst="rect">
                      <a:avLst/>
                    </a:prstGeom>
                  </pic:spPr>
                </pic:pic>
              </a:graphicData>
            </a:graphic>
          </wp:inline>
        </w:drawing>
      </w:r>
    </w:p>
    <w:p>
      <w:pPr>
        <w:spacing w:after="160"/>
        <w:jc w:val="center"/>
      </w:pPr>
      <w:r>
        <w:rPr>
          <w:i/>
          <w:iCs/>
          <w:color w:val="767676"/>
          <w:sz w:val="17"/>
          <w:szCs w:val="17"/>
        </w:rPr>
        <w:t xml:space="preserve">Figure 5 — Reconciliation control flow</w:t>
      </w:r>
    </w:p>
    <w:p>
      <w:pPr>
        <w:spacing w:after="100"/>
      </w:pPr>
      <w:r>
        <w:t xml:space="preserve">The reconciliation engine collapses observations from multiple sources and repeated scans into one authoritative CI per physical asset. Identity keys are type-scoped (prefixed with ci_type) and chosen by identifier strength:</w:t>
      </w:r>
    </w:p>
    <w:p>
      <w:pPr>
        <w:shd w:fill="F2F4F8"/>
        <w:spacing w:after="100"/>
      </w:pPr>
      <w:r>
        <w:rPr>
          <w:rFonts w:ascii="Consolas" w:cs="Consolas" w:eastAsia="Consolas" w:hAnsi="Consolas"/>
          <w:sz w:val="17"/>
          <w:szCs w:val="17"/>
        </w:rPr>
        <w:t xml:space="preserve">{ci_type} | serial &gt; uuid &gt; mac(normalized) &gt; mgmt_ip &gt; hostname &gt; synthetic</w:t>
      </w:r>
    </w:p>
    <w:p>
      <w:pPr>
        <w:spacing w:after="100"/>
      </w:pPr>
      <w:r>
        <w:t xml:space="preserve">Matching proceeds in priority order, restricted to the same CI type, checking promoted columns first (indexed) then the identifier table. On a match, attributes are merged and changed promoted fields are written to ci_changes; otherwise a new CI is inserted. All incoming identifiers are then registered so any future source sharing an identifier reconciles to this CI. The entire ingest of one host runs in a single SQLite transaction.</w:t>
      </w:r>
    </w:p>
    <w:p>
      <w:pPr>
        <w:pStyle w:val="Heading3"/>
        <w:spacing w:after="60" w:before="120"/>
      </w:pPr>
      <w:r>
        <w:t xml:space="preserve">Correctness safeguards</w:t>
      </w:r>
    </w:p>
    <w:p>
      <w:pPr>
        <w:pStyle w:val="ListParagraph"/>
        <w:numPr>
          <w:ilvl w:val="0"/>
          <w:numId w:val="1"/>
        </w:numPr>
        <w:spacing w:after="40"/>
      </w:pPr>
      <w:r>
        <w:t xml:space="preserve">Type-scoping prevents a Chassis, Server, and Manager (which all share one BMC management IP) from collapsing into one CI, and prevents a NIC and its host from merging on a shared MAC.</w:t>
      </w:r>
    </w:p>
    <w:p>
      <w:pPr>
        <w:pStyle w:val="ListParagraph"/>
        <w:numPr>
          <w:ilvl w:val="0"/>
          <w:numId w:val="1"/>
        </w:numPr>
        <w:spacing w:after="40"/>
      </w:pPr>
      <w:r>
        <w:t xml:space="preserve">MACs are normalized before comparison; child-component synthetic serials are parent-scoped for global uniqueness.</w:t>
      </w:r>
    </w:p>
    <w:p>
      <w:pPr>
        <w:pStyle w:val="ListParagraph"/>
        <w:numPr>
          <w:ilvl w:val="0"/>
          <w:numId w:val="1"/>
        </w:numPr>
        <w:spacing w:after="40"/>
      </w:pPr>
      <w:r>
        <w:t xml:space="preserve">A Redfish-discovered server (known by serial) and the same host later seen by SNMP (known by MAC) become one CI — validated by automated tests.</w:t>
      </w:r>
    </w:p>
    <w:p>
      <w:pPr>
        <w:pStyle w:val="Heading2"/>
        <w:spacing w:after="80" w:before="180"/>
      </w:pPr>
      <w:r>
        <w:rPr>
          <w:color w:val="01A982"/>
        </w:rPr>
        <w:t xml:space="preserve">5.3 Discovery Connectors</w:t>
      </w:r>
    </w:p>
    <w:p>
      <w:pPr>
        <w:spacing w:after="100"/>
      </w:pPr>
      <w:r>
        <w:t xml:space="preserve">A connector implements a single contract, so adding a protocol is one file plus registration — no core changes:</w:t>
      </w:r>
    </w:p>
    <w:p>
      <w:pPr>
        <w:shd w:fill="F2F4F8"/>
        <w:spacing w:after="100"/>
      </w:pPr>
      <w:r>
        <w:rPr>
          <w:rFonts w:ascii="Consolas" w:cs="Consolas" w:eastAsia="Consolas" w:hAnsi="Consolas"/>
          <w:sz w:val="17"/>
          <w:szCs w:val="17"/>
        </w:rPr>
        <w:t xml:space="preserve">async function discover(host, credential, opts)</w:t>
      </w:r>
      <w:r>
        <w:rPr>
          <w:rFonts w:ascii="Consolas" w:cs="Consolas" w:eastAsia="Consolas" w:hAnsi="Consolas"/>
          <w:sz w:val="17"/>
          <w:szCs w:val="17"/>
        </w:rPr>
        <w:br/>
        <w:t xml:space="preserve">  -&gt; { reached, nodes:[CIDescriptor], edges:[[srcRef, tgtRef, relType]], error?, summary? }</w:t>
      </w:r>
      <w:r>
        <w:rPr>
          <w:rFonts w:ascii="Consolas" w:cs="Consolas" w:eastAsia="Consolas" w:hAnsi="Consolas"/>
          <w:sz w:val="17"/>
          <w:szCs w:val="17"/>
        </w:rPr>
        <w:br/>
        <w:t xml:space="preserve"/>
      </w:r>
      <w:r>
        <w:rPr>
          <w:rFonts w:ascii="Consolas" w:cs="Consolas" w:eastAsia="Consolas" w:hAnsi="Consolas"/>
          <w:sz w:val="17"/>
          <w:szCs w:val="17"/>
        </w:rPr>
        <w:br/>
        <w:t xml:space="preserve">CIDescriptor = { _ref, ci_type, name, source,</w:t>
      </w:r>
      <w:r>
        <w:rPr>
          <w:rFonts w:ascii="Consolas" w:cs="Consolas" w:eastAsia="Consolas" w:hAnsi="Consolas"/>
          <w:sz w:val="17"/>
          <w:szCs w:val="17"/>
        </w:rPr>
        <w:br/>
        <w:t xml:space="preserve">                 ids:{ serial, uuid, mac[], mgmt_ip, hostname, asset_tag },</w:t>
      </w:r>
      <w:r>
        <w:rPr>
          <w:rFonts w:ascii="Consolas" w:cs="Consolas" w:eastAsia="Consolas" w:hAnsi="Consolas"/>
          <w:sz w:val="17"/>
          <w:szCs w:val="17"/>
        </w:rPr>
        <w:br/>
        <w:t xml:space="preserve">                 attributes:{ ... } }</w:t>
      </w:r>
    </w:p>
    <w:p>
      <w:pPr>
        <w:pStyle w:val="Heading3"/>
        <w:spacing w:after="60" w:before="120"/>
      </w:pPr>
      <w:r>
        <w:t xml:space="preserve">Redfish / iLO</w:t>
      </w:r>
    </w:p>
    <w:p>
      <w:pPr>
        <w:spacing w:after="100"/>
      </w:pPr>
      <w:r>
        <w:t xml:space="preserve">Walks the full DMTF Redfish tree over HTTPS (Basic auth, self-signed tolerated), emitting a first-class CI for every node: Chassis, Compute System, Manager (BMC), Processors, Memory, Ethernet Interfaces, Drives, Volumes, Network Adapters, PCIe Devices, Power Supplies, Fans, Temperature Sensors, Manager Network Interfaces, and Firmware/Software inventory. Every resource’s complete attribute set is preserved. One baremetal yields 21 CIs (see Section 6).</w:t>
      </w:r>
    </w:p>
    <w:p>
      <w:pPr>
        <w:pStyle w:val="Heading3"/>
        <w:spacing w:after="60" w:before="120"/>
      </w:pPr>
      <w:r>
        <w:t xml:space="preserve">SNMP</w:t>
      </w:r>
    </w:p>
    <w:p>
      <w:pPr>
        <w:spacing w:after="100"/>
      </w:pPr>
      <w:r>
        <w:t xml:space="preserve">Supports v2c and v3 (auth/priv). Reads the system group (identity + classification into NetworkDevice / Server / Hypervisor), ifTable/ifXTable (interface CIs with MAC, speed, status), the ENTITY-MIB physical table (chassis serial/model/vendor), and the LLDP-MIB neighbour table to create connected_to (L2 topology) edges between devices.</w:t>
      </w:r>
    </w:p>
    <w:p>
      <w:pPr>
        <w:pStyle w:val="Heading3"/>
        <w:spacing w:after="60" w:before="120"/>
      </w:pPr>
      <w:r>
        <w:t xml:space="preserve">vCenter / ESXi</w:t>
      </w:r>
    </w:p>
    <w:p>
      <w:pPr>
        <w:spacing w:after="100"/>
      </w:pPr>
      <w:r>
        <w:t xml:space="preserve">Uses the vSphere Automation REST API (vCenter 7+ /api with 6.5+ /rest fallback). Produces Cluster, Hypervisor (host), VM, and Datastore CIs with cluster▸host containment, VM runs_on host, and host↔datastore relationships, including CPU/memory/power-state attributes.</w:t>
      </w:r>
    </w:p>
    <w:p>
      <w:pPr>
        <w:pStyle w:val="Heading3"/>
        <w:spacing w:after="60" w:before="120"/>
      </w:pPr>
      <w:r>
        <w:t xml:space="preserve">SSH / Linux</w:t>
      </w:r>
    </w:p>
    <w:p>
      <w:pPr>
        <w:spacing w:after="100"/>
      </w:pPr>
      <w:r>
        <w:t xml:space="preserve">Connects over SSH (password or private key) and runs read-only commands (os-release, /proc/cpuinfo, /proc/meminfo, lsblk, ip, df, DMI) to build a Server/Hypervisor CI plus Drive, NetworkInterface, and filesystem inventory. All output parsing is done by pure, unit-tested functions. Host NICs are modelled as NetworkInterface CIs so they reconcile with SNMP-discovered interfaces by MAC.</w:t>
      </w:r>
    </w:p>
    <w:p>
      <w:pPr>
        <w:pStyle w:val="Heading2"/>
        <w:spacing w:after="80" w:before="180"/>
      </w:pPr>
      <w:r>
        <w:rPr>
          <w:color w:val="01A982"/>
        </w:rPr>
        <w:t xml:space="preserve">5.4 Discovery Sequence</w:t>
      </w:r>
    </w:p>
    <w:p>
      <w:pPr>
        <w:spacing w:after="40" w:before="60"/>
        <w:jc w:val="center"/>
      </w:pPr>
      <w:r>
        <w:drawing>
          <wp:inline distT="0" distB="0" distL="0" distR="0">
            <wp:extent cx="60960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343275"/>
                    </a:xfrm>
                    <a:prstGeom prst="rect">
                      <a:avLst/>
                    </a:prstGeom>
                  </pic:spPr>
                </pic:pic>
              </a:graphicData>
            </a:graphic>
          </wp:inline>
        </w:drawing>
      </w:r>
    </w:p>
    <w:p>
      <w:pPr>
        <w:spacing w:after="160"/>
        <w:jc w:val="center"/>
      </w:pPr>
      <w:r>
        <w:rPr>
          <w:i/>
          <w:iCs/>
          <w:color w:val="767676"/>
          <w:sz w:val="17"/>
          <w:szCs w:val="17"/>
        </w:rPr>
        <w:t xml:space="preserve">Figure 6 — Runtime sequence of a discovery run</w:t>
      </w:r>
    </w:p>
    <w:p>
      <w:pPr>
        <w:pStyle w:val="Heading2"/>
        <w:spacing w:after="80" w:before="180"/>
      </w:pPr>
      <w:r>
        <w:rPr>
          <w:color w:val="01A982"/>
        </w:rPr>
        <w:t xml:space="preserve">5.5 REST API</w:t>
      </w:r>
    </w:p>
    <w:tbl>
      <w:tblPr>
        <w:tblW w:type="pct" w:w="100%"/>
        <w:tblBorders>
          <w:top w:val="single" w:color="D5DCE6" w:sz="2"/>
          <w:left w:val="single" w:color="D5DCE6" w:sz="2"/>
          <w:bottom w:val="single" w:color="D5DCE6" w:sz="2"/>
          <w:right w:val="single" w:color="D5DCE6" w:sz="2"/>
          <w:insideH w:val="single" w:color="D5DCE6" w:sz="2"/>
          <w:insideV w:val="single" w:color="D5DCE6" w:sz="2"/>
        </w:tblBorders>
      </w:tblPr>
      <w:tblGrid>
        <w:gridCol w:w="100"/>
        <w:gridCol w:w="100"/>
      </w:tblGrid>
      <w:tr>
        <w:trPr>
          <w:tblHeader/>
        </w:trPr>
        <w:tc>
          <w:tcPr>
            <w:tcW w:type="pct" w:w="46%"/>
            <w:shd w:fill="01A982"/>
            <w:tcMar>
              <w:top w:type="dxa" w:w="40"/>
              <w:left w:type="dxa" w:w="90"/>
              <w:bottom w:type="dxa" w:w="40"/>
              <w:right w:type="dxa" w:w="90"/>
            </w:tcMar>
          </w:tcPr>
          <w:p>
            <w:r>
              <w:rPr>
                <w:b/>
                <w:bCs/>
                <w:color w:val="FFFFFF"/>
                <w:sz w:val="18"/>
                <w:szCs w:val="18"/>
              </w:rPr>
              <w:t xml:space="preserve">Method &amp; Path</w:t>
            </w:r>
          </w:p>
        </w:tc>
        <w:tc>
          <w:tcPr>
            <w:tcW w:type="pct" w:w="54%"/>
            <w:shd w:fill="01A982"/>
            <w:tcMar>
              <w:top w:type="dxa" w:w="40"/>
              <w:left w:type="dxa" w:w="90"/>
              <w:bottom w:type="dxa" w:w="40"/>
              <w:right w:type="dxa" w:w="90"/>
            </w:tcMar>
          </w:tcPr>
          <w:p>
            <w:r>
              <w:rPr>
                <w:b/>
                <w:bCs/>
                <w:color w:val="FFFFFF"/>
                <w:sz w:val="18"/>
                <w:szCs w:val="18"/>
              </w:rPr>
              <w:t xml:space="preserve">Purpose</w:t>
            </w:r>
          </w:p>
        </w:tc>
      </w:tr>
      <w:tr>
        <w:tc>
          <w:tcPr>
            <w:tcW w:type="pct" w:w="46%"/>
            <w:tcMar>
              <w:top w:type="dxa" w:w="40"/>
              <w:left w:type="dxa" w:w="90"/>
              <w:bottom w:type="dxa" w:w="40"/>
              <w:right w:type="dxa" w:w="90"/>
            </w:tcMar>
          </w:tcPr>
          <w:p>
            <w:r>
              <w:rPr>
                <w:sz w:val="18"/>
                <w:szCs w:val="18"/>
              </w:rPr>
              <w:t xml:space="preserve">GET /api/stats</w:t>
            </w:r>
          </w:p>
        </w:tc>
        <w:tc>
          <w:tcPr>
            <w:tcW w:type="pct" w:w="54%"/>
            <w:tcMar>
              <w:top w:type="dxa" w:w="40"/>
              <w:left w:type="dxa" w:w="90"/>
              <w:bottom w:type="dxa" w:w="40"/>
              <w:right w:type="dxa" w:w="90"/>
            </w:tcMar>
          </w:tcPr>
          <w:p>
            <w:r>
              <w:rPr>
                <w:sz w:val="18"/>
                <w:szCs w:val="18"/>
              </w:rPr>
              <w:t xml:space="preserve">Totals by type + recent runs</w:t>
            </w:r>
          </w:p>
        </w:tc>
      </w:tr>
      <w:tr>
        <w:tc>
          <w:tcPr>
            <w:tcW w:type="pct" w:w="46%"/>
            <w:shd w:fill="F5F7FA"/>
            <w:tcMar>
              <w:top w:type="dxa" w:w="40"/>
              <w:left w:type="dxa" w:w="90"/>
              <w:bottom w:type="dxa" w:w="40"/>
              <w:right w:type="dxa" w:w="90"/>
            </w:tcMar>
          </w:tcPr>
          <w:p>
            <w:r>
              <w:rPr>
                <w:sz w:val="18"/>
                <w:szCs w:val="18"/>
              </w:rPr>
              <w:t xml:space="preserve">GET /api/cis?type&amp;q&amp;status</w:t>
            </w:r>
          </w:p>
        </w:tc>
        <w:tc>
          <w:tcPr>
            <w:tcW w:type="pct" w:w="54%"/>
            <w:shd w:fill="F5F7FA"/>
            <w:tcMar>
              <w:top w:type="dxa" w:w="40"/>
              <w:left w:type="dxa" w:w="90"/>
              <w:bottom w:type="dxa" w:w="40"/>
              <w:right w:type="dxa" w:w="90"/>
            </w:tcMar>
          </w:tcPr>
          <w:p>
            <w:r>
              <w:rPr>
                <w:sz w:val="18"/>
                <w:szCs w:val="18"/>
              </w:rPr>
              <w:t xml:space="preserve">Filtered inventory</w:t>
            </w:r>
          </w:p>
        </w:tc>
      </w:tr>
      <w:tr>
        <w:tc>
          <w:tcPr>
            <w:tcW w:type="pct" w:w="46%"/>
            <w:tcMar>
              <w:top w:type="dxa" w:w="40"/>
              <w:left w:type="dxa" w:w="90"/>
              <w:bottom w:type="dxa" w:w="40"/>
              <w:right w:type="dxa" w:w="90"/>
            </w:tcMar>
          </w:tcPr>
          <w:p>
            <w:r>
              <w:rPr>
                <w:sz w:val="18"/>
                <w:szCs w:val="18"/>
              </w:rPr>
              <w:t xml:space="preserve">GET /api/cis/:id</w:t>
            </w:r>
          </w:p>
        </w:tc>
        <w:tc>
          <w:tcPr>
            <w:tcW w:type="pct" w:w="54%"/>
            <w:tcMar>
              <w:top w:type="dxa" w:w="40"/>
              <w:left w:type="dxa" w:w="90"/>
              <w:bottom w:type="dxa" w:w="40"/>
              <w:right w:type="dxa" w:w="90"/>
            </w:tcMar>
          </w:tcPr>
          <w:p>
            <w:r>
              <w:rPr>
                <w:sz w:val="18"/>
                <w:szCs w:val="18"/>
              </w:rPr>
              <w:t xml:space="preserve">CI + attributes + relationships + change history</w:t>
            </w:r>
          </w:p>
        </w:tc>
      </w:tr>
      <w:tr>
        <w:tc>
          <w:tcPr>
            <w:tcW w:type="pct" w:w="46%"/>
            <w:shd w:fill="F5F7FA"/>
            <w:tcMar>
              <w:top w:type="dxa" w:w="40"/>
              <w:left w:type="dxa" w:w="90"/>
              <w:bottom w:type="dxa" w:w="40"/>
              <w:right w:type="dxa" w:w="90"/>
            </w:tcMar>
          </w:tcPr>
          <w:p>
            <w:r>
              <w:rPr>
                <w:sz w:val="18"/>
                <w:szCs w:val="18"/>
              </w:rPr>
              <w:t xml:space="preserve">GET /api/cis/:id/tree?depth&amp;scope</w:t>
            </w:r>
          </w:p>
        </w:tc>
        <w:tc>
          <w:tcPr>
            <w:tcW w:type="pct" w:w="54%"/>
            <w:shd w:fill="F5F7FA"/>
            <w:tcMar>
              <w:top w:type="dxa" w:w="40"/>
              <w:left w:type="dxa" w:w="90"/>
              <w:bottom w:type="dxa" w:w="40"/>
              <w:right w:type="dxa" w:w="90"/>
            </w:tcMar>
          </w:tcPr>
          <w:p>
            <w:r>
              <w:rPr>
                <w:sz w:val="18"/>
                <w:szCs w:val="18"/>
              </w:rPr>
              <w:t xml:space="preserve">Resource hierarchy (depth-limited; scope=machine)</w:t>
            </w:r>
          </w:p>
        </w:tc>
      </w:tr>
      <w:tr>
        <w:tc>
          <w:tcPr>
            <w:tcW w:type="pct" w:w="46%"/>
            <w:tcMar>
              <w:top w:type="dxa" w:w="40"/>
              <w:left w:type="dxa" w:w="90"/>
              <w:bottom w:type="dxa" w:w="40"/>
              <w:right w:type="dxa" w:w="90"/>
            </w:tcMar>
          </w:tcPr>
          <w:p>
            <w:r>
              <w:rPr>
                <w:sz w:val="18"/>
                <w:szCs w:val="18"/>
              </w:rPr>
              <w:t xml:space="preserve">GET /api/topology?depth</w:t>
            </w:r>
          </w:p>
        </w:tc>
        <w:tc>
          <w:tcPr>
            <w:tcW w:type="pct" w:w="54%"/>
            <w:tcMar>
              <w:top w:type="dxa" w:w="40"/>
              <w:left w:type="dxa" w:w="90"/>
              <w:bottom w:type="dxa" w:w="40"/>
              <w:right w:type="dxa" w:w="90"/>
            </w:tcMar>
          </w:tcPr>
          <w:p>
            <w:r>
              <w:rPr>
                <w:sz w:val="18"/>
                <w:szCs w:val="18"/>
              </w:rPr>
              <w:t xml:space="preserve">Dependency graph nodes + edges</w:t>
            </w:r>
          </w:p>
        </w:tc>
      </w:tr>
      <w:tr>
        <w:tc>
          <w:tcPr>
            <w:tcW w:type="pct" w:w="46%"/>
            <w:shd w:fill="F5F7FA"/>
            <w:tcMar>
              <w:top w:type="dxa" w:w="40"/>
              <w:left w:type="dxa" w:w="90"/>
              <w:bottom w:type="dxa" w:w="40"/>
              <w:right w:type="dxa" w:w="90"/>
            </w:tcMar>
          </w:tcPr>
          <w:p>
            <w:r>
              <w:rPr>
                <w:sz w:val="18"/>
                <w:szCs w:val="18"/>
              </w:rPr>
              <w:t xml:space="preserve">GET /api/export/inventory.xlsx?type&amp;q</w:t>
            </w:r>
          </w:p>
        </w:tc>
        <w:tc>
          <w:tcPr>
            <w:tcW w:type="pct" w:w="54%"/>
            <w:shd w:fill="F5F7FA"/>
            <w:tcMar>
              <w:top w:type="dxa" w:w="40"/>
              <w:left w:type="dxa" w:w="90"/>
              <w:bottom w:type="dxa" w:w="40"/>
              <w:right w:type="dxa" w:w="90"/>
            </w:tcMar>
          </w:tcPr>
          <w:p>
            <w:r>
              <w:rPr>
                <w:sz w:val="18"/>
                <w:szCs w:val="18"/>
              </w:rPr>
              <w:t xml:space="preserve">Filter-aware Excel report</w:t>
            </w:r>
          </w:p>
        </w:tc>
      </w:tr>
      <w:tr>
        <w:tc>
          <w:tcPr>
            <w:tcW w:type="pct" w:w="46%"/>
            <w:tcMar>
              <w:top w:type="dxa" w:w="40"/>
              <w:left w:type="dxa" w:w="90"/>
              <w:bottom w:type="dxa" w:w="40"/>
              <w:right w:type="dxa" w:w="90"/>
            </w:tcMar>
          </w:tcPr>
          <w:p>
            <w:r>
              <w:rPr>
                <w:sz w:val="18"/>
                <w:szCs w:val="18"/>
              </w:rPr>
              <w:t xml:space="preserve">POST /api/jobs/:id/run</w:t>
            </w:r>
          </w:p>
        </w:tc>
        <w:tc>
          <w:tcPr>
            <w:tcW w:type="pct" w:w="54%"/>
            <w:tcMar>
              <w:top w:type="dxa" w:w="40"/>
              <w:left w:type="dxa" w:w="90"/>
              <w:bottom w:type="dxa" w:w="40"/>
              <w:right w:type="dxa" w:w="90"/>
            </w:tcMar>
          </w:tcPr>
          <w:p>
            <w:r>
              <w:rPr>
                <w:sz w:val="18"/>
                <w:szCs w:val="18"/>
              </w:rPr>
              <w:t xml:space="preserve">Trigger a discovery run (202; UI polls /runs/:id)</w:t>
            </w:r>
          </w:p>
        </w:tc>
      </w:tr>
      <w:tr>
        <w:tc>
          <w:tcPr>
            <w:tcW w:type="pct" w:w="46%"/>
            <w:shd w:fill="F5F7FA"/>
            <w:tcMar>
              <w:top w:type="dxa" w:w="40"/>
              <w:left w:type="dxa" w:w="90"/>
              <w:bottom w:type="dxa" w:w="40"/>
              <w:right w:type="dxa" w:w="90"/>
            </w:tcMar>
          </w:tcPr>
          <w:p>
            <w:r>
              <w:rPr>
                <w:sz w:val="18"/>
                <w:szCs w:val="18"/>
              </w:rPr>
              <w:t xml:space="preserve">GET/POST/DELETE /api/credentials|jobs</w:t>
            </w:r>
          </w:p>
        </w:tc>
        <w:tc>
          <w:tcPr>
            <w:tcW w:type="pct" w:w="54%"/>
            <w:shd w:fill="F5F7FA"/>
            <w:tcMar>
              <w:top w:type="dxa" w:w="40"/>
              <w:left w:type="dxa" w:w="90"/>
              <w:bottom w:type="dxa" w:w="40"/>
              <w:right w:type="dxa" w:w="90"/>
            </w:tcMar>
          </w:tcPr>
          <w:p>
            <w:r>
              <w:rPr>
                <w:sz w:val="18"/>
                <w:szCs w:val="18"/>
              </w:rPr>
              <w:t xml:space="preserve">Vault &amp; job management (secrets never returned)</w:t>
            </w:r>
          </w:p>
        </w:tc>
      </w:tr>
    </w:tbl>
    <w:p>
      <w:r>
        <w:br w:type="page"/>
      </w:r>
    </w:p>
    <w:p>
      <w:pPr>
        <w:pStyle w:val="Heading1"/>
        <w:pBdr>
          <w:bottom w:val="single" w:color="01A982" w:sz="10" w:space="4"/>
        </w:pBdr>
        <w:spacing w:after="120" w:before="260"/>
      </w:pPr>
      <w:r>
        <w:rPr>
          <w:color w:val="333333"/>
        </w:rPr>
        <w:t xml:space="preserve">6. Redfish Resource Model</w:t>
      </w:r>
    </w:p>
    <w:p>
      <w:pPr>
        <w:spacing w:after="40" w:before="60"/>
        <w:jc w:val="center"/>
      </w:pPr>
      <w:r>
        <w:drawing>
          <wp:inline distT="0" distB="0" distL="0" distR="0">
            <wp:extent cx="5905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810000"/>
                    </a:xfrm>
                    <a:prstGeom prst="rect">
                      <a:avLst/>
                    </a:prstGeom>
                  </pic:spPr>
                </pic:pic>
              </a:graphicData>
            </a:graphic>
          </wp:inline>
        </w:drawing>
      </w:r>
    </w:p>
    <w:p>
      <w:pPr>
        <w:spacing w:after="160"/>
        <w:jc w:val="center"/>
      </w:pPr>
      <w:r>
        <w:rPr>
          <w:i/>
          <w:iCs/>
          <w:color w:val="767676"/>
          <w:sz w:val="17"/>
          <w:szCs w:val="17"/>
        </w:rPr>
        <w:t xml:space="preserve">Figure 7 — Redfish hierarchy mapped to first-class CIs</w:t>
      </w:r>
    </w:p>
    <w:p>
      <w:pPr>
        <w:spacing w:after="100"/>
      </w:pPr>
      <w:r>
        <w:t xml:space="preserve">Each node in the Redfish tree is modelled as its own CI with containment/management relationships, so the console renders the exact resource hierarchy and the topology graph. A single baremetal server typically produces 21 CIs, and re-discovery is idempotent (no duplicates).</w:t>
      </w:r>
    </w:p>
    <w:p>
      <w:pPr>
        <w:pStyle w:val="Heading1"/>
        <w:pBdr>
          <w:bottom w:val="single" w:color="01A982" w:sz="10" w:space="4"/>
        </w:pBdr>
        <w:spacing w:after="120" w:before="260"/>
      </w:pPr>
      <w:r>
        <w:rPr>
          <w:color w:val="333333"/>
        </w:rPr>
        <w:t xml:space="preserve">7. Security Design</w:t>
      </w:r>
    </w:p>
    <w:p>
      <w:pPr>
        <w:pStyle w:val="ListParagraph"/>
        <w:numPr>
          <w:ilvl w:val="0"/>
          <w:numId w:val="1"/>
        </w:numPr>
        <w:spacing w:after="40"/>
      </w:pPr>
      <w:r>
        <w:rPr>
          <w:b/>
          <w:bCs/>
        </w:rPr>
        <w:t xml:space="preserve">Credentials at rest:</w:t>
      </w:r>
      <w:r>
        <w:t xml:space="preserve"> AES-256-GCM (format v1:iv:tag:ciphertext); key from CMDB_SECRET_KEY (inject via secret manager) or a 0600 keyfile. secret_blob is never returned by the API.</w:t>
      </w:r>
    </w:p>
    <w:p>
      <w:pPr>
        <w:pStyle w:val="ListParagraph"/>
        <w:numPr>
          <w:ilvl w:val="0"/>
          <w:numId w:val="1"/>
        </w:numPr>
        <w:spacing w:after="40"/>
      </w:pPr>
      <w:r>
        <w:rPr>
          <w:b/>
          <w:bCs/>
        </w:rPr>
        <w:t xml:space="preserve">Authentication &amp; RBAC (implemented, opt-in):</w:t>
      </w:r>
      <w:r>
        <w:t xml:space="preserve"> bearer API tokens with roles viewer &lt; operator &lt; admin, enforced when CMDB_AUTH=1. GET requires viewer; mutations require operator; credential/token/merge/lifecycle operations require admin. Disabled by default so trusted-network deployments need no change.</w:t>
      </w:r>
    </w:p>
    <w:p>
      <w:pPr>
        <w:pStyle w:val="ListParagraph"/>
        <w:numPr>
          <w:ilvl w:val="0"/>
          <w:numId w:val="1"/>
        </w:numPr>
        <w:spacing w:after="40"/>
      </w:pPr>
      <w:r>
        <w:rPr>
          <w:b/>
          <w:bCs/>
        </w:rPr>
        <w:t xml:space="preserve">Audit trail (implemented):</w:t>
      </w:r>
      <w:r>
        <w:t xml:space="preserve"> every mutating action (job.run, credential.create, ci.merge, token.create, lifecycle.sweep, …) is recorded with actor, target, and timestamp, and surfaced in the console.</w:t>
      </w:r>
    </w:p>
    <w:p>
      <w:pPr>
        <w:pStyle w:val="ListParagraph"/>
        <w:numPr>
          <w:ilvl w:val="0"/>
          <w:numId w:val="1"/>
        </w:numPr>
        <w:spacing w:after="40"/>
      </w:pPr>
      <w:r>
        <w:rPr>
          <w:b/>
          <w:bCs/>
        </w:rPr>
        <w:t xml:space="preserve">Transport:</w:t>
      </w:r>
      <w:r>
        <w:t xml:space="preserve"> HTTPS for Redfish/vCenter; SNMP v3 auth/priv where available; v2c community strings supported but flagged low-assurance.</w:t>
      </w:r>
    </w:p>
    <w:p>
      <w:pPr>
        <w:pStyle w:val="ListParagraph"/>
        <w:numPr>
          <w:ilvl w:val="0"/>
          <w:numId w:val="1"/>
        </w:numPr>
        <w:spacing w:after="40"/>
      </w:pPr>
      <w:r>
        <w:rPr>
          <w:b/>
          <w:bCs/>
        </w:rPr>
        <w:t xml:space="preserve">Injection safety:</w:t>
      </w:r>
      <w:r>
        <w:t xml:space="preserve"> all database access uses parameterized prepared statements.</w:t>
      </w:r>
    </w:p>
    <w:p>
      <w:pPr>
        <w:pStyle w:val="ListParagraph"/>
        <w:numPr>
          <w:ilvl w:val="0"/>
          <w:numId w:val="1"/>
        </w:numPr>
        <w:spacing w:after="40"/>
      </w:pPr>
      <w:r>
        <w:rPr>
          <w:b/>
          <w:bCs/>
        </w:rPr>
        <w:t xml:space="preserve">Hardening roadmap:</w:t>
      </w:r>
      <w:r>
        <w:t xml:space="preserve"> OIDC/JWT federation, TLS termination, KMS integration, and network segmentation for probes.</w:t>
      </w:r>
    </w:p>
    <w:p>
      <w:pPr>
        <w:pStyle w:val="Heading1"/>
        <w:pBdr>
          <w:bottom w:val="single" w:color="01A982" w:sz="10" w:space="4"/>
        </w:pBdr>
        <w:spacing w:after="120" w:before="260"/>
      </w:pPr>
      <w:r>
        <w:rPr>
          <w:color w:val="333333"/>
        </w:rPr>
        <w:t xml:space="preserve">8. Testing &amp; Validation</w:t>
      </w:r>
    </w:p>
    <w:tbl>
      <w:tblPr>
        <w:tblW w:type="pct" w:w="100%"/>
        <w:tblBorders>
          <w:top w:val="single" w:color="D5DCE6" w:sz="2"/>
          <w:left w:val="single" w:color="D5DCE6" w:sz="2"/>
          <w:bottom w:val="single" w:color="D5DCE6" w:sz="2"/>
          <w:right w:val="single" w:color="D5DCE6" w:sz="2"/>
          <w:insideH w:val="single" w:color="D5DCE6" w:sz="2"/>
          <w:insideV w:val="single" w:color="D5DCE6" w:sz="2"/>
        </w:tblBorders>
      </w:tblPr>
      <w:tblGrid>
        <w:gridCol w:w="100"/>
        <w:gridCol w:w="100"/>
        <w:gridCol w:w="100"/>
      </w:tblGrid>
      <w:tr>
        <w:trPr>
          <w:tblHeader/>
        </w:trPr>
        <w:tc>
          <w:tcPr>
            <w:tcW w:type="pct" w:w="16%"/>
            <w:shd w:fill="01A982"/>
            <w:tcMar>
              <w:top w:type="dxa" w:w="40"/>
              <w:left w:type="dxa" w:w="90"/>
              <w:bottom w:type="dxa" w:w="40"/>
              <w:right w:type="dxa" w:w="90"/>
            </w:tcMar>
          </w:tcPr>
          <w:p>
            <w:r>
              <w:rPr>
                <w:b/>
                <w:bCs/>
                <w:color w:val="FFFFFF"/>
                <w:sz w:val="18"/>
                <w:szCs w:val="18"/>
              </w:rPr>
              <w:t xml:space="preserve">Test suite</w:t>
            </w:r>
          </w:p>
        </w:tc>
        <w:tc>
          <w:tcPr>
            <w:tcW w:type="pct" w:w="62%"/>
            <w:shd w:fill="01A982"/>
            <w:tcMar>
              <w:top w:type="dxa" w:w="40"/>
              <w:left w:type="dxa" w:w="90"/>
              <w:bottom w:type="dxa" w:w="40"/>
              <w:right w:type="dxa" w:w="90"/>
            </w:tcMar>
          </w:tcPr>
          <w:p>
            <w:r>
              <w:rPr>
                <w:b/>
                <w:bCs/>
                <w:color w:val="FFFFFF"/>
                <w:sz w:val="18"/>
                <w:szCs w:val="18"/>
              </w:rPr>
              <w:t xml:space="preserve">Coverage</w:t>
            </w:r>
          </w:p>
        </w:tc>
        <w:tc>
          <w:tcPr>
            <w:tcW w:type="pct" w:w="22%"/>
            <w:shd w:fill="01A982"/>
            <w:tcMar>
              <w:top w:type="dxa" w:w="40"/>
              <w:left w:type="dxa" w:w="90"/>
              <w:bottom w:type="dxa" w:w="40"/>
              <w:right w:type="dxa" w:w="90"/>
            </w:tcMar>
          </w:tcPr>
          <w:p>
            <w:r>
              <w:rPr>
                <w:b/>
                <w:bCs/>
                <w:color w:val="FFFFFF"/>
                <w:sz w:val="18"/>
                <w:szCs w:val="18"/>
              </w:rPr>
              <w:t xml:space="preserve">Result</w:t>
            </w:r>
          </w:p>
        </w:tc>
      </w:tr>
      <w:tr>
        <w:tc>
          <w:tcPr>
            <w:tcW w:type="pct" w:w="16%"/>
            <w:tcMar>
              <w:top w:type="dxa" w:w="40"/>
              <w:left w:type="dxa" w:w="90"/>
              <w:bottom w:type="dxa" w:w="40"/>
              <w:right w:type="dxa" w:w="90"/>
            </w:tcMar>
          </w:tcPr>
          <w:p>
            <w:r>
              <w:rPr>
                <w:sz w:val="18"/>
                <w:szCs w:val="18"/>
              </w:rPr>
              <w:t xml:space="preserve">recon</w:t>
            </w:r>
          </w:p>
        </w:tc>
        <w:tc>
          <w:tcPr>
            <w:tcW w:type="pct" w:w="62%"/>
            <w:tcMar>
              <w:top w:type="dxa" w:w="40"/>
              <w:left w:type="dxa" w:w="90"/>
              <w:bottom w:type="dxa" w:w="40"/>
              <w:right w:type="dxa" w:w="90"/>
            </w:tcMar>
          </w:tcPr>
          <w:p>
            <w:r>
              <w:rPr>
                <w:sz w:val="18"/>
                <w:szCs w:val="18"/>
              </w:rPr>
              <w:t xml:space="preserve">Reconciliation: insert, idempotent re-ingest, cross-source MAC merge, change tracking, no false merges</w:t>
            </w:r>
          </w:p>
        </w:tc>
        <w:tc>
          <w:tcPr>
            <w:tcW w:type="pct" w:w="22%"/>
            <w:tcMar>
              <w:top w:type="dxa" w:w="40"/>
              <w:left w:type="dxa" w:w="90"/>
              <w:bottom w:type="dxa" w:w="40"/>
              <w:right w:type="dxa" w:w="90"/>
            </w:tcMar>
          </w:tcPr>
          <w:p>
            <w:r>
              <w:rPr>
                <w:sz w:val="18"/>
                <w:szCs w:val="18"/>
              </w:rPr>
              <w:t xml:space="preserve">8/8</w:t>
            </w:r>
          </w:p>
        </w:tc>
      </w:tr>
      <w:tr>
        <w:tc>
          <w:tcPr>
            <w:tcW w:type="pct" w:w="16%"/>
            <w:shd w:fill="F5F7FA"/>
            <w:tcMar>
              <w:top w:type="dxa" w:w="40"/>
              <w:left w:type="dxa" w:w="90"/>
              <w:bottom w:type="dxa" w:w="40"/>
              <w:right w:type="dxa" w:w="90"/>
            </w:tcMar>
          </w:tcPr>
          <w:p>
            <w:r>
              <w:rPr>
                <w:sz w:val="18"/>
                <w:szCs w:val="18"/>
              </w:rPr>
              <w:t xml:space="preserve">redfish</w:t>
            </w:r>
          </w:p>
        </w:tc>
        <w:tc>
          <w:tcPr>
            <w:tcW w:type="pct" w:w="62%"/>
            <w:shd w:fill="F5F7FA"/>
            <w:tcMar>
              <w:top w:type="dxa" w:w="40"/>
              <w:left w:type="dxa" w:w="90"/>
              <w:bottom w:type="dxa" w:w="40"/>
              <w:right w:type="dxa" w:w="90"/>
            </w:tcMar>
          </w:tcPr>
          <w:p>
            <w:r>
              <w:rPr>
                <w:sz w:val="18"/>
                <w:szCs w:val="18"/>
              </w:rPr>
              <w:t xml:space="preserve">Full Redfish tree vs mock BMC: all 16 CI types, hierarchy edges, ingest + idempotency</w:t>
            </w:r>
          </w:p>
        </w:tc>
        <w:tc>
          <w:tcPr>
            <w:tcW w:type="pct" w:w="22%"/>
            <w:shd w:fill="F5F7FA"/>
            <w:tcMar>
              <w:top w:type="dxa" w:w="40"/>
              <w:left w:type="dxa" w:w="90"/>
              <w:bottom w:type="dxa" w:w="40"/>
              <w:right w:type="dxa" w:w="90"/>
            </w:tcMar>
          </w:tcPr>
          <w:p>
            <w:r>
              <w:rPr>
                <w:sz w:val="18"/>
                <w:szCs w:val="18"/>
              </w:rPr>
              <w:t xml:space="preserve">8/8 (21 CIs)</w:t>
            </w:r>
          </w:p>
        </w:tc>
      </w:tr>
      <w:tr>
        <w:tc>
          <w:tcPr>
            <w:tcW w:type="pct" w:w="16%"/>
            <w:tcMar>
              <w:top w:type="dxa" w:w="40"/>
              <w:left w:type="dxa" w:w="90"/>
              <w:bottom w:type="dxa" w:w="40"/>
              <w:right w:type="dxa" w:w="90"/>
            </w:tcMar>
          </w:tcPr>
          <w:p>
            <w:r>
              <w:rPr>
                <w:sz w:val="18"/>
                <w:szCs w:val="18"/>
              </w:rPr>
              <w:t xml:space="preserve">ssh</w:t>
            </w:r>
          </w:p>
        </w:tc>
        <w:tc>
          <w:tcPr>
            <w:tcW w:type="pct" w:w="62%"/>
            <w:tcMar>
              <w:top w:type="dxa" w:w="40"/>
              <w:left w:type="dxa" w:w="90"/>
              <w:bottom w:type="dxa" w:w="40"/>
              <w:right w:type="dxa" w:w="90"/>
            </w:tcMar>
          </w:tcPr>
          <w:p>
            <w:r>
              <w:rPr>
                <w:sz w:val="18"/>
                <w:szCs w:val="18"/>
              </w:rPr>
              <w:t xml:space="preserve">SSH parsers: os-release, cpuinfo, meminfo, lsblk, ip, df, classification</w:t>
            </w:r>
          </w:p>
        </w:tc>
        <w:tc>
          <w:tcPr>
            <w:tcW w:type="pct" w:w="22%"/>
            <w:tcMar>
              <w:top w:type="dxa" w:w="40"/>
              <w:left w:type="dxa" w:w="90"/>
              <w:bottom w:type="dxa" w:w="40"/>
              <w:right w:type="dxa" w:w="90"/>
            </w:tcMar>
          </w:tcPr>
          <w:p>
            <w:r>
              <w:rPr>
                <w:sz w:val="18"/>
                <w:szCs w:val="18"/>
              </w:rPr>
              <w:t xml:space="preserve">7/7</w:t>
            </w:r>
          </w:p>
        </w:tc>
      </w:tr>
      <w:tr>
        <w:tc>
          <w:tcPr>
            <w:tcW w:type="pct" w:w="16%"/>
            <w:shd w:fill="F5F7FA"/>
            <w:tcMar>
              <w:top w:type="dxa" w:w="40"/>
              <w:left w:type="dxa" w:w="90"/>
              <w:bottom w:type="dxa" w:w="40"/>
              <w:right w:type="dxa" w:w="90"/>
            </w:tcMar>
          </w:tcPr>
          <w:p>
            <w:r>
              <w:rPr>
                <w:sz w:val="18"/>
                <w:szCs w:val="18"/>
              </w:rPr>
              <w:t xml:space="preserve">vcenter</w:t>
            </w:r>
          </w:p>
        </w:tc>
        <w:tc>
          <w:tcPr>
            <w:tcW w:type="pct" w:w="62%"/>
            <w:shd w:fill="F5F7FA"/>
            <w:tcMar>
              <w:top w:type="dxa" w:w="40"/>
              <w:left w:type="dxa" w:w="90"/>
              <w:bottom w:type="dxa" w:w="40"/>
              <w:right w:type="dxa" w:w="90"/>
            </w:tcMar>
          </w:tcPr>
          <w:p>
            <w:r>
              <w:rPr>
                <w:sz w:val="18"/>
                <w:szCs w:val="18"/>
              </w:rPr>
              <w:t xml:space="preserve">vCenter REST vs mock: Cluster/Host/VM/Datastore CIs + relationships + ingest</w:t>
            </w:r>
          </w:p>
        </w:tc>
        <w:tc>
          <w:tcPr>
            <w:tcW w:type="pct" w:w="22%"/>
            <w:shd w:fill="F5F7FA"/>
            <w:tcMar>
              <w:top w:type="dxa" w:w="40"/>
              <w:left w:type="dxa" w:w="90"/>
              <w:bottom w:type="dxa" w:w="40"/>
              <w:right w:type="dxa" w:w="90"/>
            </w:tcMar>
          </w:tcPr>
          <w:p>
            <w:r>
              <w:rPr>
                <w:sz w:val="18"/>
                <w:szCs w:val="18"/>
              </w:rPr>
              <w:t xml:space="preserve">5/5</w:t>
            </w:r>
          </w:p>
        </w:tc>
      </w:tr>
      <w:tr>
        <w:tc>
          <w:tcPr>
            <w:tcW w:type="pct" w:w="16%"/>
            <w:tcMar>
              <w:top w:type="dxa" w:w="40"/>
              <w:left w:type="dxa" w:w="90"/>
              <w:bottom w:type="dxa" w:w="40"/>
              <w:right w:type="dxa" w:w="90"/>
            </w:tcMar>
          </w:tcPr>
          <w:p>
            <w:r>
              <w:rPr>
                <w:sz w:val="18"/>
                <w:szCs w:val="18"/>
              </w:rPr>
              <w:t xml:space="preserve">platform</w:t>
            </w:r>
          </w:p>
        </w:tc>
        <w:tc>
          <w:tcPr>
            <w:tcW w:type="pct" w:w="62%"/>
            <w:tcMar>
              <w:top w:type="dxa" w:w="40"/>
              <w:left w:type="dxa" w:w="90"/>
              <w:bottom w:type="dxa" w:w="40"/>
              <w:right w:type="dxa" w:w="90"/>
            </w:tcMar>
          </w:tcPr>
          <w:p>
            <w:r>
              <w:rPr>
                <w:sz w:val="18"/>
                <w:szCs w:val="18"/>
              </w:rPr>
              <w:t xml:space="preserve">RBAC (401/403), audit, CI merge, lifecycle sweep, metrics, CSV</w:t>
            </w:r>
          </w:p>
        </w:tc>
        <w:tc>
          <w:tcPr>
            <w:tcW w:type="pct" w:w="22%"/>
            <w:tcMar>
              <w:top w:type="dxa" w:w="40"/>
              <w:left w:type="dxa" w:w="90"/>
              <w:bottom w:type="dxa" w:w="40"/>
              <w:right w:type="dxa" w:w="90"/>
            </w:tcMar>
          </w:tcPr>
          <w:p>
            <w:r>
              <w:rPr>
                <w:sz w:val="18"/>
                <w:szCs w:val="18"/>
              </w:rPr>
              <w:t xml:space="preserve">10/10</w:t>
            </w:r>
          </w:p>
        </w:tc>
      </w:tr>
    </w:tbl>
    <w:p>
      <w:pPr>
        <w:spacing w:after="120"/>
      </w:pPr>
    </w:p>
    <w:p>
      <w:pPr>
        <w:spacing w:after="100"/>
      </w:pPr>
      <w:r>
        <w:t xml:space="preserve">Field validation: a full Redfish sweep against production iLOs produced 1,437 CIs across 16 types (servers, chassis, temperature sensors, firmware, memory, fans, NICs, drives, volumes, …) with no duplicates on re-discovery.</w:t>
      </w:r>
    </w:p>
    <w:p>
      <w:pPr>
        <w:pStyle w:val="Heading1"/>
        <w:pBdr>
          <w:bottom w:val="single" w:color="01A982" w:sz="10" w:space="4"/>
        </w:pBdr>
        <w:spacing w:after="120" w:before="260"/>
      </w:pPr>
      <w:r>
        <w:rPr>
          <w:color w:val="333333"/>
        </w:rPr>
        <w:t xml:space="preserve">9. Delivered vs Planned</w:t>
      </w:r>
    </w:p>
    <w:p>
      <w:pPr>
        <w:pStyle w:val="Heading3"/>
        <w:spacing w:after="60" w:before="120"/>
      </w:pPr>
      <w:r>
        <w:t xml:space="preserve">Delivered in this release</w:t>
      </w:r>
    </w:p>
    <w:tbl>
      <w:tblPr>
        <w:tblW w:type="pct" w:w="100%"/>
        <w:tblBorders>
          <w:top w:val="single" w:color="D5DCE6" w:sz="2"/>
          <w:left w:val="single" w:color="D5DCE6" w:sz="2"/>
          <w:bottom w:val="single" w:color="D5DCE6" w:sz="2"/>
          <w:right w:val="single" w:color="D5DCE6" w:sz="2"/>
          <w:insideH w:val="single" w:color="D5DCE6" w:sz="2"/>
          <w:insideV w:val="single" w:color="D5DCE6" w:sz="2"/>
        </w:tblBorders>
      </w:tblPr>
      <w:tblGrid>
        <w:gridCol w:w="100"/>
        <w:gridCol w:w="100"/>
      </w:tblGrid>
      <w:tr>
        <w:trPr>
          <w:tblHeader/>
        </w:trPr>
        <w:tc>
          <w:tcPr>
            <w:tcW w:type="pct" w:w="18%"/>
            <w:shd w:fill="01A982"/>
            <w:tcMar>
              <w:top w:type="dxa" w:w="40"/>
              <w:left w:type="dxa" w:w="90"/>
              <w:bottom w:type="dxa" w:w="40"/>
              <w:right w:type="dxa" w:w="90"/>
            </w:tcMar>
          </w:tcPr>
          <w:p>
            <w:r>
              <w:rPr>
                <w:b/>
                <w:bCs/>
                <w:color w:val="FFFFFF"/>
                <w:sz w:val="18"/>
                <w:szCs w:val="18"/>
              </w:rPr>
              <w:t xml:space="preserve">Area</w:t>
            </w:r>
          </w:p>
        </w:tc>
        <w:tc>
          <w:tcPr>
            <w:tcW w:type="pct" w:w="82%"/>
            <w:shd w:fill="01A982"/>
            <w:tcMar>
              <w:top w:type="dxa" w:w="40"/>
              <w:left w:type="dxa" w:w="90"/>
              <w:bottom w:type="dxa" w:w="40"/>
              <w:right w:type="dxa" w:w="90"/>
            </w:tcMar>
          </w:tcPr>
          <w:p>
            <w:r>
              <w:rPr>
                <w:b/>
                <w:bCs/>
                <w:color w:val="FFFFFF"/>
                <w:sz w:val="18"/>
                <w:szCs w:val="18"/>
              </w:rPr>
              <w:t xml:space="preserve">Feature</w:t>
            </w:r>
          </w:p>
        </w:tc>
      </w:tr>
      <w:tr>
        <w:tc>
          <w:tcPr>
            <w:tcW w:type="pct" w:w="18%"/>
            <w:tcMar>
              <w:top w:type="dxa" w:w="40"/>
              <w:left w:type="dxa" w:w="90"/>
              <w:bottom w:type="dxa" w:w="40"/>
              <w:right w:type="dxa" w:w="90"/>
            </w:tcMar>
          </w:tcPr>
          <w:p>
            <w:r>
              <w:rPr>
                <w:sz w:val="18"/>
                <w:szCs w:val="18"/>
              </w:rPr>
              <w:t xml:space="preserve">Coverage</w:t>
            </w:r>
          </w:p>
        </w:tc>
        <w:tc>
          <w:tcPr>
            <w:tcW w:type="pct" w:w="82%"/>
            <w:tcMar>
              <w:top w:type="dxa" w:w="40"/>
              <w:left w:type="dxa" w:w="90"/>
              <w:bottom w:type="dxa" w:w="40"/>
              <w:right w:type="dxa" w:w="90"/>
            </w:tcMar>
          </w:tcPr>
          <w:p>
            <w:r>
              <w:rPr>
                <w:sz w:val="18"/>
                <w:szCs w:val="18"/>
              </w:rPr>
              <w:t xml:space="preserve">Connectors: Redfish, SNMP (+LLDP L2 topology), vCenter/ESXi (hypervisors + VMs + datastores), SSH/Linux</w:t>
            </w:r>
          </w:p>
        </w:tc>
      </w:tr>
      <w:tr>
        <w:tc>
          <w:tcPr>
            <w:tcW w:type="pct" w:w="18%"/>
            <w:shd w:fill="F5F7FA"/>
            <w:tcMar>
              <w:top w:type="dxa" w:w="40"/>
              <w:left w:type="dxa" w:w="90"/>
              <w:bottom w:type="dxa" w:w="40"/>
              <w:right w:type="dxa" w:w="90"/>
            </w:tcMar>
          </w:tcPr>
          <w:p>
            <w:r>
              <w:rPr>
                <w:sz w:val="18"/>
                <w:szCs w:val="18"/>
              </w:rPr>
              <w:t xml:space="preserve">Security</w:t>
            </w:r>
          </w:p>
        </w:tc>
        <w:tc>
          <w:tcPr>
            <w:tcW w:type="pct" w:w="82%"/>
            <w:shd w:fill="F5F7FA"/>
            <w:tcMar>
              <w:top w:type="dxa" w:w="40"/>
              <w:left w:type="dxa" w:w="90"/>
              <w:bottom w:type="dxa" w:w="40"/>
              <w:right w:type="dxa" w:w="90"/>
            </w:tcMar>
          </w:tcPr>
          <w:p>
            <w:r>
              <w:rPr>
                <w:sz w:val="18"/>
                <w:szCs w:val="18"/>
              </w:rPr>
              <w:t xml:space="preserve">API tokens + RBAC (viewer/operator/admin), audit trail — opt-in via CMDB_AUTH</w:t>
            </w:r>
          </w:p>
        </w:tc>
      </w:tr>
      <w:tr>
        <w:tc>
          <w:tcPr>
            <w:tcW w:type="pct" w:w="18%"/>
            <w:tcMar>
              <w:top w:type="dxa" w:w="40"/>
              <w:left w:type="dxa" w:w="90"/>
              <w:bottom w:type="dxa" w:w="40"/>
              <w:right w:type="dxa" w:w="90"/>
            </w:tcMar>
          </w:tcPr>
          <w:p>
            <w:r>
              <w:rPr>
                <w:sz w:val="18"/>
                <w:szCs w:val="18"/>
              </w:rPr>
              <w:t xml:space="preserve">CMDB depth</w:t>
            </w:r>
          </w:p>
        </w:tc>
        <w:tc>
          <w:tcPr>
            <w:tcW w:type="pct" w:w="82%"/>
            <w:tcMar>
              <w:top w:type="dxa" w:w="40"/>
              <w:left w:type="dxa" w:w="90"/>
              <w:bottom w:type="dxa" w:w="40"/>
              <w:right w:type="dxa" w:w="90"/>
            </w:tcMar>
          </w:tcPr>
          <w:p>
            <w:r>
              <w:rPr>
                <w:sz w:val="18"/>
                <w:szCs w:val="18"/>
              </w:rPr>
              <w:t xml:space="preserve">Manual CI merge (reassign identifiers/relationships/history, union attributes)</w:t>
            </w:r>
          </w:p>
        </w:tc>
      </w:tr>
      <w:tr>
        <w:tc>
          <w:tcPr>
            <w:tcW w:type="pct" w:w="18%"/>
            <w:shd w:fill="F5F7FA"/>
            <w:tcMar>
              <w:top w:type="dxa" w:w="40"/>
              <w:left w:type="dxa" w:w="90"/>
              <w:bottom w:type="dxa" w:w="40"/>
              <w:right w:type="dxa" w:w="90"/>
            </w:tcMar>
          </w:tcPr>
          <w:p>
            <w:r>
              <w:rPr>
                <w:sz w:val="18"/>
                <w:szCs w:val="18"/>
              </w:rPr>
              <w:t xml:space="preserve">Ops</w:t>
            </w:r>
          </w:p>
        </w:tc>
        <w:tc>
          <w:tcPr>
            <w:tcW w:type="pct" w:w="82%"/>
            <w:shd w:fill="F5F7FA"/>
            <w:tcMar>
              <w:top w:type="dxa" w:w="40"/>
              <w:left w:type="dxa" w:w="90"/>
              <w:bottom w:type="dxa" w:w="40"/>
              <w:right w:type="dxa" w:w="90"/>
            </w:tcMar>
          </w:tcPr>
          <w:p>
            <w:r>
              <w:rPr>
                <w:sz w:val="18"/>
                <w:szCs w:val="18"/>
              </w:rPr>
              <w:t xml:space="preserve">Prometheus /metrics, stale→decommissioned CI lifecycle sweep, CSV + Excel bulk export</w:t>
            </w:r>
          </w:p>
        </w:tc>
      </w:tr>
      <w:tr>
        <w:tc>
          <w:tcPr>
            <w:tcW w:type="pct" w:w="18%"/>
            <w:tcMar>
              <w:top w:type="dxa" w:w="40"/>
              <w:left w:type="dxa" w:w="90"/>
              <w:bottom w:type="dxa" w:w="40"/>
              <w:right w:type="dxa" w:w="90"/>
            </w:tcMar>
          </w:tcPr>
          <w:p>
            <w:r>
              <w:rPr>
                <w:sz w:val="18"/>
                <w:szCs w:val="18"/>
              </w:rPr>
              <w:t xml:space="preserve">Topology</w:t>
            </w:r>
          </w:p>
        </w:tc>
        <w:tc>
          <w:tcPr>
            <w:tcW w:type="pct" w:w="82%"/>
            <w:tcMar>
              <w:top w:type="dxa" w:w="40"/>
              <w:left w:type="dxa" w:w="90"/>
              <w:bottom w:type="dxa" w:w="40"/>
              <w:right w:type="dxa" w:w="90"/>
            </w:tcMar>
          </w:tcPr>
          <w:p>
            <w:r>
              <w:rPr>
                <w:sz w:val="18"/>
                <w:szCs w:val="18"/>
              </w:rPr>
              <w:t xml:space="preserve">L2 connected_to edges from LLDP neighbours</w:t>
            </w:r>
          </w:p>
        </w:tc>
      </w:tr>
    </w:tbl>
    <w:p>
      <w:pPr>
        <w:pStyle w:val="Heading3"/>
        <w:spacing w:after="60" w:before="120"/>
      </w:pPr>
      <w:r>
        <w:t xml:space="preserve">Planned</w:t>
      </w:r>
    </w:p>
    <w:tbl>
      <w:tblPr>
        <w:tblW w:type="pct" w:w="100%"/>
        <w:tblBorders>
          <w:top w:val="single" w:color="D5DCE6" w:sz="2"/>
          <w:left w:val="single" w:color="D5DCE6" w:sz="2"/>
          <w:bottom w:val="single" w:color="D5DCE6" w:sz="2"/>
          <w:right w:val="single" w:color="D5DCE6" w:sz="2"/>
          <w:insideH w:val="single" w:color="D5DCE6" w:sz="2"/>
          <w:insideV w:val="single" w:color="D5DCE6" w:sz="2"/>
        </w:tblBorders>
      </w:tblPr>
      <w:tblGrid>
        <w:gridCol w:w="100"/>
        <w:gridCol w:w="100"/>
      </w:tblGrid>
      <w:tr>
        <w:trPr>
          <w:tblHeader/>
        </w:trPr>
        <w:tc>
          <w:tcPr>
            <w:tcW w:type="pct" w:w="18%"/>
            <w:shd w:fill="01A982"/>
            <w:tcMar>
              <w:top w:type="dxa" w:w="40"/>
              <w:left w:type="dxa" w:w="90"/>
              <w:bottom w:type="dxa" w:w="40"/>
              <w:right w:type="dxa" w:w="90"/>
            </w:tcMar>
          </w:tcPr>
          <w:p>
            <w:r>
              <w:rPr>
                <w:b/>
                <w:bCs/>
                <w:color w:val="FFFFFF"/>
                <w:sz w:val="18"/>
                <w:szCs w:val="18"/>
              </w:rPr>
              <w:t xml:space="preserve">Area</w:t>
            </w:r>
          </w:p>
        </w:tc>
        <w:tc>
          <w:tcPr>
            <w:tcW w:type="pct" w:w="82%"/>
            <w:shd w:fill="01A982"/>
            <w:tcMar>
              <w:top w:type="dxa" w:w="40"/>
              <w:left w:type="dxa" w:w="90"/>
              <w:bottom w:type="dxa" w:w="40"/>
              <w:right w:type="dxa" w:w="90"/>
            </w:tcMar>
          </w:tcPr>
          <w:p>
            <w:r>
              <w:rPr>
                <w:b/>
                <w:bCs/>
                <w:color w:val="FFFFFF"/>
                <w:sz w:val="18"/>
                <w:szCs w:val="18"/>
              </w:rPr>
              <w:t xml:space="preserve">Item</w:t>
            </w:r>
          </w:p>
        </w:tc>
      </w:tr>
      <w:tr>
        <w:tc>
          <w:tcPr>
            <w:tcW w:type="pct" w:w="18%"/>
            <w:tcMar>
              <w:top w:type="dxa" w:w="40"/>
              <w:left w:type="dxa" w:w="90"/>
              <w:bottom w:type="dxa" w:w="40"/>
              <w:right w:type="dxa" w:w="90"/>
            </w:tcMar>
          </w:tcPr>
          <w:p>
            <w:r>
              <w:rPr>
                <w:sz w:val="18"/>
                <w:szCs w:val="18"/>
              </w:rPr>
              <w:t xml:space="preserve">Coverage</w:t>
            </w:r>
          </w:p>
        </w:tc>
        <w:tc>
          <w:tcPr>
            <w:tcW w:type="pct" w:w="82%"/>
            <w:tcMar>
              <w:top w:type="dxa" w:w="40"/>
              <w:left w:type="dxa" w:w="90"/>
              <w:bottom w:type="dxa" w:w="40"/>
              <w:right w:type="dxa" w:w="90"/>
            </w:tcMar>
          </w:tcPr>
          <w:p>
            <w:r>
              <w:rPr>
                <w:sz w:val="18"/>
                <w:szCs w:val="18"/>
              </w:rPr>
              <w:t xml:space="preserve">WMI/WinRM (Windows), cloud (AWS/Azure/GCP), storage arrays (SMI-S/REST)</w:t>
            </w:r>
          </w:p>
        </w:tc>
      </w:tr>
      <w:tr>
        <w:tc>
          <w:tcPr>
            <w:tcW w:type="pct" w:w="18%"/>
            <w:shd w:fill="F5F7FA"/>
            <w:tcMar>
              <w:top w:type="dxa" w:w="40"/>
              <w:left w:type="dxa" w:w="90"/>
              <w:bottom w:type="dxa" w:w="40"/>
              <w:right w:type="dxa" w:w="90"/>
            </w:tcMar>
          </w:tcPr>
          <w:p>
            <w:r>
              <w:rPr>
                <w:sz w:val="18"/>
                <w:szCs w:val="18"/>
              </w:rPr>
              <w:t xml:space="preserve">Security</w:t>
            </w:r>
          </w:p>
        </w:tc>
        <w:tc>
          <w:tcPr>
            <w:tcW w:type="pct" w:w="82%"/>
            <w:shd w:fill="F5F7FA"/>
            <w:tcMar>
              <w:top w:type="dxa" w:w="40"/>
              <w:left w:type="dxa" w:w="90"/>
              <w:bottom w:type="dxa" w:w="40"/>
              <w:right w:type="dxa" w:w="90"/>
            </w:tcMar>
          </w:tcPr>
          <w:p>
            <w:r>
              <w:rPr>
                <w:sz w:val="18"/>
                <w:szCs w:val="18"/>
              </w:rPr>
              <w:t xml:space="preserve">OIDC/JWT federation, TLS termination, KMS integration</w:t>
            </w:r>
          </w:p>
        </w:tc>
      </w:tr>
      <w:tr>
        <w:tc>
          <w:tcPr>
            <w:tcW w:type="pct" w:w="18%"/>
            <w:tcMar>
              <w:top w:type="dxa" w:w="40"/>
              <w:left w:type="dxa" w:w="90"/>
              <w:bottom w:type="dxa" w:w="40"/>
              <w:right w:type="dxa" w:w="90"/>
            </w:tcMar>
          </w:tcPr>
          <w:p>
            <w:r>
              <w:rPr>
                <w:sz w:val="18"/>
                <w:szCs w:val="18"/>
              </w:rPr>
              <w:t xml:space="preserve">CMDB depth</w:t>
            </w:r>
          </w:p>
        </w:tc>
        <w:tc>
          <w:tcPr>
            <w:tcW w:type="pct" w:w="82%"/>
            <w:tcMar>
              <w:top w:type="dxa" w:w="40"/>
              <w:left w:type="dxa" w:w="90"/>
              <w:bottom w:type="dxa" w:w="40"/>
              <w:right w:type="dxa" w:w="90"/>
            </w:tcMar>
          </w:tcPr>
          <w:p>
            <w:r>
              <w:rPr>
                <w:sz w:val="18"/>
                <w:szCs w:val="18"/>
              </w:rPr>
              <w:t xml:space="preserve">CI split, baselines &amp; drift, impact analysis, ServiceNow federation/import</w:t>
            </w:r>
          </w:p>
        </w:tc>
      </w:tr>
      <w:tr>
        <w:tc>
          <w:tcPr>
            <w:tcW w:type="pct" w:w="18%"/>
            <w:shd w:fill="F5F7FA"/>
            <w:tcMar>
              <w:top w:type="dxa" w:w="40"/>
              <w:left w:type="dxa" w:w="90"/>
              <w:bottom w:type="dxa" w:w="40"/>
              <w:right w:type="dxa" w:w="90"/>
            </w:tcMar>
          </w:tcPr>
          <w:p>
            <w:r>
              <w:rPr>
                <w:sz w:val="18"/>
                <w:szCs w:val="18"/>
              </w:rPr>
              <w:t xml:space="preserve">Scale</w:t>
            </w:r>
          </w:p>
        </w:tc>
        <w:tc>
          <w:tcPr>
            <w:tcW w:type="pct" w:w="82%"/>
            <w:shd w:fill="F5F7FA"/>
            <w:tcMar>
              <w:top w:type="dxa" w:w="40"/>
              <w:left w:type="dxa" w:w="90"/>
              <w:bottom w:type="dxa" w:w="40"/>
              <w:right w:type="dxa" w:w="90"/>
            </w:tcMar>
          </w:tcPr>
          <w:p>
            <w:r>
              <w:rPr>
                <w:sz w:val="18"/>
                <w:szCs w:val="18"/>
              </w:rPr>
              <w:t xml:space="preserve">Postgres/JSONB backend, collector appliances, durable job queue, horizontal API</w:t>
            </w:r>
          </w:p>
        </w:tc>
      </w:tr>
    </w:tbl>
    <w:p>
      <w:pPr>
        <w:pStyle w:val="Heading1"/>
        <w:pBdr>
          <w:bottom w:val="single" w:color="01A982" w:sz="10" w:space="4"/>
        </w:pBdr>
        <w:spacing w:after="120" w:before="260"/>
      </w:pPr>
      <w:r>
        <w:rPr>
          <w:color w:val="333333"/>
        </w:rPr>
        <w:t xml:space="preserve">10. Traceability — Design ↔ Code</w:t>
      </w:r>
    </w:p>
    <w:tbl>
      <w:tblPr>
        <w:tblW w:type="pct" w:w="100%"/>
        <w:tblBorders>
          <w:top w:val="single" w:color="D5DCE6" w:sz="2"/>
          <w:left w:val="single" w:color="D5DCE6" w:sz="2"/>
          <w:bottom w:val="single" w:color="D5DCE6" w:sz="2"/>
          <w:right w:val="single" w:color="D5DCE6" w:sz="2"/>
          <w:insideH w:val="single" w:color="D5DCE6" w:sz="2"/>
          <w:insideV w:val="single" w:color="D5DCE6" w:sz="2"/>
        </w:tblBorders>
      </w:tblPr>
      <w:tblGrid>
        <w:gridCol w:w="100"/>
        <w:gridCol w:w="100"/>
      </w:tblGrid>
      <w:tr>
        <w:trPr>
          <w:tblHeader/>
        </w:trPr>
        <w:tc>
          <w:tcPr>
            <w:tcW w:type="pct" w:w="40%"/>
            <w:shd w:fill="01A982"/>
            <w:tcMar>
              <w:top w:type="dxa" w:w="40"/>
              <w:left w:type="dxa" w:w="90"/>
              <w:bottom w:type="dxa" w:w="40"/>
              <w:right w:type="dxa" w:w="90"/>
            </w:tcMar>
          </w:tcPr>
          <w:p>
            <w:r>
              <w:rPr>
                <w:b/>
                <w:bCs/>
                <w:color w:val="FFFFFF"/>
                <w:sz w:val="18"/>
                <w:szCs w:val="18"/>
              </w:rPr>
              <w:t xml:space="preserve">Design element</w:t>
            </w:r>
          </w:p>
        </w:tc>
        <w:tc>
          <w:tcPr>
            <w:tcW w:type="pct" w:w="60%"/>
            <w:shd w:fill="01A982"/>
            <w:tcMar>
              <w:top w:type="dxa" w:w="40"/>
              <w:left w:type="dxa" w:w="90"/>
              <w:bottom w:type="dxa" w:w="40"/>
              <w:right w:type="dxa" w:w="90"/>
            </w:tcMar>
          </w:tcPr>
          <w:p>
            <w:r>
              <w:rPr>
                <w:b/>
                <w:bCs/>
                <w:color w:val="FFFFFF"/>
                <w:sz w:val="18"/>
                <w:szCs w:val="18"/>
              </w:rPr>
              <w:t xml:space="preserve">Source</w:t>
            </w:r>
          </w:p>
        </w:tc>
      </w:tr>
      <w:tr>
        <w:tc>
          <w:tcPr>
            <w:tcW w:type="pct" w:w="40%"/>
            <w:tcMar>
              <w:top w:type="dxa" w:w="40"/>
              <w:left w:type="dxa" w:w="90"/>
              <w:bottom w:type="dxa" w:w="40"/>
              <w:right w:type="dxa" w:w="90"/>
            </w:tcMar>
          </w:tcPr>
          <w:p>
            <w:r>
              <w:rPr>
                <w:sz w:val="18"/>
                <w:szCs w:val="18"/>
              </w:rPr>
              <w:t xml:space="preserve">CI type catalog</w:t>
            </w:r>
          </w:p>
        </w:tc>
        <w:tc>
          <w:tcPr>
            <w:tcW w:type="pct" w:w="60%"/>
            <w:tcMar>
              <w:top w:type="dxa" w:w="40"/>
              <w:left w:type="dxa" w:w="90"/>
              <w:bottom w:type="dxa" w:w="40"/>
              <w:right w:type="dxa" w:w="90"/>
            </w:tcMar>
          </w:tcPr>
          <w:p>
            <w:r>
              <w:rPr>
                <w:sz w:val="18"/>
                <w:szCs w:val="18"/>
              </w:rPr>
              <w:t xml:space="preserve">src/cmdb/model.js</w:t>
            </w:r>
          </w:p>
        </w:tc>
      </w:tr>
      <w:tr>
        <w:tc>
          <w:tcPr>
            <w:tcW w:type="pct" w:w="40%"/>
            <w:shd w:fill="F5F7FA"/>
            <w:tcMar>
              <w:top w:type="dxa" w:w="40"/>
              <w:left w:type="dxa" w:w="90"/>
              <w:bottom w:type="dxa" w:w="40"/>
              <w:right w:type="dxa" w:w="90"/>
            </w:tcMar>
          </w:tcPr>
          <w:p>
            <w:r>
              <w:rPr>
                <w:sz w:val="18"/>
                <w:szCs w:val="18"/>
              </w:rPr>
              <w:t xml:space="preserve">Reconciliation engine</w:t>
            </w:r>
          </w:p>
        </w:tc>
        <w:tc>
          <w:tcPr>
            <w:tcW w:type="pct" w:w="60%"/>
            <w:shd w:fill="F5F7FA"/>
            <w:tcMar>
              <w:top w:type="dxa" w:w="40"/>
              <w:left w:type="dxa" w:w="90"/>
              <w:bottom w:type="dxa" w:w="40"/>
              <w:right w:type="dxa" w:w="90"/>
            </w:tcMar>
          </w:tcPr>
          <w:p>
            <w:r>
              <w:rPr>
                <w:sz w:val="18"/>
                <w:szCs w:val="18"/>
              </w:rPr>
              <w:t xml:space="preserve">src/cmdb/reconcile.js · test/recon.test.mjs</w:t>
            </w:r>
          </w:p>
        </w:tc>
      </w:tr>
      <w:tr>
        <w:tc>
          <w:tcPr>
            <w:tcW w:type="pct" w:w="40%"/>
            <w:tcMar>
              <w:top w:type="dxa" w:w="40"/>
              <w:left w:type="dxa" w:w="90"/>
              <w:bottom w:type="dxa" w:w="40"/>
              <w:right w:type="dxa" w:w="90"/>
            </w:tcMar>
          </w:tcPr>
          <w:p>
            <w:r>
              <w:rPr>
                <w:sz w:val="18"/>
                <w:szCs w:val="18"/>
              </w:rPr>
              <w:t xml:space="preserve">Data model</w:t>
            </w:r>
          </w:p>
        </w:tc>
        <w:tc>
          <w:tcPr>
            <w:tcW w:type="pct" w:w="60%"/>
            <w:tcMar>
              <w:top w:type="dxa" w:w="40"/>
              <w:left w:type="dxa" w:w="90"/>
              <w:bottom w:type="dxa" w:w="40"/>
              <w:right w:type="dxa" w:w="90"/>
            </w:tcMar>
          </w:tcPr>
          <w:p>
            <w:r>
              <w:rPr>
                <w:sz w:val="18"/>
                <w:szCs w:val="18"/>
              </w:rPr>
              <w:t xml:space="preserve">src/db/schema.sql · src/db/repositories.js</w:t>
            </w:r>
          </w:p>
        </w:tc>
      </w:tr>
      <w:tr>
        <w:tc>
          <w:tcPr>
            <w:tcW w:type="pct" w:w="40%"/>
            <w:shd w:fill="F5F7FA"/>
            <w:tcMar>
              <w:top w:type="dxa" w:w="40"/>
              <w:left w:type="dxa" w:w="90"/>
              <w:bottom w:type="dxa" w:w="40"/>
              <w:right w:type="dxa" w:w="90"/>
            </w:tcMar>
          </w:tcPr>
          <w:p>
            <w:r>
              <w:rPr>
                <w:sz w:val="18"/>
                <w:szCs w:val="18"/>
              </w:rPr>
              <w:t xml:space="preserve">Redfish connector (full tree)</w:t>
            </w:r>
          </w:p>
        </w:tc>
        <w:tc>
          <w:tcPr>
            <w:tcW w:type="pct" w:w="60%"/>
            <w:shd w:fill="F5F7FA"/>
            <w:tcMar>
              <w:top w:type="dxa" w:w="40"/>
              <w:left w:type="dxa" w:w="90"/>
              <w:bottom w:type="dxa" w:w="40"/>
              <w:right w:type="dxa" w:w="90"/>
            </w:tcMar>
          </w:tcPr>
          <w:p>
            <w:r>
              <w:rPr>
                <w:sz w:val="18"/>
                <w:szCs w:val="18"/>
              </w:rPr>
              <w:t xml:space="preserve">src/discovery/connectors/redfish.js · test/redfish.test.mjs</w:t>
            </w:r>
          </w:p>
        </w:tc>
      </w:tr>
      <w:tr>
        <w:tc>
          <w:tcPr>
            <w:tcW w:type="pct" w:w="40%"/>
            <w:tcMar>
              <w:top w:type="dxa" w:w="40"/>
              <w:left w:type="dxa" w:w="90"/>
              <w:bottom w:type="dxa" w:w="40"/>
              <w:right w:type="dxa" w:w="90"/>
            </w:tcMar>
          </w:tcPr>
          <w:p>
            <w:r>
              <w:rPr>
                <w:sz w:val="18"/>
                <w:szCs w:val="18"/>
              </w:rPr>
              <w:t xml:space="preserve">SNMP connector</w:t>
            </w:r>
          </w:p>
        </w:tc>
        <w:tc>
          <w:tcPr>
            <w:tcW w:type="pct" w:w="60%"/>
            <w:tcMar>
              <w:top w:type="dxa" w:w="40"/>
              <w:left w:type="dxa" w:w="90"/>
              <w:bottom w:type="dxa" w:w="40"/>
              <w:right w:type="dxa" w:w="90"/>
            </w:tcMar>
          </w:tcPr>
          <w:p>
            <w:r>
              <w:rPr>
                <w:sz w:val="18"/>
                <w:szCs w:val="18"/>
              </w:rPr>
              <w:t xml:space="preserve">src/discovery/connectors/snmp.js</w:t>
            </w:r>
          </w:p>
        </w:tc>
      </w:tr>
      <w:tr>
        <w:tc>
          <w:tcPr>
            <w:tcW w:type="pct" w:w="40%"/>
            <w:shd w:fill="F5F7FA"/>
            <w:tcMar>
              <w:top w:type="dxa" w:w="40"/>
              <w:left w:type="dxa" w:w="90"/>
              <w:bottom w:type="dxa" w:w="40"/>
              <w:right w:type="dxa" w:w="90"/>
            </w:tcMar>
          </w:tcPr>
          <w:p>
            <w:r>
              <w:rPr>
                <w:sz w:val="18"/>
                <w:szCs w:val="18"/>
              </w:rPr>
              <w:t xml:space="preserve">Orchestrator + scheduler</w:t>
            </w:r>
          </w:p>
        </w:tc>
        <w:tc>
          <w:tcPr>
            <w:tcW w:type="pct" w:w="60%"/>
            <w:shd w:fill="F5F7FA"/>
            <w:tcMar>
              <w:top w:type="dxa" w:w="40"/>
              <w:left w:type="dxa" w:w="90"/>
              <w:bottom w:type="dxa" w:w="40"/>
              <w:right w:type="dxa" w:w="90"/>
            </w:tcMar>
          </w:tcPr>
          <w:p>
            <w:r>
              <w:rPr>
                <w:sz w:val="18"/>
                <w:szCs w:val="18"/>
              </w:rPr>
              <w:t xml:space="preserve">src/discovery/orchestrator.js</w:t>
            </w:r>
          </w:p>
        </w:tc>
      </w:tr>
      <w:tr>
        <w:tc>
          <w:tcPr>
            <w:tcW w:type="pct" w:w="40%"/>
            <w:tcMar>
              <w:top w:type="dxa" w:w="40"/>
              <w:left w:type="dxa" w:w="90"/>
              <w:bottom w:type="dxa" w:w="40"/>
              <w:right w:type="dxa" w:w="90"/>
            </w:tcMar>
          </w:tcPr>
          <w:p>
            <w:r>
              <w:rPr>
                <w:sz w:val="18"/>
                <w:szCs w:val="18"/>
              </w:rPr>
              <w:t xml:space="preserve">Credential vault</w:t>
            </w:r>
          </w:p>
        </w:tc>
        <w:tc>
          <w:tcPr>
            <w:tcW w:type="pct" w:w="60%"/>
            <w:tcMar>
              <w:top w:type="dxa" w:w="40"/>
              <w:left w:type="dxa" w:w="90"/>
              <w:bottom w:type="dxa" w:w="40"/>
              <w:right w:type="dxa" w:w="90"/>
            </w:tcMar>
          </w:tcPr>
          <w:p>
            <w:r>
              <w:rPr>
                <w:sz w:val="18"/>
                <w:szCs w:val="18"/>
              </w:rPr>
              <w:t xml:space="preserve">src/crypto/secrets.js</w:t>
            </w:r>
          </w:p>
        </w:tc>
      </w:tr>
      <w:tr>
        <w:tc>
          <w:tcPr>
            <w:tcW w:type="pct" w:w="40%"/>
            <w:shd w:fill="F5F7FA"/>
            <w:tcMar>
              <w:top w:type="dxa" w:w="40"/>
              <w:left w:type="dxa" w:w="90"/>
              <w:bottom w:type="dxa" w:w="40"/>
              <w:right w:type="dxa" w:w="90"/>
            </w:tcMar>
          </w:tcPr>
          <w:p>
            <w:r>
              <w:rPr>
                <w:sz w:val="18"/>
                <w:szCs w:val="18"/>
              </w:rPr>
              <w:t xml:space="preserve">REST API</w:t>
            </w:r>
          </w:p>
        </w:tc>
        <w:tc>
          <w:tcPr>
            <w:tcW w:type="pct" w:w="60%"/>
            <w:shd w:fill="F5F7FA"/>
            <w:tcMar>
              <w:top w:type="dxa" w:w="40"/>
              <w:left w:type="dxa" w:w="90"/>
              <w:bottom w:type="dxa" w:w="40"/>
              <w:right w:type="dxa" w:w="90"/>
            </w:tcMar>
          </w:tcPr>
          <w:p>
            <w:r>
              <w:rPr>
                <w:sz w:val="18"/>
                <w:szCs w:val="18"/>
              </w:rPr>
              <w:t xml:space="preserve">src/api/routes.js</w:t>
            </w:r>
          </w:p>
        </w:tc>
      </w:tr>
      <w:tr>
        <w:tc>
          <w:tcPr>
            <w:tcW w:type="pct" w:w="40%"/>
            <w:tcMar>
              <w:top w:type="dxa" w:w="40"/>
              <w:left w:type="dxa" w:w="90"/>
              <w:bottom w:type="dxa" w:w="40"/>
              <w:right w:type="dxa" w:w="90"/>
            </w:tcMar>
          </w:tcPr>
          <w:p>
            <w:r>
              <w:rPr>
                <w:sz w:val="18"/>
                <w:szCs w:val="18"/>
              </w:rPr>
              <w:t xml:space="preserve">Excel export</w:t>
            </w:r>
          </w:p>
        </w:tc>
        <w:tc>
          <w:tcPr>
            <w:tcW w:type="pct" w:w="60%"/>
            <w:tcMar>
              <w:top w:type="dxa" w:w="40"/>
              <w:left w:type="dxa" w:w="90"/>
              <w:bottom w:type="dxa" w:w="40"/>
              <w:right w:type="dxa" w:w="90"/>
            </w:tcMar>
          </w:tcPr>
          <w:p>
            <w:r>
              <w:rPr>
                <w:sz w:val="18"/>
                <w:szCs w:val="18"/>
              </w:rPr>
              <w:t xml:space="preserve">src/export/inventory.js</w:t>
            </w:r>
          </w:p>
        </w:tc>
      </w:tr>
      <w:tr>
        <w:tc>
          <w:tcPr>
            <w:tcW w:type="pct" w:w="40%"/>
            <w:shd w:fill="F5F7FA"/>
            <w:tcMar>
              <w:top w:type="dxa" w:w="40"/>
              <w:left w:type="dxa" w:w="90"/>
              <w:bottom w:type="dxa" w:w="40"/>
              <w:right w:type="dxa" w:w="90"/>
            </w:tcMar>
          </w:tcPr>
          <w:p>
            <w:r>
              <w:rPr>
                <w:sz w:val="18"/>
                <w:szCs w:val="18"/>
              </w:rPr>
              <w:t xml:space="preserve">Web console</w:t>
            </w:r>
          </w:p>
        </w:tc>
        <w:tc>
          <w:tcPr>
            <w:tcW w:type="pct" w:w="60%"/>
            <w:shd w:fill="F5F7FA"/>
            <w:tcMar>
              <w:top w:type="dxa" w:w="40"/>
              <w:left w:type="dxa" w:w="90"/>
              <w:bottom w:type="dxa" w:w="40"/>
              <w:right w:type="dxa" w:w="90"/>
            </w:tcMar>
          </w:tcPr>
          <w:p>
            <w:r>
              <w:rPr>
                <w:sz w:val="18"/>
                <w:szCs w:val="18"/>
              </w:rPr>
              <w:t xml:space="preserve">src/web/*</w:t>
            </w:r>
          </w:p>
        </w:tc>
      </w:tr>
    </w:tbl>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2a835f1bcffcec38459bb01b6a3324fbd20974e.png"/><Relationship Id="rId8" Type="http://schemas.openxmlformats.org/officeDocument/2006/relationships/image" Target="media/06dbac4fc708a3961933b37e6cf9605cbf68c39d.png"/><Relationship Id="rId9" Type="http://schemas.openxmlformats.org/officeDocument/2006/relationships/image" Target="media/9ee32d39c1bc53f00bfdee3c87ee474871236fa8.png"/><Relationship Id="rId10" Type="http://schemas.openxmlformats.org/officeDocument/2006/relationships/image" Target="media/6a6ae6685f507363a4d6a3479193179fd94b9e16.png"/><Relationship Id="rId11" Type="http://schemas.openxmlformats.org/officeDocument/2006/relationships/image" Target="media/20d3711b9b3fcaa81d301f389b2436b456264f02.png"/><Relationship Id="rId12" Type="http://schemas.openxmlformats.org/officeDocument/2006/relationships/image" Target="media/c1732eca21236a690b4951d0bc5429324700363c.png"/><Relationship Id="rId13" Type="http://schemas.openxmlformats.org/officeDocument/2006/relationships/image" Target="media/c185c92e97765ee6b8a4e5ab5882265823c55ba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OpenCMDB Solution Design</dc:title>
  <dc:creator>OpenCMDB</dc:creator>
  <cp:lastModifiedBy>Un-named</cp:lastModifiedBy>
  <cp:revision>1</cp:revision>
  <dcterms:created xsi:type="dcterms:W3CDTF">2026-07-06T10:25:48.789Z</dcterms:created>
  <dcterms:modified xsi:type="dcterms:W3CDTF">2026-07-06T10:25:48.789Z</dcterms:modified>
</cp:coreProperties>
</file>

<file path=docProps/custom.xml><?xml version="1.0" encoding="utf-8"?>
<Properties xmlns="http://schemas.openxmlformats.org/officeDocument/2006/custom-properties" xmlns:vt="http://schemas.openxmlformats.org/officeDocument/2006/docPropsVTypes"/>
</file>