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A269F" w14:textId="00F9804C" w:rsidR="00AA7DB8" w:rsidRPr="00D13522" w:rsidRDefault="00AA7DB8" w:rsidP="00AA7DB8">
      <w:pPr>
        <w:jc w:val="center"/>
        <w:rPr>
          <w:rFonts w:ascii="Times New Roman" w:hAnsi="Times New Roman" w:cs="Times New Roman"/>
          <w:sz w:val="24"/>
          <w:szCs w:val="24"/>
        </w:rPr>
      </w:pPr>
      <w:r w:rsidRPr="00D13522">
        <w:rPr>
          <w:rFonts w:ascii="Times New Roman" w:hAnsi="Times New Roman" w:cs="Times New Roman"/>
          <w:sz w:val="24"/>
          <w:szCs w:val="24"/>
        </w:rPr>
        <w:t xml:space="preserve">Amendment No. </w:t>
      </w:r>
      <w:r w:rsidR="00CB54CD">
        <w:rPr>
          <w:rFonts w:ascii="Times New Roman" w:hAnsi="Times New Roman" w:cs="Times New Roman"/>
          <w:sz w:val="24"/>
          <w:szCs w:val="24"/>
        </w:rPr>
        <w:t>9</w:t>
      </w:r>
      <w:r w:rsidRPr="00D13522">
        <w:rPr>
          <w:rFonts w:ascii="Times New Roman" w:hAnsi="Times New Roman" w:cs="Times New Roman"/>
          <w:sz w:val="24"/>
          <w:szCs w:val="24"/>
        </w:rPr>
        <w:t xml:space="preserve"> to BAA FA8750-</w:t>
      </w:r>
      <w:r w:rsidR="00C72E18">
        <w:rPr>
          <w:rFonts w:ascii="Times New Roman" w:hAnsi="Times New Roman" w:cs="Times New Roman"/>
          <w:sz w:val="24"/>
          <w:szCs w:val="24"/>
        </w:rPr>
        <w:t>2</w:t>
      </w:r>
      <w:r w:rsidR="00CB54CD">
        <w:rPr>
          <w:rFonts w:ascii="Times New Roman" w:hAnsi="Times New Roman" w:cs="Times New Roman"/>
          <w:sz w:val="24"/>
          <w:szCs w:val="24"/>
        </w:rPr>
        <w:t>1</w:t>
      </w:r>
      <w:r w:rsidR="00C72E18">
        <w:rPr>
          <w:rFonts w:ascii="Times New Roman" w:hAnsi="Times New Roman" w:cs="Times New Roman"/>
          <w:sz w:val="24"/>
          <w:szCs w:val="24"/>
        </w:rPr>
        <w:t>-S-70</w:t>
      </w:r>
      <w:r w:rsidR="00CB54CD">
        <w:rPr>
          <w:rFonts w:ascii="Times New Roman" w:hAnsi="Times New Roman" w:cs="Times New Roman"/>
          <w:sz w:val="24"/>
          <w:szCs w:val="24"/>
        </w:rPr>
        <w:t>01</w:t>
      </w:r>
    </w:p>
    <w:p w14:paraId="2778CB68" w14:textId="77777777" w:rsidR="00AA7DB8" w:rsidRDefault="00AA7DB8" w:rsidP="00AA7DB8">
      <w:pPr>
        <w:jc w:val="center"/>
        <w:rPr>
          <w:rFonts w:ascii="Times New Roman" w:hAnsi="Times New Roman" w:cs="Times New Roman"/>
          <w:b/>
          <w:bCs/>
          <w:sz w:val="24"/>
          <w:szCs w:val="24"/>
        </w:rPr>
      </w:pPr>
    </w:p>
    <w:p w14:paraId="48EC5202" w14:textId="6845E320" w:rsidR="00AA7DB8" w:rsidRPr="00D13522" w:rsidRDefault="00AA7DB8" w:rsidP="00AA7DB8">
      <w:pPr>
        <w:rPr>
          <w:rFonts w:ascii="Times New Roman" w:hAnsi="Times New Roman" w:cs="Times New Roman"/>
          <w:sz w:val="24"/>
          <w:szCs w:val="24"/>
        </w:rPr>
      </w:pPr>
      <w:r w:rsidRPr="00D13522">
        <w:rPr>
          <w:rFonts w:ascii="Times New Roman" w:hAnsi="Times New Roman" w:cs="Times New Roman"/>
          <w:sz w:val="24"/>
          <w:szCs w:val="24"/>
        </w:rPr>
        <w:t>The purpose of this amendment is to:</w:t>
      </w:r>
    </w:p>
    <w:p w14:paraId="651120AA" w14:textId="3B517DF1" w:rsidR="00AA7DB8" w:rsidRPr="00D13522" w:rsidRDefault="00AA7DB8" w:rsidP="00AA7DB8">
      <w:pPr>
        <w:pStyle w:val="ListParagraph"/>
        <w:numPr>
          <w:ilvl w:val="0"/>
          <w:numId w:val="5"/>
        </w:numPr>
        <w:rPr>
          <w:i/>
          <w:iCs/>
        </w:rPr>
      </w:pPr>
      <w:r w:rsidRPr="00D13522">
        <w:rPr>
          <w:i/>
          <w:iCs/>
        </w:rPr>
        <w:t xml:space="preserve">Section III, Paragraph 5, updates S&amp;T Protection </w:t>
      </w:r>
      <w:proofErr w:type="gramStart"/>
      <w:r w:rsidRPr="00D13522">
        <w:rPr>
          <w:i/>
          <w:iCs/>
        </w:rPr>
        <w:t>language;</w:t>
      </w:r>
      <w:proofErr w:type="gramEnd"/>
    </w:p>
    <w:p w14:paraId="3F1036CB" w14:textId="1BB02D2B" w:rsidR="00AA7DB8" w:rsidRDefault="00AA7DB8" w:rsidP="00AA7DB8">
      <w:pPr>
        <w:pStyle w:val="ListParagraph"/>
        <w:numPr>
          <w:ilvl w:val="0"/>
          <w:numId w:val="5"/>
        </w:numPr>
        <w:rPr>
          <w:i/>
          <w:iCs/>
        </w:rPr>
      </w:pPr>
      <w:r w:rsidRPr="00D13522">
        <w:rPr>
          <w:i/>
          <w:iCs/>
        </w:rPr>
        <w:t>Section V, paragraph 2.</w:t>
      </w:r>
      <w:r w:rsidR="00D13522">
        <w:rPr>
          <w:i/>
          <w:iCs/>
        </w:rPr>
        <w:t>e</w:t>
      </w:r>
      <w:r w:rsidRPr="00D13522">
        <w:rPr>
          <w:i/>
          <w:iCs/>
        </w:rPr>
        <w:t xml:space="preserve">, updates the language regarding the S&amp;T </w:t>
      </w:r>
      <w:proofErr w:type="gramStart"/>
      <w:r w:rsidRPr="00D13522">
        <w:rPr>
          <w:i/>
          <w:iCs/>
        </w:rPr>
        <w:t>review;</w:t>
      </w:r>
      <w:proofErr w:type="gramEnd"/>
    </w:p>
    <w:p w14:paraId="0C4AEE85" w14:textId="77777777" w:rsidR="00AA7DB8" w:rsidRDefault="00AA7DB8" w:rsidP="00AA7DB8">
      <w:pPr>
        <w:rPr>
          <w:rFonts w:ascii="Times New Roman" w:hAnsi="Times New Roman" w:cs="Times New Roman"/>
          <w:b/>
          <w:bCs/>
          <w:sz w:val="24"/>
          <w:szCs w:val="24"/>
        </w:rPr>
      </w:pPr>
    </w:p>
    <w:p w14:paraId="5333F38E" w14:textId="27741DE6" w:rsidR="00D13522" w:rsidRDefault="00D13522" w:rsidP="00AA7DB8">
      <w:pPr>
        <w:rPr>
          <w:rFonts w:ascii="Times New Roman" w:hAnsi="Times New Roman" w:cs="Times New Roman"/>
          <w:b/>
          <w:bCs/>
          <w:sz w:val="24"/>
          <w:szCs w:val="24"/>
        </w:rPr>
      </w:pPr>
      <w:r>
        <w:rPr>
          <w:rFonts w:ascii="Times New Roman" w:hAnsi="Times New Roman" w:cs="Times New Roman"/>
          <w:b/>
          <w:bCs/>
          <w:sz w:val="24"/>
          <w:szCs w:val="24"/>
        </w:rPr>
        <w:t>Section III:</w:t>
      </w:r>
    </w:p>
    <w:p w14:paraId="6A61E7DD" w14:textId="02C28A24" w:rsidR="00E85D58" w:rsidRDefault="00E85D58" w:rsidP="00763D37">
      <w:pPr>
        <w:rPr>
          <w:rFonts w:ascii="Times New Roman" w:hAnsi="Times New Roman" w:cs="Times New Roman"/>
          <w:b/>
          <w:bCs/>
          <w:sz w:val="24"/>
          <w:szCs w:val="24"/>
        </w:rPr>
      </w:pPr>
      <w:r>
        <w:rPr>
          <w:rFonts w:ascii="Times New Roman" w:hAnsi="Times New Roman" w:cs="Times New Roman"/>
          <w:b/>
          <w:bCs/>
          <w:sz w:val="24"/>
          <w:szCs w:val="24"/>
        </w:rPr>
        <w:t>5. S&amp;T Protection.</w:t>
      </w:r>
    </w:p>
    <w:p w14:paraId="7DEAD35C" w14:textId="50C32B53" w:rsidR="00272462" w:rsidRPr="00EE03DB" w:rsidRDefault="009C31AA" w:rsidP="00763D37">
      <w:pPr>
        <w:rPr>
          <w:rFonts w:ascii="Times New Roman" w:hAnsi="Times New Roman" w:cs="Times New Roman"/>
          <w:b/>
          <w:bCs/>
          <w:sz w:val="24"/>
          <w:szCs w:val="24"/>
        </w:rPr>
      </w:pPr>
      <w:r w:rsidRPr="00EE03DB">
        <w:rPr>
          <w:rFonts w:ascii="Times New Roman" w:hAnsi="Times New Roman" w:cs="Times New Roman"/>
          <w:b/>
          <w:bCs/>
          <w:sz w:val="24"/>
          <w:szCs w:val="24"/>
        </w:rPr>
        <w:t>I</w:t>
      </w:r>
      <w:r w:rsidR="00272462" w:rsidRPr="00EE03DB">
        <w:rPr>
          <w:rFonts w:ascii="Times New Roman" w:hAnsi="Times New Roman" w:cs="Times New Roman"/>
          <w:b/>
          <w:bCs/>
          <w:sz w:val="24"/>
          <w:szCs w:val="24"/>
        </w:rPr>
        <w:t>. Notice of Intent</w:t>
      </w:r>
      <w:r w:rsidR="00540F94" w:rsidRPr="00EE03DB">
        <w:rPr>
          <w:rFonts w:ascii="Times New Roman" w:hAnsi="Times New Roman" w:cs="Times New Roman"/>
          <w:b/>
          <w:bCs/>
          <w:sz w:val="24"/>
          <w:szCs w:val="24"/>
        </w:rPr>
        <w:t>.</w:t>
      </w:r>
    </w:p>
    <w:p w14:paraId="332A6829" w14:textId="49816030" w:rsidR="00763D37" w:rsidRPr="00F570EF" w:rsidRDefault="00272462" w:rsidP="00763D37">
      <w:pPr>
        <w:rPr>
          <w:rFonts w:ascii="Times New Roman" w:hAnsi="Times New Roman" w:cs="Times New Roman"/>
          <w:sz w:val="24"/>
          <w:szCs w:val="24"/>
        </w:rPr>
      </w:pPr>
      <w:r w:rsidRPr="00F570EF">
        <w:rPr>
          <w:rFonts w:ascii="Times New Roman" w:hAnsi="Times New Roman" w:cs="Times New Roman"/>
          <w:sz w:val="24"/>
          <w:szCs w:val="24"/>
        </w:rPr>
        <w:t>(a)</w:t>
      </w:r>
      <w:r w:rsidR="00664FAE" w:rsidRPr="00F570EF">
        <w:rPr>
          <w:rFonts w:ascii="Times New Roman" w:hAnsi="Times New Roman" w:cs="Times New Roman"/>
          <w:sz w:val="24"/>
          <w:szCs w:val="24"/>
        </w:rPr>
        <w:t xml:space="preserve"> </w:t>
      </w:r>
      <w:r w:rsidR="0057169C" w:rsidRPr="00F570EF">
        <w:rPr>
          <w:rFonts w:ascii="Times New Roman" w:hAnsi="Times New Roman" w:cs="Times New Roman"/>
          <w:sz w:val="24"/>
          <w:szCs w:val="24"/>
        </w:rPr>
        <w:t>Security</w:t>
      </w:r>
      <w:r w:rsidR="003C3999" w:rsidRPr="00F570EF">
        <w:rPr>
          <w:rFonts w:ascii="Times New Roman" w:hAnsi="Times New Roman" w:cs="Times New Roman"/>
          <w:sz w:val="24"/>
          <w:szCs w:val="24"/>
        </w:rPr>
        <w:t xml:space="preserve"> Risk</w:t>
      </w:r>
      <w:r w:rsidR="0057169C" w:rsidRPr="00F570EF">
        <w:rPr>
          <w:rFonts w:ascii="Times New Roman" w:hAnsi="Times New Roman" w:cs="Times New Roman"/>
          <w:sz w:val="24"/>
          <w:szCs w:val="24"/>
        </w:rPr>
        <w:t xml:space="preserve"> Review</w:t>
      </w:r>
      <w:r w:rsidR="00664FAE" w:rsidRPr="00F570EF">
        <w:rPr>
          <w:rFonts w:ascii="Times New Roman" w:hAnsi="Times New Roman" w:cs="Times New Roman"/>
          <w:sz w:val="24"/>
          <w:szCs w:val="24"/>
        </w:rPr>
        <w:t>. Each proposal</w:t>
      </w:r>
      <w:r w:rsidR="001B73BD" w:rsidRPr="00F570EF">
        <w:rPr>
          <w:rFonts w:ascii="Times New Roman" w:hAnsi="Times New Roman" w:cs="Times New Roman"/>
          <w:sz w:val="24"/>
          <w:szCs w:val="24"/>
        </w:rPr>
        <w:t xml:space="preserve"> submis</w:t>
      </w:r>
      <w:r w:rsidR="00751F6A" w:rsidRPr="00F570EF">
        <w:rPr>
          <w:rFonts w:ascii="Times New Roman" w:hAnsi="Times New Roman" w:cs="Times New Roman"/>
          <w:sz w:val="24"/>
          <w:szCs w:val="24"/>
        </w:rPr>
        <w:t xml:space="preserve">sion </w:t>
      </w:r>
      <w:r w:rsidR="00664FAE" w:rsidRPr="00F570EF">
        <w:rPr>
          <w:rFonts w:ascii="Times New Roman" w:hAnsi="Times New Roman" w:cs="Times New Roman"/>
          <w:sz w:val="24"/>
          <w:szCs w:val="24"/>
        </w:rPr>
        <w:t>will be subject to a</w:t>
      </w:r>
      <w:r w:rsidR="00F745EF" w:rsidRPr="00F570EF">
        <w:rPr>
          <w:rFonts w:ascii="Times New Roman" w:hAnsi="Times New Roman" w:cs="Times New Roman"/>
          <w:sz w:val="24"/>
          <w:szCs w:val="24"/>
        </w:rPr>
        <w:t xml:space="preserve"> </w:t>
      </w:r>
      <w:bookmarkStart w:id="0" w:name="_Hlk157521908"/>
      <w:r w:rsidR="003C3999" w:rsidRPr="00F570EF">
        <w:rPr>
          <w:rFonts w:ascii="Times New Roman" w:hAnsi="Times New Roman" w:cs="Times New Roman"/>
          <w:sz w:val="24"/>
          <w:szCs w:val="24"/>
        </w:rPr>
        <w:t>Security Risk Review</w:t>
      </w:r>
      <w:r w:rsidR="00664FAE" w:rsidRPr="00F570EF">
        <w:rPr>
          <w:rFonts w:ascii="Times New Roman" w:hAnsi="Times New Roman" w:cs="Times New Roman"/>
          <w:sz w:val="24"/>
          <w:szCs w:val="24"/>
        </w:rPr>
        <w:t xml:space="preserve"> </w:t>
      </w:r>
      <w:bookmarkEnd w:id="0"/>
      <w:r w:rsidR="00664FAE" w:rsidRPr="00540F94">
        <w:rPr>
          <w:rFonts w:ascii="Times New Roman" w:hAnsi="Times New Roman" w:cs="Times New Roman"/>
          <w:sz w:val="24"/>
          <w:szCs w:val="24"/>
        </w:rPr>
        <w:t xml:space="preserve">prior to </w:t>
      </w:r>
      <w:r w:rsidR="00A51541" w:rsidRPr="00540F94">
        <w:rPr>
          <w:rFonts w:ascii="Times New Roman" w:hAnsi="Times New Roman" w:cs="Times New Roman"/>
          <w:sz w:val="24"/>
          <w:szCs w:val="24"/>
        </w:rPr>
        <w:t>selection</w:t>
      </w:r>
      <w:r w:rsidR="00751F6A" w:rsidRPr="00540F94">
        <w:rPr>
          <w:rFonts w:ascii="Times New Roman" w:hAnsi="Times New Roman" w:cs="Times New Roman"/>
          <w:sz w:val="24"/>
          <w:szCs w:val="24"/>
        </w:rPr>
        <w:t xml:space="preserve"> for award</w:t>
      </w:r>
      <w:r w:rsidR="00664FAE" w:rsidRPr="00540F94">
        <w:rPr>
          <w:rFonts w:ascii="Times New Roman" w:hAnsi="Times New Roman" w:cs="Times New Roman"/>
          <w:sz w:val="24"/>
          <w:szCs w:val="24"/>
        </w:rPr>
        <w:t>.</w:t>
      </w:r>
      <w:r w:rsidR="00763D37" w:rsidRPr="00540F94">
        <w:rPr>
          <w:rFonts w:ascii="Times New Roman" w:hAnsi="Times New Roman" w:cs="Times New Roman"/>
          <w:sz w:val="24"/>
          <w:szCs w:val="24"/>
        </w:rPr>
        <w:t xml:space="preserve"> </w:t>
      </w:r>
      <w:r w:rsidR="00213E7B" w:rsidRPr="00540F94">
        <w:rPr>
          <w:rFonts w:ascii="Times New Roman" w:hAnsi="Times New Roman" w:cs="Times New Roman"/>
          <w:sz w:val="24"/>
          <w:szCs w:val="24"/>
        </w:rPr>
        <w:t xml:space="preserve">The Security Risk Review is applied to federally funded research designed to help protect Department of the Air Force Science and Technology (S&amp;T) by identifying possible vectors of undue foreign </w:t>
      </w:r>
      <w:r w:rsidR="00540F94" w:rsidRPr="00540F94">
        <w:rPr>
          <w:rFonts w:ascii="Times New Roman" w:hAnsi="Times New Roman" w:cs="Times New Roman"/>
          <w:sz w:val="24"/>
          <w:szCs w:val="24"/>
        </w:rPr>
        <w:t>influence. AFRL</w:t>
      </w:r>
      <w:r w:rsidR="00763D37" w:rsidRPr="00540F94">
        <w:rPr>
          <w:rFonts w:ascii="Times New Roman" w:hAnsi="Times New Roman" w:cs="Times New Roman"/>
          <w:sz w:val="24"/>
          <w:szCs w:val="24"/>
        </w:rPr>
        <w:t xml:space="preserve"> will follow all policy and procedures outlined in Air Force Research Laboratory (AFRL) Instruction AFRLI 61-113, Science and Technology Protection for the Air Force Research Laboratory and Department of the Air Force Instruction DAFI 63-101/20-101, Integrated Lifecycle Management.</w:t>
      </w:r>
    </w:p>
    <w:p w14:paraId="5F18C604" w14:textId="7B904B74" w:rsidR="00664FAE" w:rsidRPr="00F570EF" w:rsidRDefault="00272462" w:rsidP="00664FAE">
      <w:pPr>
        <w:rPr>
          <w:rFonts w:ascii="Times New Roman" w:hAnsi="Times New Roman" w:cs="Times New Roman"/>
          <w:sz w:val="24"/>
          <w:szCs w:val="24"/>
        </w:rPr>
      </w:pPr>
      <w:r w:rsidRPr="00F570EF">
        <w:rPr>
          <w:rFonts w:ascii="Times New Roman" w:hAnsi="Times New Roman" w:cs="Times New Roman"/>
          <w:sz w:val="24"/>
          <w:szCs w:val="24"/>
        </w:rPr>
        <w:t>(</w:t>
      </w:r>
      <w:r w:rsidR="009C31AA">
        <w:rPr>
          <w:rFonts w:ascii="Times New Roman" w:hAnsi="Times New Roman" w:cs="Times New Roman"/>
          <w:sz w:val="24"/>
          <w:szCs w:val="24"/>
        </w:rPr>
        <w:t>b)</w:t>
      </w:r>
      <w:r w:rsidRPr="00F570EF">
        <w:rPr>
          <w:rFonts w:ascii="Times New Roman" w:hAnsi="Times New Roman" w:cs="Times New Roman"/>
          <w:sz w:val="24"/>
          <w:szCs w:val="24"/>
        </w:rPr>
        <w:t xml:space="preserve"> </w:t>
      </w:r>
      <w:r w:rsidR="00664FAE" w:rsidRPr="00F570EF">
        <w:rPr>
          <w:rFonts w:ascii="Times New Roman" w:hAnsi="Times New Roman" w:cs="Times New Roman"/>
          <w:sz w:val="24"/>
          <w:szCs w:val="24"/>
        </w:rPr>
        <w:t xml:space="preserve"> </w:t>
      </w:r>
      <w:r w:rsidR="004D50E9" w:rsidRPr="00F570EF">
        <w:rPr>
          <w:rFonts w:ascii="Times New Roman" w:hAnsi="Times New Roman" w:cs="Times New Roman"/>
          <w:sz w:val="24"/>
          <w:szCs w:val="24"/>
        </w:rPr>
        <w:t>Security</w:t>
      </w:r>
      <w:r w:rsidR="00664FAE" w:rsidRPr="00F570EF">
        <w:rPr>
          <w:rFonts w:ascii="Times New Roman" w:hAnsi="Times New Roman" w:cs="Times New Roman"/>
          <w:sz w:val="24"/>
          <w:szCs w:val="24"/>
        </w:rPr>
        <w:t xml:space="preserve"> risk </w:t>
      </w:r>
      <w:r w:rsidR="008A1DE9" w:rsidRPr="00F570EF">
        <w:rPr>
          <w:rFonts w:ascii="Times New Roman" w:hAnsi="Times New Roman" w:cs="Times New Roman"/>
          <w:sz w:val="24"/>
          <w:szCs w:val="24"/>
        </w:rPr>
        <w:t>review</w:t>
      </w:r>
      <w:r w:rsidR="00664FAE" w:rsidRPr="00F570EF">
        <w:rPr>
          <w:rFonts w:ascii="Times New Roman" w:hAnsi="Times New Roman" w:cs="Times New Roman"/>
          <w:sz w:val="24"/>
          <w:szCs w:val="24"/>
        </w:rPr>
        <w:t xml:space="preserve"> for these subject proposals will be developed for all proposed Senior/Key personnel</w:t>
      </w:r>
      <w:r w:rsidR="00D4678C" w:rsidRPr="00F570EF">
        <w:rPr>
          <w:rFonts w:ascii="Times New Roman" w:hAnsi="Times New Roman" w:cs="Times New Roman"/>
          <w:sz w:val="24"/>
          <w:szCs w:val="24"/>
        </w:rPr>
        <w:t xml:space="preserve"> and </w:t>
      </w:r>
      <w:r w:rsidR="00664FAE" w:rsidRPr="00F570EF">
        <w:rPr>
          <w:rFonts w:ascii="Times New Roman" w:hAnsi="Times New Roman" w:cs="Times New Roman"/>
          <w:sz w:val="24"/>
          <w:szCs w:val="24"/>
        </w:rPr>
        <w:t xml:space="preserve">“Covered Individuals”. These risk </w:t>
      </w:r>
      <w:r w:rsidR="002060EA" w:rsidRPr="00F570EF">
        <w:rPr>
          <w:rFonts w:ascii="Times New Roman" w:hAnsi="Times New Roman" w:cs="Times New Roman"/>
          <w:sz w:val="24"/>
          <w:szCs w:val="24"/>
        </w:rPr>
        <w:t>reviews</w:t>
      </w:r>
      <w:r w:rsidR="00664FAE" w:rsidRPr="00F570EF">
        <w:rPr>
          <w:rFonts w:ascii="Times New Roman" w:hAnsi="Times New Roman" w:cs="Times New Roman"/>
          <w:sz w:val="24"/>
          <w:szCs w:val="24"/>
        </w:rPr>
        <w:t xml:space="preserve"> will be based on information disclosed in </w:t>
      </w:r>
      <w:r w:rsidR="007E48DF" w:rsidRPr="00F570EF">
        <w:rPr>
          <w:rFonts w:ascii="Times New Roman" w:hAnsi="Times New Roman" w:cs="Times New Roman"/>
          <w:sz w:val="24"/>
          <w:szCs w:val="24"/>
        </w:rPr>
        <w:t xml:space="preserve">a </w:t>
      </w:r>
      <w:r w:rsidR="00366355" w:rsidRPr="00F570EF">
        <w:rPr>
          <w:rFonts w:ascii="Times New Roman" w:hAnsi="Times New Roman" w:cs="Times New Roman"/>
          <w:sz w:val="24"/>
          <w:szCs w:val="24"/>
        </w:rPr>
        <w:t>Research and Related Senior and Key Person Profile</w:t>
      </w:r>
      <w:r w:rsidR="004612E0" w:rsidRPr="00F570EF">
        <w:rPr>
          <w:rFonts w:ascii="Times New Roman" w:hAnsi="Times New Roman" w:cs="Times New Roman"/>
          <w:sz w:val="24"/>
          <w:szCs w:val="24"/>
        </w:rPr>
        <w:t xml:space="preserve"> and Security Questionnaire</w:t>
      </w:r>
      <w:r w:rsidR="00D86082" w:rsidRPr="00F570EF">
        <w:rPr>
          <w:rFonts w:ascii="Times New Roman" w:hAnsi="Times New Roman" w:cs="Times New Roman"/>
          <w:sz w:val="24"/>
          <w:szCs w:val="24"/>
        </w:rPr>
        <w:t xml:space="preserve">. </w:t>
      </w:r>
      <w:r w:rsidR="00603B15" w:rsidRPr="00F570EF">
        <w:rPr>
          <w:rFonts w:ascii="Times New Roman" w:hAnsi="Times New Roman" w:cs="Times New Roman"/>
          <w:sz w:val="24"/>
          <w:szCs w:val="24"/>
        </w:rPr>
        <w:t xml:space="preserve">In </w:t>
      </w:r>
      <w:r w:rsidR="00540F94" w:rsidRPr="00F570EF">
        <w:rPr>
          <w:rFonts w:ascii="Times New Roman" w:hAnsi="Times New Roman" w:cs="Times New Roman"/>
          <w:sz w:val="24"/>
          <w:szCs w:val="24"/>
        </w:rPr>
        <w:t>addition,</w:t>
      </w:r>
      <w:r w:rsidR="002603F2" w:rsidRPr="00F570EF">
        <w:rPr>
          <w:rFonts w:ascii="Times New Roman" w:hAnsi="Times New Roman" w:cs="Times New Roman"/>
          <w:sz w:val="24"/>
          <w:szCs w:val="24"/>
        </w:rPr>
        <w:t xml:space="preserve"> </w:t>
      </w:r>
      <w:r w:rsidR="00540F94" w:rsidRPr="00F570EF">
        <w:rPr>
          <w:rFonts w:ascii="Times New Roman" w:hAnsi="Times New Roman" w:cs="Times New Roman"/>
          <w:sz w:val="24"/>
          <w:szCs w:val="24"/>
        </w:rPr>
        <w:t>any accompanying</w:t>
      </w:r>
      <w:r w:rsidR="00664FAE" w:rsidRPr="00F570EF">
        <w:rPr>
          <w:rFonts w:ascii="Times New Roman" w:hAnsi="Times New Roman" w:cs="Times New Roman"/>
          <w:sz w:val="24"/>
          <w:szCs w:val="24"/>
        </w:rPr>
        <w:t xml:space="preserve"> or referenced documents, publicly available information, and information contained in internal </w:t>
      </w:r>
      <w:r w:rsidR="00AC4F05" w:rsidRPr="00F570EF">
        <w:rPr>
          <w:rFonts w:ascii="Times New Roman" w:hAnsi="Times New Roman" w:cs="Times New Roman"/>
          <w:sz w:val="24"/>
          <w:szCs w:val="24"/>
        </w:rPr>
        <w:t xml:space="preserve">U.S. Government </w:t>
      </w:r>
      <w:r w:rsidR="00664FAE" w:rsidRPr="00F570EF">
        <w:rPr>
          <w:rFonts w:ascii="Times New Roman" w:hAnsi="Times New Roman" w:cs="Times New Roman"/>
          <w:sz w:val="24"/>
          <w:szCs w:val="24"/>
        </w:rPr>
        <w:t>databases</w:t>
      </w:r>
      <w:r w:rsidR="00CC3579" w:rsidRPr="00F570EF">
        <w:rPr>
          <w:rFonts w:ascii="Times New Roman" w:hAnsi="Times New Roman" w:cs="Times New Roman"/>
          <w:sz w:val="24"/>
          <w:szCs w:val="24"/>
        </w:rPr>
        <w:t xml:space="preserve"> will be utilized in risk reviews</w:t>
      </w:r>
      <w:r w:rsidR="00664FAE" w:rsidRPr="00F570EF">
        <w:rPr>
          <w:rFonts w:ascii="Times New Roman" w:hAnsi="Times New Roman" w:cs="Times New Roman"/>
          <w:sz w:val="24"/>
          <w:szCs w:val="24"/>
        </w:rPr>
        <w:t xml:space="preserve">. Nationality or citizenship is not a factor in the </w:t>
      </w:r>
      <w:r w:rsidR="0053603A" w:rsidRPr="00F570EF">
        <w:rPr>
          <w:rFonts w:ascii="Times New Roman" w:hAnsi="Times New Roman" w:cs="Times New Roman"/>
          <w:sz w:val="24"/>
          <w:szCs w:val="24"/>
        </w:rPr>
        <w:t xml:space="preserve">security </w:t>
      </w:r>
      <w:r w:rsidR="00664FAE" w:rsidRPr="00F570EF">
        <w:rPr>
          <w:rFonts w:ascii="Times New Roman" w:hAnsi="Times New Roman" w:cs="Times New Roman"/>
          <w:sz w:val="24"/>
          <w:szCs w:val="24"/>
        </w:rPr>
        <w:t xml:space="preserve">risk </w:t>
      </w:r>
      <w:r w:rsidR="0053603A" w:rsidRPr="00F570EF">
        <w:rPr>
          <w:rFonts w:ascii="Times New Roman" w:hAnsi="Times New Roman" w:cs="Times New Roman"/>
          <w:sz w:val="24"/>
          <w:szCs w:val="24"/>
        </w:rPr>
        <w:t>reviews</w:t>
      </w:r>
      <w:r w:rsidR="00664FAE" w:rsidRPr="00F570EF">
        <w:rPr>
          <w:rFonts w:ascii="Times New Roman" w:hAnsi="Times New Roman" w:cs="Times New Roman"/>
          <w:sz w:val="24"/>
          <w:szCs w:val="24"/>
        </w:rPr>
        <w:t>.</w:t>
      </w:r>
    </w:p>
    <w:p w14:paraId="5592DC3E" w14:textId="7787A83A" w:rsidR="00664FAE" w:rsidRPr="00F570EF" w:rsidRDefault="009C31AA" w:rsidP="00664FAE">
      <w:pPr>
        <w:rPr>
          <w:rFonts w:ascii="Times New Roman" w:hAnsi="Times New Roman" w:cs="Times New Roman"/>
          <w:sz w:val="24"/>
          <w:szCs w:val="24"/>
        </w:rPr>
      </w:pPr>
      <w:r>
        <w:rPr>
          <w:rFonts w:ascii="Times New Roman" w:hAnsi="Times New Roman" w:cs="Times New Roman"/>
          <w:sz w:val="24"/>
          <w:szCs w:val="24"/>
        </w:rPr>
        <w:t>(c</w:t>
      </w:r>
      <w:r w:rsidR="00427A0E" w:rsidRPr="00F570EF">
        <w:rPr>
          <w:rFonts w:ascii="Times New Roman" w:hAnsi="Times New Roman" w:cs="Times New Roman"/>
          <w:sz w:val="24"/>
          <w:szCs w:val="24"/>
        </w:rPr>
        <w:t>)</w:t>
      </w:r>
      <w:r w:rsidR="00272462" w:rsidRPr="00F570EF">
        <w:rPr>
          <w:rFonts w:ascii="Times New Roman" w:hAnsi="Times New Roman" w:cs="Times New Roman"/>
          <w:sz w:val="24"/>
          <w:szCs w:val="24"/>
        </w:rPr>
        <w:t xml:space="preserve"> </w:t>
      </w:r>
      <w:r w:rsidR="00597212" w:rsidRPr="00F570EF">
        <w:rPr>
          <w:rFonts w:ascii="Times New Roman" w:hAnsi="Times New Roman" w:cs="Times New Roman"/>
          <w:sz w:val="24"/>
          <w:szCs w:val="24"/>
        </w:rPr>
        <w:t xml:space="preserve">When considering all external engagements, AFRL incorporates a holistic decision-making process that encompasses technical and security factors. The security review method implemented by AFRL measures risk factors to identify the appropriate Risk Acceptance Level (RAL) within the organization. The objective analysis of the security risk factors is conducted to empower AFRL’s S&amp;T leaders to make risk-informed decisions. </w:t>
      </w:r>
      <w:r w:rsidR="00664FAE" w:rsidRPr="00F570EF">
        <w:rPr>
          <w:rFonts w:ascii="Times New Roman" w:hAnsi="Times New Roman" w:cs="Times New Roman"/>
          <w:sz w:val="24"/>
          <w:szCs w:val="24"/>
        </w:rPr>
        <w:t xml:space="preserve">The </w:t>
      </w:r>
      <w:r w:rsidR="009B7FF6" w:rsidRPr="00F570EF">
        <w:rPr>
          <w:rFonts w:ascii="Times New Roman" w:hAnsi="Times New Roman" w:cs="Times New Roman"/>
          <w:sz w:val="24"/>
          <w:szCs w:val="24"/>
        </w:rPr>
        <w:t>review process</w:t>
      </w:r>
      <w:r w:rsidR="00664FAE" w:rsidRPr="00F570EF">
        <w:rPr>
          <w:rFonts w:ascii="Times New Roman" w:hAnsi="Times New Roman" w:cs="Times New Roman"/>
          <w:sz w:val="24"/>
          <w:szCs w:val="24"/>
        </w:rPr>
        <w:t xml:space="preserve"> generally looks at </w:t>
      </w:r>
      <w:r w:rsidR="009B7FF6" w:rsidRPr="00F570EF">
        <w:rPr>
          <w:rFonts w:ascii="Times New Roman" w:hAnsi="Times New Roman" w:cs="Times New Roman"/>
          <w:sz w:val="24"/>
          <w:szCs w:val="24"/>
        </w:rPr>
        <w:t>five</w:t>
      </w:r>
      <w:r w:rsidR="00664FAE" w:rsidRPr="00F570EF">
        <w:rPr>
          <w:rFonts w:ascii="Times New Roman" w:hAnsi="Times New Roman" w:cs="Times New Roman"/>
          <w:sz w:val="24"/>
          <w:szCs w:val="24"/>
        </w:rPr>
        <w:t xml:space="preserve"> factors, or risk areas</w:t>
      </w:r>
      <w:r w:rsidR="00973859" w:rsidRPr="00F570EF">
        <w:rPr>
          <w:rFonts w:ascii="Times New Roman" w:hAnsi="Times New Roman" w:cs="Times New Roman"/>
          <w:sz w:val="24"/>
          <w:szCs w:val="24"/>
        </w:rPr>
        <w:t>, but with authority for expanded review as noted in OSD R&amp;E Memorandum dated 6 Jun 2023</w:t>
      </w:r>
      <w:r w:rsidR="00C37E03" w:rsidRPr="00F570EF">
        <w:rPr>
          <w:rFonts w:ascii="Times New Roman" w:hAnsi="Times New Roman" w:cs="Times New Roman"/>
          <w:sz w:val="24"/>
          <w:szCs w:val="24"/>
        </w:rPr>
        <w:t>.</w:t>
      </w:r>
      <w:r w:rsidR="00664FAE" w:rsidRPr="00F570EF">
        <w:rPr>
          <w:rFonts w:ascii="Times New Roman" w:hAnsi="Times New Roman" w:cs="Times New Roman"/>
          <w:sz w:val="24"/>
          <w:szCs w:val="24"/>
        </w:rPr>
        <w:t xml:space="preserve"> The </w:t>
      </w:r>
      <w:r w:rsidR="00DD46EE" w:rsidRPr="00F570EF">
        <w:rPr>
          <w:rFonts w:ascii="Times New Roman" w:hAnsi="Times New Roman" w:cs="Times New Roman"/>
          <w:sz w:val="24"/>
          <w:szCs w:val="24"/>
        </w:rPr>
        <w:t>potential security risk factors</w:t>
      </w:r>
      <w:r w:rsidR="00664FAE" w:rsidRPr="00F570EF">
        <w:rPr>
          <w:rFonts w:ascii="Times New Roman" w:hAnsi="Times New Roman" w:cs="Times New Roman"/>
          <w:sz w:val="24"/>
          <w:szCs w:val="24"/>
        </w:rPr>
        <w:t xml:space="preserve"> </w:t>
      </w:r>
      <w:r w:rsidR="008F1C52" w:rsidRPr="00F570EF">
        <w:rPr>
          <w:rFonts w:ascii="Times New Roman" w:hAnsi="Times New Roman" w:cs="Times New Roman"/>
          <w:sz w:val="24"/>
          <w:szCs w:val="24"/>
        </w:rPr>
        <w:t>are</w:t>
      </w:r>
      <w:r w:rsidR="00664FAE" w:rsidRPr="00F570EF">
        <w:rPr>
          <w:rFonts w:ascii="Times New Roman" w:hAnsi="Times New Roman" w:cs="Times New Roman"/>
          <w:sz w:val="24"/>
          <w:szCs w:val="24"/>
        </w:rPr>
        <w:t xml:space="preserve"> set forth below:</w:t>
      </w:r>
    </w:p>
    <w:p w14:paraId="1F5A20BD" w14:textId="21C15201" w:rsidR="009F1829" w:rsidRPr="00F570EF" w:rsidRDefault="00272462" w:rsidP="00664FAE">
      <w:pPr>
        <w:rPr>
          <w:rFonts w:ascii="Times New Roman" w:hAnsi="Times New Roman" w:cs="Times New Roman"/>
          <w:sz w:val="24"/>
          <w:szCs w:val="24"/>
        </w:rPr>
      </w:pPr>
      <w:r w:rsidRPr="00F570EF">
        <w:rPr>
          <w:rFonts w:ascii="Times New Roman" w:hAnsi="Times New Roman" w:cs="Times New Roman"/>
          <w:sz w:val="24"/>
          <w:szCs w:val="24"/>
        </w:rPr>
        <w:t>Potential security risk factors:</w:t>
      </w:r>
    </w:p>
    <w:p w14:paraId="528A1674" w14:textId="1F0B69F3" w:rsidR="00D029B9" w:rsidRPr="00F570EF" w:rsidRDefault="00082A41" w:rsidP="00664FAE">
      <w:pPr>
        <w:rPr>
          <w:rFonts w:ascii="Times New Roman" w:hAnsi="Times New Roman" w:cs="Times New Roman"/>
          <w:sz w:val="24"/>
          <w:szCs w:val="24"/>
        </w:rPr>
      </w:pPr>
      <w:r w:rsidRPr="00F570EF">
        <w:rPr>
          <w:rFonts w:ascii="Times New Roman" w:hAnsi="Times New Roman" w:cs="Times New Roman"/>
          <w:noProof/>
          <w:sz w:val="24"/>
          <w:szCs w:val="24"/>
        </w:rPr>
        <w:drawing>
          <wp:inline distT="0" distB="0" distL="0" distR="0" wp14:anchorId="3D15A313" wp14:editId="73029D2E">
            <wp:extent cx="5943600" cy="930275"/>
            <wp:effectExtent l="0" t="0" r="0" b="3175"/>
            <wp:docPr id="24663419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34191" name="Picture 1" descr="Text&#10;&#10;Description automatically generated"/>
                    <pic:cNvPicPr/>
                  </pic:nvPicPr>
                  <pic:blipFill>
                    <a:blip r:embed="rId8"/>
                    <a:stretch>
                      <a:fillRect/>
                    </a:stretch>
                  </pic:blipFill>
                  <pic:spPr>
                    <a:xfrm>
                      <a:off x="0" y="0"/>
                      <a:ext cx="5943600" cy="930275"/>
                    </a:xfrm>
                    <a:prstGeom prst="rect">
                      <a:avLst/>
                    </a:prstGeom>
                  </pic:spPr>
                </pic:pic>
              </a:graphicData>
            </a:graphic>
          </wp:inline>
        </w:drawing>
      </w:r>
    </w:p>
    <w:p w14:paraId="4DD70DC4" w14:textId="2A4DC0B1" w:rsidR="00664FAE" w:rsidRPr="00EE03DB" w:rsidRDefault="009C31AA" w:rsidP="00664FAE">
      <w:pPr>
        <w:rPr>
          <w:rFonts w:ascii="Times New Roman" w:hAnsi="Times New Roman" w:cs="Times New Roman"/>
          <w:b/>
          <w:bCs/>
          <w:sz w:val="24"/>
          <w:szCs w:val="24"/>
        </w:rPr>
      </w:pPr>
      <w:r w:rsidRPr="00EE03DB">
        <w:rPr>
          <w:rFonts w:ascii="Times New Roman" w:hAnsi="Times New Roman" w:cs="Times New Roman"/>
          <w:b/>
          <w:bCs/>
          <w:sz w:val="24"/>
          <w:szCs w:val="24"/>
        </w:rPr>
        <w:lastRenderedPageBreak/>
        <w:t>II</w:t>
      </w:r>
      <w:r w:rsidR="00664FAE" w:rsidRPr="00EE03DB">
        <w:rPr>
          <w:rFonts w:ascii="Times New Roman" w:hAnsi="Times New Roman" w:cs="Times New Roman"/>
          <w:b/>
          <w:bCs/>
          <w:sz w:val="24"/>
          <w:szCs w:val="24"/>
        </w:rPr>
        <w:t>. Actions Required by Applicants</w:t>
      </w:r>
      <w:r w:rsidR="00540F94" w:rsidRPr="00EE03DB">
        <w:rPr>
          <w:rFonts w:ascii="Times New Roman" w:hAnsi="Times New Roman" w:cs="Times New Roman"/>
          <w:b/>
          <w:bCs/>
          <w:sz w:val="24"/>
          <w:szCs w:val="24"/>
        </w:rPr>
        <w:t>/Recipients</w:t>
      </w:r>
      <w:r w:rsidR="00A8455D" w:rsidRPr="00EE03DB">
        <w:rPr>
          <w:rFonts w:ascii="Times New Roman" w:hAnsi="Times New Roman" w:cs="Times New Roman"/>
          <w:b/>
          <w:bCs/>
          <w:sz w:val="24"/>
          <w:szCs w:val="24"/>
        </w:rPr>
        <w:t xml:space="preserve"> </w:t>
      </w:r>
      <w:r w:rsidR="00D5737E" w:rsidRPr="00EE03DB">
        <w:rPr>
          <w:rFonts w:ascii="Times New Roman" w:hAnsi="Times New Roman" w:cs="Times New Roman"/>
          <w:b/>
          <w:bCs/>
          <w:sz w:val="24"/>
          <w:szCs w:val="24"/>
        </w:rPr>
        <w:t>at proposal submission</w:t>
      </w:r>
      <w:r w:rsidR="00664FAE" w:rsidRPr="00EE03DB">
        <w:rPr>
          <w:rFonts w:ascii="Times New Roman" w:hAnsi="Times New Roman" w:cs="Times New Roman"/>
          <w:b/>
          <w:bCs/>
          <w:sz w:val="24"/>
          <w:szCs w:val="24"/>
        </w:rPr>
        <w:t>.</w:t>
      </w:r>
    </w:p>
    <w:p w14:paraId="1B903025" w14:textId="4883F2F0" w:rsidR="00E82119" w:rsidRPr="00F570EF" w:rsidRDefault="007A44B2" w:rsidP="007A44B2">
      <w:pPr>
        <w:rPr>
          <w:rFonts w:ascii="Times New Roman" w:hAnsi="Times New Roman" w:cs="Times New Roman"/>
          <w:sz w:val="24"/>
          <w:szCs w:val="24"/>
        </w:rPr>
      </w:pPr>
      <w:r w:rsidRPr="00F570EF">
        <w:rPr>
          <w:rFonts w:ascii="Times New Roman" w:hAnsi="Times New Roman" w:cs="Times New Roman"/>
          <w:sz w:val="24"/>
          <w:szCs w:val="24"/>
        </w:rPr>
        <w:t xml:space="preserve">(a) In accordance with AFRLI 61-113, S&amp;T Protection, </w:t>
      </w:r>
      <w:r w:rsidR="00BC56E9" w:rsidRPr="00F570EF">
        <w:rPr>
          <w:rFonts w:ascii="Times New Roman" w:hAnsi="Times New Roman" w:cs="Times New Roman"/>
          <w:sz w:val="24"/>
          <w:szCs w:val="24"/>
        </w:rPr>
        <w:t>Applicants/</w:t>
      </w:r>
      <w:r w:rsidRPr="00F570EF">
        <w:rPr>
          <w:rFonts w:ascii="Times New Roman" w:hAnsi="Times New Roman" w:cs="Times New Roman"/>
          <w:sz w:val="24"/>
          <w:szCs w:val="24"/>
        </w:rPr>
        <w:t xml:space="preserve">Recipients are required </w:t>
      </w:r>
      <w:r w:rsidR="00433853" w:rsidRPr="00F570EF">
        <w:rPr>
          <w:rFonts w:ascii="Times New Roman" w:hAnsi="Times New Roman" w:cs="Times New Roman"/>
          <w:sz w:val="24"/>
          <w:szCs w:val="24"/>
        </w:rPr>
        <w:t xml:space="preserve">to submit the following </w:t>
      </w:r>
      <w:r w:rsidR="003E23EF" w:rsidRPr="00F570EF">
        <w:rPr>
          <w:rFonts w:ascii="Times New Roman" w:hAnsi="Times New Roman" w:cs="Times New Roman"/>
          <w:sz w:val="24"/>
          <w:szCs w:val="24"/>
        </w:rPr>
        <w:t xml:space="preserve">documentation </w:t>
      </w:r>
      <w:r w:rsidR="00433853" w:rsidRPr="00F570EF">
        <w:rPr>
          <w:rFonts w:ascii="Times New Roman" w:hAnsi="Times New Roman" w:cs="Times New Roman"/>
          <w:sz w:val="24"/>
          <w:szCs w:val="24"/>
        </w:rPr>
        <w:t>with their proposal:</w:t>
      </w:r>
    </w:p>
    <w:p w14:paraId="77F16F9B" w14:textId="4E8B8B65" w:rsidR="000557DE" w:rsidRPr="00F570EF" w:rsidRDefault="00512E14" w:rsidP="00EE03DB">
      <w:pPr>
        <w:ind w:left="270"/>
        <w:rPr>
          <w:rFonts w:ascii="Times New Roman" w:hAnsi="Times New Roman" w:cs="Times New Roman"/>
          <w:sz w:val="24"/>
          <w:szCs w:val="24"/>
        </w:rPr>
      </w:pPr>
      <w:r w:rsidRPr="00F570EF">
        <w:rPr>
          <w:rFonts w:ascii="Times New Roman" w:hAnsi="Times New Roman" w:cs="Times New Roman"/>
          <w:sz w:val="24"/>
          <w:szCs w:val="24"/>
        </w:rPr>
        <w:t>(1</w:t>
      </w:r>
      <w:r w:rsidR="000557DE" w:rsidRPr="00F570EF">
        <w:rPr>
          <w:rFonts w:ascii="Times New Roman" w:hAnsi="Times New Roman" w:cs="Times New Roman"/>
          <w:sz w:val="24"/>
          <w:szCs w:val="24"/>
        </w:rPr>
        <w:t>) G</w:t>
      </w:r>
      <w:r w:rsidR="00081476" w:rsidRPr="00F570EF">
        <w:rPr>
          <w:rFonts w:ascii="Times New Roman" w:hAnsi="Times New Roman" w:cs="Times New Roman"/>
          <w:sz w:val="24"/>
          <w:szCs w:val="24"/>
        </w:rPr>
        <w:t xml:space="preserve">rant or </w:t>
      </w:r>
      <w:r w:rsidR="009C31AA">
        <w:rPr>
          <w:rFonts w:ascii="Times New Roman" w:hAnsi="Times New Roman" w:cs="Times New Roman"/>
          <w:sz w:val="24"/>
          <w:szCs w:val="24"/>
        </w:rPr>
        <w:t>C</w:t>
      </w:r>
      <w:r w:rsidR="00081476" w:rsidRPr="00F570EF">
        <w:rPr>
          <w:rFonts w:ascii="Times New Roman" w:hAnsi="Times New Roman" w:cs="Times New Roman"/>
          <w:sz w:val="24"/>
          <w:szCs w:val="24"/>
        </w:rPr>
        <w:t xml:space="preserve">ooperative </w:t>
      </w:r>
      <w:r w:rsidR="009C31AA">
        <w:rPr>
          <w:rFonts w:ascii="Times New Roman" w:hAnsi="Times New Roman" w:cs="Times New Roman"/>
          <w:sz w:val="24"/>
          <w:szCs w:val="24"/>
        </w:rPr>
        <w:t>A</w:t>
      </w:r>
      <w:r w:rsidR="00081476" w:rsidRPr="00F570EF">
        <w:rPr>
          <w:rFonts w:ascii="Times New Roman" w:hAnsi="Times New Roman" w:cs="Times New Roman"/>
          <w:sz w:val="24"/>
          <w:szCs w:val="24"/>
        </w:rPr>
        <w:t>greement</w:t>
      </w:r>
      <w:r w:rsidR="009C31AA">
        <w:rPr>
          <w:rFonts w:ascii="Times New Roman" w:hAnsi="Times New Roman" w:cs="Times New Roman"/>
          <w:sz w:val="24"/>
          <w:szCs w:val="24"/>
        </w:rPr>
        <w:t xml:space="preserve"> (CA)</w:t>
      </w:r>
      <w:r w:rsidR="00081476" w:rsidRPr="00F570EF">
        <w:rPr>
          <w:rFonts w:ascii="Times New Roman" w:hAnsi="Times New Roman" w:cs="Times New Roman"/>
          <w:sz w:val="24"/>
          <w:szCs w:val="24"/>
        </w:rPr>
        <w:t xml:space="preserve"> </w:t>
      </w:r>
      <w:r w:rsidR="007A44B2" w:rsidRPr="00F570EF">
        <w:rPr>
          <w:rFonts w:ascii="Times New Roman" w:hAnsi="Times New Roman" w:cs="Times New Roman"/>
          <w:sz w:val="24"/>
          <w:szCs w:val="24"/>
        </w:rPr>
        <w:t>proposal</w:t>
      </w:r>
      <w:r w:rsidR="000557DE" w:rsidRPr="00F570EF">
        <w:rPr>
          <w:rFonts w:ascii="Times New Roman" w:hAnsi="Times New Roman" w:cs="Times New Roman"/>
          <w:sz w:val="24"/>
          <w:szCs w:val="24"/>
        </w:rPr>
        <w:t>s:</w:t>
      </w:r>
    </w:p>
    <w:p w14:paraId="0FD51377" w14:textId="760AC9A1" w:rsidR="00453646" w:rsidRPr="00F570EF" w:rsidRDefault="000557DE" w:rsidP="000557DE">
      <w:pPr>
        <w:ind w:firstLine="720"/>
        <w:rPr>
          <w:rFonts w:ascii="Times New Roman" w:hAnsi="Times New Roman" w:cs="Times New Roman"/>
          <w:sz w:val="24"/>
          <w:szCs w:val="24"/>
        </w:rPr>
      </w:pPr>
      <w:r w:rsidRPr="00F570EF">
        <w:rPr>
          <w:rFonts w:ascii="Times New Roman" w:hAnsi="Times New Roman" w:cs="Times New Roman"/>
          <w:sz w:val="24"/>
          <w:szCs w:val="24"/>
        </w:rPr>
        <w:t>(i)</w:t>
      </w:r>
      <w:r w:rsidR="007A44B2" w:rsidRPr="00F570EF">
        <w:rPr>
          <w:rFonts w:ascii="Times New Roman" w:hAnsi="Times New Roman" w:cs="Times New Roman"/>
          <w:sz w:val="24"/>
          <w:szCs w:val="24"/>
        </w:rPr>
        <w:t xml:space="preserve"> Standard Form 424, “Research and Related Senior and Key Person Profile (Expanded) (See Appendix 1) </w:t>
      </w:r>
      <w:proofErr w:type="gramStart"/>
      <w:r w:rsidR="00453646" w:rsidRPr="00F570EF">
        <w:rPr>
          <w:rFonts w:ascii="Times New Roman" w:hAnsi="Times New Roman" w:cs="Times New Roman"/>
          <w:sz w:val="24"/>
          <w:szCs w:val="24"/>
        </w:rPr>
        <w:t>AND</w:t>
      </w:r>
      <w:r w:rsidR="00540F94">
        <w:rPr>
          <w:rFonts w:ascii="Times New Roman" w:hAnsi="Times New Roman" w:cs="Times New Roman"/>
          <w:sz w:val="24"/>
          <w:szCs w:val="24"/>
        </w:rPr>
        <w:t>;</w:t>
      </w:r>
      <w:proofErr w:type="gramEnd"/>
    </w:p>
    <w:p w14:paraId="0E45AF46" w14:textId="329E17FB" w:rsidR="00E329EE" w:rsidRPr="00F570EF" w:rsidRDefault="00453646" w:rsidP="000557DE">
      <w:pPr>
        <w:ind w:firstLine="720"/>
        <w:rPr>
          <w:rFonts w:ascii="Times New Roman" w:hAnsi="Times New Roman" w:cs="Times New Roman"/>
          <w:sz w:val="24"/>
          <w:szCs w:val="24"/>
        </w:rPr>
      </w:pPr>
      <w:r w:rsidRPr="00F570EF">
        <w:rPr>
          <w:rFonts w:ascii="Times New Roman" w:hAnsi="Times New Roman" w:cs="Times New Roman"/>
          <w:sz w:val="24"/>
          <w:szCs w:val="24"/>
        </w:rPr>
        <w:t>(</w:t>
      </w:r>
      <w:r w:rsidR="00F570EF">
        <w:rPr>
          <w:rFonts w:ascii="Times New Roman" w:hAnsi="Times New Roman" w:cs="Times New Roman"/>
          <w:sz w:val="24"/>
          <w:szCs w:val="24"/>
        </w:rPr>
        <w:t>ii</w:t>
      </w:r>
      <w:r w:rsidRPr="00F570EF">
        <w:rPr>
          <w:rFonts w:ascii="Times New Roman" w:hAnsi="Times New Roman" w:cs="Times New Roman"/>
          <w:sz w:val="24"/>
          <w:szCs w:val="24"/>
        </w:rPr>
        <w:t xml:space="preserve">) </w:t>
      </w:r>
      <w:bookmarkStart w:id="1" w:name="_Hlk171412555"/>
      <w:r w:rsidR="007A44B2" w:rsidRPr="00F570EF">
        <w:rPr>
          <w:rFonts w:ascii="Times New Roman" w:hAnsi="Times New Roman" w:cs="Times New Roman"/>
          <w:sz w:val="24"/>
          <w:szCs w:val="24"/>
        </w:rPr>
        <w:t xml:space="preserve">Security Program Questionnaire </w:t>
      </w:r>
      <w:bookmarkEnd w:id="1"/>
      <w:r w:rsidR="007A44B2" w:rsidRPr="00F570EF">
        <w:rPr>
          <w:rFonts w:ascii="Times New Roman" w:hAnsi="Times New Roman" w:cs="Times New Roman"/>
          <w:sz w:val="24"/>
          <w:szCs w:val="24"/>
        </w:rPr>
        <w:t>(See Appendix 2)</w:t>
      </w:r>
      <w:r w:rsidR="00E329EE" w:rsidRPr="00F570EF">
        <w:rPr>
          <w:rFonts w:ascii="Times New Roman" w:hAnsi="Times New Roman" w:cs="Times New Roman"/>
          <w:sz w:val="24"/>
          <w:szCs w:val="24"/>
        </w:rPr>
        <w:t xml:space="preserve"> </w:t>
      </w:r>
      <w:proofErr w:type="gramStart"/>
      <w:r w:rsidR="00E329EE" w:rsidRPr="00F570EF">
        <w:rPr>
          <w:rFonts w:ascii="Times New Roman" w:hAnsi="Times New Roman" w:cs="Times New Roman"/>
          <w:sz w:val="24"/>
          <w:szCs w:val="24"/>
        </w:rPr>
        <w:t>AND</w:t>
      </w:r>
      <w:r w:rsidR="00540F94">
        <w:rPr>
          <w:rFonts w:ascii="Times New Roman" w:hAnsi="Times New Roman" w:cs="Times New Roman"/>
          <w:sz w:val="24"/>
          <w:szCs w:val="24"/>
        </w:rPr>
        <w:t>;</w:t>
      </w:r>
      <w:proofErr w:type="gramEnd"/>
    </w:p>
    <w:p w14:paraId="2261C5DB" w14:textId="50CBB9A7" w:rsidR="00E329EE" w:rsidRPr="00F570EF" w:rsidRDefault="00E60EF5" w:rsidP="00DA1FB9">
      <w:pPr>
        <w:rPr>
          <w:rFonts w:ascii="Times New Roman" w:hAnsi="Times New Roman" w:cs="Times New Roman"/>
          <w:sz w:val="24"/>
          <w:szCs w:val="24"/>
        </w:rPr>
      </w:pPr>
      <w:r w:rsidRPr="00F570EF">
        <w:rPr>
          <w:rFonts w:ascii="Times New Roman" w:hAnsi="Times New Roman" w:cs="Times New Roman"/>
          <w:sz w:val="24"/>
          <w:szCs w:val="24"/>
        </w:rPr>
        <w:tab/>
      </w:r>
      <w:r w:rsidR="00E329EE" w:rsidRPr="00F570EF">
        <w:rPr>
          <w:rFonts w:ascii="Times New Roman" w:hAnsi="Times New Roman" w:cs="Times New Roman"/>
          <w:sz w:val="24"/>
          <w:szCs w:val="24"/>
        </w:rPr>
        <w:t>(</w:t>
      </w:r>
      <w:r w:rsidR="00F570EF">
        <w:rPr>
          <w:rFonts w:ascii="Times New Roman" w:hAnsi="Times New Roman" w:cs="Times New Roman"/>
          <w:sz w:val="24"/>
          <w:szCs w:val="24"/>
        </w:rPr>
        <w:t>i</w:t>
      </w:r>
      <w:r w:rsidR="00E329EE" w:rsidRPr="00F570EF">
        <w:rPr>
          <w:rFonts w:ascii="Times New Roman" w:hAnsi="Times New Roman" w:cs="Times New Roman"/>
          <w:sz w:val="24"/>
          <w:szCs w:val="24"/>
        </w:rPr>
        <w:t>ii) “Privacy Act Statement” consent form for each Covered Individual that is also signed by the</w:t>
      </w:r>
      <w:r w:rsidR="00540F94" w:rsidRPr="00540F94">
        <w:rPr>
          <w:rFonts w:ascii="Times New Roman" w:hAnsi="Times New Roman" w:cs="Times New Roman"/>
          <w:sz w:val="24"/>
          <w:szCs w:val="24"/>
        </w:rPr>
        <w:t xml:space="preserve"> </w:t>
      </w:r>
      <w:r w:rsidR="00540F94" w:rsidRPr="00F570EF">
        <w:rPr>
          <w:rFonts w:ascii="Times New Roman" w:hAnsi="Times New Roman" w:cs="Times New Roman"/>
          <w:sz w:val="24"/>
          <w:szCs w:val="24"/>
        </w:rPr>
        <w:t xml:space="preserve">Applicants/Recipients </w:t>
      </w:r>
      <w:r w:rsidR="00E329EE" w:rsidRPr="00F570EF">
        <w:rPr>
          <w:rFonts w:ascii="Times New Roman" w:hAnsi="Times New Roman" w:cs="Times New Roman"/>
          <w:sz w:val="24"/>
          <w:szCs w:val="24"/>
        </w:rPr>
        <w:t>as that Individual’s Sponsor.</w:t>
      </w:r>
      <w:r w:rsidRPr="00F570EF">
        <w:rPr>
          <w:rFonts w:ascii="Times New Roman" w:hAnsi="Times New Roman" w:cs="Times New Roman"/>
          <w:sz w:val="24"/>
          <w:szCs w:val="24"/>
        </w:rPr>
        <w:t xml:space="preserve"> (See </w:t>
      </w:r>
      <w:r w:rsidR="00C8397C">
        <w:rPr>
          <w:rFonts w:ascii="Times New Roman" w:hAnsi="Times New Roman" w:cs="Times New Roman"/>
          <w:sz w:val="24"/>
          <w:szCs w:val="24"/>
        </w:rPr>
        <w:t>“Covered Individual” section below</w:t>
      </w:r>
      <w:r w:rsidR="00540F94">
        <w:rPr>
          <w:rFonts w:ascii="Times New Roman" w:hAnsi="Times New Roman" w:cs="Times New Roman"/>
          <w:sz w:val="24"/>
          <w:szCs w:val="24"/>
        </w:rPr>
        <w:t>,</w:t>
      </w:r>
      <w:r w:rsidR="00C8397C">
        <w:rPr>
          <w:rFonts w:ascii="Times New Roman" w:hAnsi="Times New Roman" w:cs="Times New Roman"/>
          <w:sz w:val="24"/>
          <w:szCs w:val="24"/>
        </w:rPr>
        <w:t xml:space="preserve"> and </w:t>
      </w:r>
      <w:r w:rsidRPr="00F570EF">
        <w:rPr>
          <w:rFonts w:ascii="Times New Roman" w:hAnsi="Times New Roman" w:cs="Times New Roman"/>
          <w:sz w:val="24"/>
          <w:szCs w:val="24"/>
        </w:rPr>
        <w:t>Appendix 4)</w:t>
      </w:r>
    </w:p>
    <w:p w14:paraId="3925494A" w14:textId="41D0BB6D" w:rsidR="00494981" w:rsidRPr="009C31AA" w:rsidRDefault="00494981" w:rsidP="00EE03DB">
      <w:pPr>
        <w:ind w:firstLine="270"/>
        <w:rPr>
          <w:rFonts w:ascii="Times New Roman" w:hAnsi="Times New Roman" w:cs="Times New Roman"/>
          <w:i/>
          <w:iCs/>
          <w:sz w:val="24"/>
          <w:szCs w:val="24"/>
        </w:rPr>
      </w:pPr>
      <w:r w:rsidRPr="00F570EF">
        <w:rPr>
          <w:rFonts w:ascii="Times New Roman" w:hAnsi="Times New Roman" w:cs="Times New Roman"/>
          <w:sz w:val="24"/>
          <w:szCs w:val="24"/>
        </w:rPr>
        <w:t xml:space="preserve">(2) Contract or Other </w:t>
      </w:r>
      <w:r w:rsidR="00576CC9" w:rsidRPr="00F570EF">
        <w:rPr>
          <w:rFonts w:ascii="Times New Roman" w:hAnsi="Times New Roman" w:cs="Times New Roman"/>
          <w:sz w:val="24"/>
          <w:szCs w:val="24"/>
        </w:rPr>
        <w:t>Transaction</w:t>
      </w:r>
      <w:r w:rsidR="009C31AA">
        <w:rPr>
          <w:rFonts w:ascii="Times New Roman" w:hAnsi="Times New Roman" w:cs="Times New Roman"/>
          <w:sz w:val="24"/>
          <w:szCs w:val="24"/>
        </w:rPr>
        <w:t xml:space="preserve"> Agreement (OTA)</w:t>
      </w:r>
      <w:r w:rsidR="00576CC9" w:rsidRPr="00F570EF">
        <w:rPr>
          <w:rFonts w:ascii="Times New Roman" w:hAnsi="Times New Roman" w:cs="Times New Roman"/>
          <w:sz w:val="24"/>
          <w:szCs w:val="24"/>
        </w:rPr>
        <w:t xml:space="preserve"> proposals</w:t>
      </w:r>
      <w:r w:rsidR="009C31AA">
        <w:rPr>
          <w:rFonts w:ascii="Times New Roman" w:hAnsi="Times New Roman" w:cs="Times New Roman"/>
          <w:sz w:val="24"/>
          <w:szCs w:val="24"/>
        </w:rPr>
        <w:t>:</w:t>
      </w:r>
      <w:r w:rsidR="00F570EF">
        <w:rPr>
          <w:rFonts w:ascii="Times New Roman" w:hAnsi="Times New Roman" w:cs="Times New Roman"/>
          <w:sz w:val="24"/>
          <w:szCs w:val="24"/>
        </w:rPr>
        <w:t xml:space="preserve"> </w:t>
      </w:r>
    </w:p>
    <w:p w14:paraId="2005E56D" w14:textId="7F438FF3" w:rsidR="00EF4025" w:rsidRPr="00F570EF" w:rsidRDefault="00EF4025" w:rsidP="00DA1FB9">
      <w:pPr>
        <w:ind w:firstLine="720"/>
        <w:rPr>
          <w:rFonts w:ascii="Times New Roman" w:hAnsi="Times New Roman" w:cs="Times New Roman"/>
          <w:sz w:val="24"/>
          <w:szCs w:val="24"/>
        </w:rPr>
      </w:pPr>
      <w:r w:rsidRPr="00F570EF">
        <w:rPr>
          <w:rFonts w:ascii="Times New Roman" w:hAnsi="Times New Roman" w:cs="Times New Roman"/>
          <w:sz w:val="24"/>
          <w:szCs w:val="24"/>
        </w:rPr>
        <w:t xml:space="preserve">(i) Research and Related Senior and Key Person Profile </w:t>
      </w:r>
      <w:r w:rsidR="00D836C7" w:rsidRPr="00F570EF">
        <w:rPr>
          <w:rFonts w:ascii="Times New Roman" w:hAnsi="Times New Roman" w:cs="Times New Roman"/>
          <w:sz w:val="24"/>
          <w:szCs w:val="24"/>
        </w:rPr>
        <w:t>Worksheet</w:t>
      </w:r>
      <w:r w:rsidRPr="00F570EF">
        <w:rPr>
          <w:rFonts w:ascii="Times New Roman" w:hAnsi="Times New Roman" w:cs="Times New Roman"/>
          <w:sz w:val="24"/>
          <w:szCs w:val="24"/>
        </w:rPr>
        <w:t xml:space="preserve"> (See Appendix </w:t>
      </w:r>
      <w:r w:rsidR="00D836C7" w:rsidRPr="00F570EF">
        <w:rPr>
          <w:rFonts w:ascii="Times New Roman" w:hAnsi="Times New Roman" w:cs="Times New Roman"/>
          <w:sz w:val="24"/>
          <w:szCs w:val="24"/>
        </w:rPr>
        <w:t>3</w:t>
      </w:r>
      <w:r w:rsidRPr="00F570EF">
        <w:rPr>
          <w:rFonts w:ascii="Times New Roman" w:hAnsi="Times New Roman" w:cs="Times New Roman"/>
          <w:sz w:val="24"/>
          <w:szCs w:val="24"/>
        </w:rPr>
        <w:t xml:space="preserve">) </w:t>
      </w:r>
      <w:proofErr w:type="gramStart"/>
      <w:r w:rsidRPr="00F570EF">
        <w:rPr>
          <w:rFonts w:ascii="Times New Roman" w:hAnsi="Times New Roman" w:cs="Times New Roman"/>
          <w:sz w:val="24"/>
          <w:szCs w:val="24"/>
        </w:rPr>
        <w:t>AND</w:t>
      </w:r>
      <w:r w:rsidR="00540F94">
        <w:rPr>
          <w:rFonts w:ascii="Times New Roman" w:hAnsi="Times New Roman" w:cs="Times New Roman"/>
          <w:sz w:val="24"/>
          <w:szCs w:val="24"/>
        </w:rPr>
        <w:t>;</w:t>
      </w:r>
      <w:proofErr w:type="gramEnd"/>
    </w:p>
    <w:p w14:paraId="7C6339F3" w14:textId="16E61057" w:rsidR="00576CC9" w:rsidRPr="00F570EF" w:rsidRDefault="00EF4025">
      <w:pPr>
        <w:ind w:firstLine="720"/>
        <w:rPr>
          <w:rFonts w:ascii="Times New Roman" w:hAnsi="Times New Roman" w:cs="Times New Roman"/>
          <w:sz w:val="24"/>
          <w:szCs w:val="24"/>
        </w:rPr>
      </w:pPr>
      <w:r w:rsidRPr="00F570EF">
        <w:rPr>
          <w:rFonts w:ascii="Times New Roman" w:hAnsi="Times New Roman" w:cs="Times New Roman"/>
          <w:sz w:val="24"/>
          <w:szCs w:val="24"/>
        </w:rPr>
        <w:t>(</w:t>
      </w:r>
      <w:r w:rsidR="00F570EF">
        <w:rPr>
          <w:rFonts w:ascii="Times New Roman" w:hAnsi="Times New Roman" w:cs="Times New Roman"/>
          <w:sz w:val="24"/>
          <w:szCs w:val="24"/>
        </w:rPr>
        <w:t>i</w:t>
      </w:r>
      <w:r w:rsidRPr="00F570EF">
        <w:rPr>
          <w:rFonts w:ascii="Times New Roman" w:hAnsi="Times New Roman" w:cs="Times New Roman"/>
          <w:sz w:val="24"/>
          <w:szCs w:val="24"/>
        </w:rPr>
        <w:t>i) Security Program Questionnaire (See Appendix 2)</w:t>
      </w:r>
      <w:r w:rsidR="002F3E66" w:rsidRPr="00F570EF">
        <w:rPr>
          <w:rFonts w:ascii="Times New Roman" w:hAnsi="Times New Roman" w:cs="Times New Roman"/>
          <w:sz w:val="24"/>
          <w:szCs w:val="24"/>
        </w:rPr>
        <w:t xml:space="preserve"> </w:t>
      </w:r>
      <w:proofErr w:type="gramStart"/>
      <w:r w:rsidR="002F3E66" w:rsidRPr="00F570EF">
        <w:rPr>
          <w:rFonts w:ascii="Times New Roman" w:hAnsi="Times New Roman" w:cs="Times New Roman"/>
          <w:sz w:val="24"/>
          <w:szCs w:val="24"/>
        </w:rPr>
        <w:t>AND</w:t>
      </w:r>
      <w:r w:rsidR="00540F94">
        <w:rPr>
          <w:rFonts w:ascii="Times New Roman" w:hAnsi="Times New Roman" w:cs="Times New Roman"/>
          <w:sz w:val="24"/>
          <w:szCs w:val="24"/>
        </w:rPr>
        <w:t>;</w:t>
      </w:r>
      <w:proofErr w:type="gramEnd"/>
    </w:p>
    <w:p w14:paraId="06C5F65A" w14:textId="5DF6669F" w:rsidR="002F3E66" w:rsidRPr="00F570EF" w:rsidRDefault="002F3E66" w:rsidP="00DA1FB9">
      <w:pPr>
        <w:rPr>
          <w:rFonts w:ascii="Times New Roman" w:hAnsi="Times New Roman" w:cs="Times New Roman"/>
          <w:sz w:val="24"/>
          <w:szCs w:val="24"/>
        </w:rPr>
      </w:pPr>
      <w:r w:rsidRPr="00F570EF">
        <w:rPr>
          <w:rFonts w:ascii="Times New Roman" w:hAnsi="Times New Roman" w:cs="Times New Roman"/>
          <w:sz w:val="24"/>
          <w:szCs w:val="24"/>
        </w:rPr>
        <w:tab/>
        <w:t>(</w:t>
      </w:r>
      <w:r w:rsidR="00F570EF">
        <w:rPr>
          <w:rFonts w:ascii="Times New Roman" w:hAnsi="Times New Roman" w:cs="Times New Roman"/>
          <w:sz w:val="24"/>
          <w:szCs w:val="24"/>
        </w:rPr>
        <w:t>i</w:t>
      </w:r>
      <w:r w:rsidRPr="00F570EF">
        <w:rPr>
          <w:rFonts w:ascii="Times New Roman" w:hAnsi="Times New Roman" w:cs="Times New Roman"/>
          <w:sz w:val="24"/>
          <w:szCs w:val="24"/>
        </w:rPr>
        <w:t xml:space="preserve">ii) “Privacy Act Statement” consent form for each Covered Individual that is also signed by the </w:t>
      </w:r>
      <w:r w:rsidR="00540F94" w:rsidRPr="00F570EF">
        <w:rPr>
          <w:rFonts w:ascii="Times New Roman" w:hAnsi="Times New Roman" w:cs="Times New Roman"/>
          <w:sz w:val="24"/>
          <w:szCs w:val="24"/>
        </w:rPr>
        <w:t>Applicant/Recipient</w:t>
      </w:r>
      <w:r w:rsidRPr="00F570EF">
        <w:rPr>
          <w:rFonts w:ascii="Times New Roman" w:hAnsi="Times New Roman" w:cs="Times New Roman"/>
          <w:sz w:val="24"/>
          <w:szCs w:val="24"/>
        </w:rPr>
        <w:t xml:space="preserve"> as that Individual’s Sponsor. </w:t>
      </w:r>
      <w:r w:rsidR="00F13C4A" w:rsidRPr="00F570EF">
        <w:rPr>
          <w:rFonts w:ascii="Times New Roman" w:hAnsi="Times New Roman" w:cs="Times New Roman"/>
          <w:sz w:val="24"/>
          <w:szCs w:val="24"/>
        </w:rPr>
        <w:t xml:space="preserve">(See </w:t>
      </w:r>
      <w:r w:rsidR="00F13C4A">
        <w:rPr>
          <w:rFonts w:ascii="Times New Roman" w:hAnsi="Times New Roman" w:cs="Times New Roman"/>
          <w:sz w:val="24"/>
          <w:szCs w:val="24"/>
        </w:rPr>
        <w:t>“Covered Individual” section below</w:t>
      </w:r>
      <w:r w:rsidR="00540F94">
        <w:rPr>
          <w:rFonts w:ascii="Times New Roman" w:hAnsi="Times New Roman" w:cs="Times New Roman"/>
          <w:sz w:val="24"/>
          <w:szCs w:val="24"/>
        </w:rPr>
        <w:t>,</w:t>
      </w:r>
      <w:r w:rsidR="00F13C4A">
        <w:rPr>
          <w:rFonts w:ascii="Times New Roman" w:hAnsi="Times New Roman" w:cs="Times New Roman"/>
          <w:sz w:val="24"/>
          <w:szCs w:val="24"/>
        </w:rPr>
        <w:t xml:space="preserve"> and </w:t>
      </w:r>
      <w:r w:rsidR="00F13C4A" w:rsidRPr="00F570EF">
        <w:rPr>
          <w:rFonts w:ascii="Times New Roman" w:hAnsi="Times New Roman" w:cs="Times New Roman"/>
          <w:sz w:val="24"/>
          <w:szCs w:val="24"/>
        </w:rPr>
        <w:t>Appendix 4)</w:t>
      </w:r>
    </w:p>
    <w:p w14:paraId="5383EA72" w14:textId="06FE2A7F" w:rsidR="002F3E66" w:rsidRPr="00D13522" w:rsidRDefault="00E85D58" w:rsidP="002A1B5E">
      <w:pPr>
        <w:rPr>
          <w:rFonts w:ascii="Times New Roman" w:hAnsi="Times New Roman" w:cs="Times New Roman"/>
          <w:sz w:val="24"/>
          <w:szCs w:val="24"/>
        </w:rPr>
      </w:pPr>
      <w:r w:rsidRPr="00D13522">
        <w:rPr>
          <w:rFonts w:ascii="Times New Roman" w:hAnsi="Times New Roman" w:cs="Times New Roman"/>
          <w:sz w:val="24"/>
          <w:szCs w:val="24"/>
        </w:rPr>
        <w:t xml:space="preserve">The above appendices are included in the RI-Specific Proposal Preparation Instructions which can be accessed at: </w:t>
      </w:r>
      <w:hyperlink r:id="rId9" w:history="1">
        <w:r w:rsidR="00D13522" w:rsidRPr="00B3147B">
          <w:rPr>
            <w:rStyle w:val="Hyperlink"/>
            <w:rFonts w:ascii="Times New Roman" w:hAnsi="Times New Roman" w:cs="Times New Roman"/>
            <w:sz w:val="24"/>
            <w:szCs w:val="24"/>
          </w:rPr>
          <w:t>https://sam.gov/opp/5d5947ee115b4a49adc07d0bc4bc72e5/view</w:t>
        </w:r>
      </w:hyperlink>
      <w:r w:rsidR="00D13522">
        <w:rPr>
          <w:rFonts w:ascii="Times New Roman" w:hAnsi="Times New Roman" w:cs="Times New Roman"/>
          <w:sz w:val="24"/>
          <w:szCs w:val="24"/>
        </w:rPr>
        <w:t xml:space="preserve"> </w:t>
      </w:r>
      <w:r w:rsidRPr="00D13522">
        <w:rPr>
          <w:rFonts w:ascii="Times New Roman" w:hAnsi="Times New Roman" w:cs="Times New Roman"/>
          <w:sz w:val="24"/>
          <w:szCs w:val="24"/>
        </w:rPr>
        <w:t xml:space="preserve">. Always reference the latest versions of these documents. Complete and submit the required forms with your proposal to the technical point of contact (TPOC) listed in Section VII-Agency Contacts </w:t>
      </w:r>
      <w:r w:rsidRPr="00D13522">
        <w:rPr>
          <w:rFonts w:ascii="Times New Roman" w:hAnsi="Times New Roman" w:cs="Times New Roman"/>
          <w:b/>
          <w:bCs/>
          <w:sz w:val="24"/>
          <w:szCs w:val="24"/>
        </w:rPr>
        <w:t>AND</w:t>
      </w:r>
      <w:r w:rsidRPr="00D13522">
        <w:rPr>
          <w:rFonts w:ascii="Times New Roman" w:hAnsi="Times New Roman" w:cs="Times New Roman"/>
          <w:sz w:val="24"/>
          <w:szCs w:val="24"/>
        </w:rPr>
        <w:t xml:space="preserve"> </w:t>
      </w:r>
      <w:hyperlink r:id="rId10" w:history="1">
        <w:r w:rsidRPr="00D13522">
          <w:rPr>
            <w:rStyle w:val="Hyperlink"/>
            <w:rFonts w:ascii="Times New Roman" w:hAnsi="Times New Roman" w:cs="Times New Roman"/>
            <w:color w:val="auto"/>
            <w:sz w:val="24"/>
            <w:szCs w:val="24"/>
          </w:rPr>
          <w:t>AFRL.RIOF@us.af.mil</w:t>
        </w:r>
      </w:hyperlink>
      <w:r w:rsidRPr="00D13522">
        <w:rPr>
          <w:rFonts w:ascii="Times New Roman" w:hAnsi="Times New Roman" w:cs="Times New Roman"/>
          <w:sz w:val="24"/>
          <w:szCs w:val="24"/>
        </w:rPr>
        <w:t xml:space="preserve">. </w:t>
      </w:r>
    </w:p>
    <w:p w14:paraId="03336543" w14:textId="0CF28782" w:rsidR="007A44B2" w:rsidRPr="00F570EF" w:rsidRDefault="00540F94" w:rsidP="00EE03DB">
      <w:pPr>
        <w:ind w:firstLine="360"/>
        <w:rPr>
          <w:rFonts w:ascii="Times New Roman" w:hAnsi="Times New Roman" w:cs="Times New Roman"/>
          <w:sz w:val="24"/>
          <w:szCs w:val="24"/>
        </w:rPr>
      </w:pPr>
      <w:r>
        <w:rPr>
          <w:rFonts w:ascii="Times New Roman" w:hAnsi="Times New Roman" w:cs="Times New Roman"/>
          <w:sz w:val="24"/>
          <w:szCs w:val="24"/>
        </w:rPr>
        <w:t xml:space="preserve">(3) </w:t>
      </w:r>
      <w:r w:rsidR="007A44B2" w:rsidRPr="00F570EF">
        <w:rPr>
          <w:rFonts w:ascii="Times New Roman" w:hAnsi="Times New Roman" w:cs="Times New Roman"/>
          <w:sz w:val="24"/>
          <w:szCs w:val="24"/>
        </w:rPr>
        <w:t xml:space="preserve">In the event a security risk is </w:t>
      </w:r>
      <w:r w:rsidR="002A1B5E" w:rsidRPr="00F570EF">
        <w:rPr>
          <w:rFonts w:ascii="Times New Roman" w:hAnsi="Times New Roman" w:cs="Times New Roman"/>
          <w:sz w:val="24"/>
          <w:szCs w:val="24"/>
        </w:rPr>
        <w:t>identified,</w:t>
      </w:r>
      <w:r w:rsidR="007A44B2" w:rsidRPr="00F570EF">
        <w:rPr>
          <w:rFonts w:ascii="Times New Roman" w:hAnsi="Times New Roman" w:cs="Times New Roman"/>
          <w:sz w:val="24"/>
          <w:szCs w:val="24"/>
        </w:rPr>
        <w:t xml:space="preserve"> and the Government has determined the security risk exceeds the acceptable threshold, the </w:t>
      </w:r>
      <w:r w:rsidR="000D1308" w:rsidRPr="00F570EF">
        <w:rPr>
          <w:rFonts w:ascii="Times New Roman" w:hAnsi="Times New Roman" w:cs="Times New Roman"/>
          <w:sz w:val="24"/>
          <w:szCs w:val="24"/>
        </w:rPr>
        <w:t>Applicant</w:t>
      </w:r>
      <w:r w:rsidR="002E54EF" w:rsidRPr="00F570EF">
        <w:rPr>
          <w:rFonts w:ascii="Times New Roman" w:hAnsi="Times New Roman" w:cs="Times New Roman"/>
          <w:sz w:val="24"/>
          <w:szCs w:val="24"/>
        </w:rPr>
        <w:t xml:space="preserve">/Recipient </w:t>
      </w:r>
      <w:r w:rsidR="007A44B2" w:rsidRPr="00F570EF">
        <w:rPr>
          <w:rFonts w:ascii="Times New Roman" w:hAnsi="Times New Roman" w:cs="Times New Roman"/>
          <w:sz w:val="24"/>
          <w:szCs w:val="24"/>
        </w:rPr>
        <w:t xml:space="preserve">will be notified and informed of the decline of award. </w:t>
      </w:r>
      <w:r w:rsidR="007A44B2" w:rsidRPr="00F570EF">
        <w:rPr>
          <w:rFonts w:ascii="Times New Roman" w:hAnsi="Times New Roman" w:cs="Times New Roman"/>
          <w:b/>
          <w:bCs/>
          <w:sz w:val="24"/>
          <w:szCs w:val="24"/>
        </w:rPr>
        <w:t>The Government will only provide a general statement of the reasoning due to Government OPSEC measures.</w:t>
      </w:r>
      <w:r w:rsidR="007A44B2" w:rsidRPr="00F570EF">
        <w:rPr>
          <w:rFonts w:ascii="Times New Roman" w:hAnsi="Times New Roman" w:cs="Times New Roman"/>
          <w:sz w:val="24"/>
          <w:szCs w:val="24"/>
        </w:rPr>
        <w:t xml:space="preserve"> </w:t>
      </w:r>
    </w:p>
    <w:p w14:paraId="03B04E1D" w14:textId="732F956C" w:rsidR="00F13C4A" w:rsidRPr="00F570EF" w:rsidRDefault="00540F94" w:rsidP="00EE03DB">
      <w:pPr>
        <w:ind w:firstLine="360"/>
        <w:rPr>
          <w:rFonts w:ascii="Times New Roman" w:hAnsi="Times New Roman" w:cs="Times New Roman"/>
          <w:sz w:val="24"/>
          <w:szCs w:val="24"/>
        </w:rPr>
      </w:pPr>
      <w:r>
        <w:rPr>
          <w:rFonts w:ascii="Times New Roman" w:hAnsi="Times New Roman" w:cs="Times New Roman"/>
          <w:sz w:val="24"/>
          <w:szCs w:val="24"/>
        </w:rPr>
        <w:t xml:space="preserve">(4) </w:t>
      </w:r>
      <w:r w:rsidR="00F13C4A" w:rsidRPr="00F570EF">
        <w:rPr>
          <w:rFonts w:ascii="Times New Roman" w:hAnsi="Times New Roman" w:cs="Times New Roman"/>
          <w:sz w:val="24"/>
          <w:szCs w:val="24"/>
        </w:rPr>
        <w:t xml:space="preserve">By submission of the Research and Related Senior Key Person Profile and Security Program Questionnaire, the </w:t>
      </w:r>
      <w:r w:rsidRPr="00F570EF">
        <w:rPr>
          <w:rFonts w:ascii="Times New Roman" w:hAnsi="Times New Roman" w:cs="Times New Roman"/>
          <w:sz w:val="24"/>
          <w:szCs w:val="24"/>
        </w:rPr>
        <w:t>Applicant/Recipient</w:t>
      </w:r>
      <w:r w:rsidR="00F13C4A" w:rsidRPr="00F570EF">
        <w:rPr>
          <w:rFonts w:ascii="Times New Roman" w:hAnsi="Times New Roman" w:cs="Times New Roman"/>
          <w:sz w:val="24"/>
          <w:szCs w:val="24"/>
        </w:rPr>
        <w:t xml:space="preserve"> agrees to comply with the following:</w:t>
      </w:r>
    </w:p>
    <w:p w14:paraId="1DB16310" w14:textId="1F4DACDA" w:rsidR="00F13C4A" w:rsidRPr="00F570EF" w:rsidRDefault="00540F94" w:rsidP="00EE03DB">
      <w:pPr>
        <w:ind w:firstLine="720"/>
        <w:rPr>
          <w:rFonts w:ascii="Times New Roman" w:hAnsi="Times New Roman" w:cs="Times New Roman"/>
          <w:sz w:val="24"/>
          <w:szCs w:val="24"/>
        </w:rPr>
      </w:pPr>
      <w:r>
        <w:rPr>
          <w:rFonts w:ascii="Times New Roman" w:hAnsi="Times New Roman" w:cs="Times New Roman"/>
          <w:sz w:val="24"/>
          <w:szCs w:val="24"/>
        </w:rPr>
        <w:t xml:space="preserve">(i) </w:t>
      </w:r>
      <w:r w:rsidR="00F13C4A" w:rsidRPr="00F570EF">
        <w:rPr>
          <w:rFonts w:ascii="Times New Roman" w:hAnsi="Times New Roman" w:cs="Times New Roman"/>
          <w:sz w:val="24"/>
          <w:szCs w:val="24"/>
        </w:rPr>
        <w:t xml:space="preserve">To certify that each covered individual who is listed on the application has been made aware: </w:t>
      </w:r>
      <w:r w:rsidR="00EE03DB">
        <w:rPr>
          <w:rFonts w:ascii="Times New Roman" w:hAnsi="Times New Roman" w:cs="Times New Roman"/>
          <w:sz w:val="24"/>
          <w:szCs w:val="24"/>
        </w:rPr>
        <w:t>1)</w:t>
      </w:r>
      <w:r w:rsidR="00F13C4A" w:rsidRPr="00F570EF">
        <w:rPr>
          <w:rFonts w:ascii="Times New Roman" w:hAnsi="Times New Roman" w:cs="Times New Roman"/>
          <w:sz w:val="24"/>
          <w:szCs w:val="24"/>
        </w:rPr>
        <w:t xml:space="preserve"> of all relevant disclosure requirements, including the requirements of 42 U.S.C. § 6605; and 2) that false representations may be subject to prosecution and liability pursuant to, but not limited to, 18 U.S.C. §§287, 1001, 1031 and 31 U.S.C. §§ 3729-3733 and 3802. See National Science and Technology Council Guidance for Implementing National Security Presidential Memorandum 33 (NSPM-33) on National Security Strategy for United States Government-Supported Research and Development (January 2022). </w:t>
      </w:r>
    </w:p>
    <w:p w14:paraId="39321CF4" w14:textId="1DA41E7B" w:rsidR="00F13C4A" w:rsidRPr="00F570EF" w:rsidRDefault="00EE03DB" w:rsidP="00EE03D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(ii) </w:t>
      </w:r>
      <w:r w:rsidR="00F13C4A" w:rsidRPr="00F570EF">
        <w:rPr>
          <w:rFonts w:ascii="Times New Roman" w:hAnsi="Times New Roman" w:cs="Times New Roman"/>
          <w:sz w:val="24"/>
          <w:szCs w:val="24"/>
        </w:rPr>
        <w:t>To establish and maintain an internal process or procedure to address foreign talent programs, conflicts of commitment, conflicts of interest, and research integrity.</w:t>
      </w:r>
    </w:p>
    <w:p w14:paraId="528D82B3" w14:textId="7F1B485E" w:rsidR="00F13C4A" w:rsidRPr="00F570EF" w:rsidRDefault="00EE03DB" w:rsidP="00EE03DB">
      <w:pPr>
        <w:ind w:firstLine="720"/>
        <w:rPr>
          <w:rFonts w:ascii="Times New Roman" w:hAnsi="Times New Roman" w:cs="Times New Roman"/>
          <w:sz w:val="24"/>
          <w:szCs w:val="24"/>
        </w:rPr>
      </w:pPr>
      <w:r>
        <w:rPr>
          <w:rFonts w:ascii="Times New Roman" w:hAnsi="Times New Roman" w:cs="Times New Roman"/>
          <w:sz w:val="24"/>
          <w:szCs w:val="24"/>
        </w:rPr>
        <w:t xml:space="preserve">(iii) </w:t>
      </w:r>
      <w:r w:rsidR="00F13C4A" w:rsidRPr="00F570EF">
        <w:rPr>
          <w:rFonts w:ascii="Times New Roman" w:hAnsi="Times New Roman" w:cs="Times New Roman"/>
          <w:sz w:val="24"/>
          <w:szCs w:val="24"/>
        </w:rPr>
        <w:t>To exercise due diligence to identify Foreign Components or participation by Senior/Key Personnel in Foreign Government Talent Recruitment Programs and agree to share such information with the Government upon request.</w:t>
      </w:r>
    </w:p>
    <w:p w14:paraId="18BE8EB8" w14:textId="77777777" w:rsidR="009F4EC6" w:rsidRDefault="009F4EC6" w:rsidP="00C8397C">
      <w:pPr>
        <w:rPr>
          <w:rFonts w:ascii="Times New Roman" w:hAnsi="Times New Roman" w:cs="Times New Roman"/>
          <w:b/>
          <w:bCs/>
          <w:sz w:val="24"/>
          <w:szCs w:val="24"/>
        </w:rPr>
      </w:pPr>
    </w:p>
    <w:p w14:paraId="7C17E021" w14:textId="4A32C50E" w:rsidR="00C8397C" w:rsidRPr="00842732" w:rsidRDefault="00EE03DB" w:rsidP="00C8397C">
      <w:pPr>
        <w:rPr>
          <w:rFonts w:ascii="Times New Roman" w:hAnsi="Times New Roman" w:cs="Times New Roman"/>
          <w:b/>
          <w:bCs/>
          <w:sz w:val="24"/>
          <w:szCs w:val="24"/>
        </w:rPr>
      </w:pPr>
      <w:r w:rsidRPr="00842732">
        <w:rPr>
          <w:rFonts w:ascii="Times New Roman" w:hAnsi="Times New Roman" w:cs="Times New Roman"/>
          <w:b/>
          <w:bCs/>
          <w:sz w:val="24"/>
          <w:szCs w:val="24"/>
        </w:rPr>
        <w:t>III</w:t>
      </w:r>
      <w:r w:rsidR="00C8397C" w:rsidRPr="00842732">
        <w:rPr>
          <w:rFonts w:ascii="Times New Roman" w:hAnsi="Times New Roman" w:cs="Times New Roman"/>
          <w:b/>
          <w:bCs/>
          <w:sz w:val="24"/>
          <w:szCs w:val="24"/>
        </w:rPr>
        <w:t>. Actions Required by Covered Individuals.</w:t>
      </w:r>
    </w:p>
    <w:p w14:paraId="65A9653D" w14:textId="5B5C89D9" w:rsidR="00C8397C" w:rsidRPr="00F570EF" w:rsidRDefault="00C8397C" w:rsidP="00C8397C">
      <w:pPr>
        <w:rPr>
          <w:rFonts w:ascii="Times New Roman" w:hAnsi="Times New Roman" w:cs="Times New Roman"/>
          <w:sz w:val="24"/>
          <w:szCs w:val="24"/>
        </w:rPr>
      </w:pPr>
      <w:r>
        <w:rPr>
          <w:rFonts w:ascii="Times New Roman" w:hAnsi="Times New Roman" w:cs="Times New Roman"/>
          <w:sz w:val="24"/>
          <w:szCs w:val="24"/>
        </w:rPr>
        <w:t xml:space="preserve">(a) </w:t>
      </w:r>
      <w:r w:rsidRPr="00F570EF">
        <w:rPr>
          <w:rFonts w:ascii="Times New Roman" w:hAnsi="Times New Roman" w:cs="Times New Roman"/>
          <w:sz w:val="24"/>
          <w:szCs w:val="24"/>
        </w:rPr>
        <w:t xml:space="preserve">Covered Individual. An individual who contributes </w:t>
      </w:r>
      <w:r w:rsidR="009F4EC6" w:rsidRPr="00F570EF">
        <w:rPr>
          <w:rFonts w:ascii="Times New Roman" w:hAnsi="Times New Roman" w:cs="Times New Roman"/>
          <w:sz w:val="24"/>
          <w:szCs w:val="24"/>
        </w:rPr>
        <w:t>to</w:t>
      </w:r>
      <w:r w:rsidRPr="00F570EF">
        <w:rPr>
          <w:rFonts w:ascii="Times New Roman" w:hAnsi="Times New Roman" w:cs="Times New Roman"/>
          <w:sz w:val="24"/>
          <w:szCs w:val="24"/>
        </w:rPr>
        <w:t xml:space="preserve"> a substantive, meaningful way to the scientific development or execution of a research and development project proposed to be carried out with a research and development award from a </w:t>
      </w:r>
      <w:r w:rsidR="009F4EC6" w:rsidRPr="00F570EF">
        <w:rPr>
          <w:rFonts w:ascii="Times New Roman" w:hAnsi="Times New Roman" w:cs="Times New Roman"/>
          <w:sz w:val="24"/>
          <w:szCs w:val="24"/>
        </w:rPr>
        <w:t>federal</w:t>
      </w:r>
      <w:r w:rsidRPr="00F570EF">
        <w:rPr>
          <w:rFonts w:ascii="Times New Roman" w:hAnsi="Times New Roman" w:cs="Times New Roman"/>
          <w:sz w:val="24"/>
          <w:szCs w:val="24"/>
        </w:rPr>
        <w:t xml:space="preserve"> research agency; and is designated as a covered individual by the </w:t>
      </w:r>
      <w:r w:rsidR="009F4EC6">
        <w:rPr>
          <w:rFonts w:ascii="Times New Roman" w:hAnsi="Times New Roman" w:cs="Times New Roman"/>
          <w:sz w:val="24"/>
          <w:szCs w:val="24"/>
        </w:rPr>
        <w:t>f</w:t>
      </w:r>
      <w:r w:rsidRPr="00F570EF">
        <w:rPr>
          <w:rFonts w:ascii="Times New Roman" w:hAnsi="Times New Roman" w:cs="Times New Roman"/>
          <w:sz w:val="24"/>
          <w:szCs w:val="24"/>
        </w:rPr>
        <w:t>ederal research agency concerned. See 42 U.S.C. § 6605, Definitions. (</w:t>
      </w:r>
      <w:r w:rsidR="009F4EC6">
        <w:rPr>
          <w:rFonts w:ascii="Times New Roman" w:hAnsi="Times New Roman" w:cs="Times New Roman"/>
          <w:sz w:val="24"/>
          <w:szCs w:val="24"/>
        </w:rPr>
        <w:t xml:space="preserve">Note: </w:t>
      </w:r>
      <w:r w:rsidRPr="00F570EF">
        <w:rPr>
          <w:rFonts w:ascii="Times New Roman" w:hAnsi="Times New Roman" w:cs="Times New Roman"/>
          <w:sz w:val="24"/>
          <w:szCs w:val="24"/>
        </w:rPr>
        <w:t xml:space="preserve">For purposes of </w:t>
      </w:r>
      <w:r w:rsidR="009F4EC6">
        <w:rPr>
          <w:rFonts w:ascii="Times New Roman" w:hAnsi="Times New Roman" w:cs="Times New Roman"/>
          <w:sz w:val="24"/>
          <w:szCs w:val="24"/>
        </w:rPr>
        <w:t>a Broad Agency Announcement (BAA) solicitation</w:t>
      </w:r>
      <w:r w:rsidRPr="00F570EF">
        <w:rPr>
          <w:rFonts w:ascii="Times New Roman" w:hAnsi="Times New Roman" w:cs="Times New Roman"/>
          <w:sz w:val="24"/>
          <w:szCs w:val="24"/>
        </w:rPr>
        <w:t>, “covered individuals” are all Senior/Key Personnel.)</w:t>
      </w:r>
    </w:p>
    <w:p w14:paraId="3AFE478D" w14:textId="5B92B571" w:rsidR="00C8397C" w:rsidRPr="00C8397C" w:rsidRDefault="00C8397C" w:rsidP="00C8397C">
      <w:pPr>
        <w:rPr>
          <w:rFonts w:ascii="Times New Roman" w:hAnsi="Times New Roman" w:cs="Times New Roman"/>
          <w:sz w:val="24"/>
          <w:szCs w:val="24"/>
        </w:rPr>
      </w:pPr>
      <w:r>
        <w:rPr>
          <w:rFonts w:ascii="Times New Roman" w:hAnsi="Times New Roman" w:cs="Times New Roman"/>
          <w:sz w:val="24"/>
          <w:szCs w:val="24"/>
        </w:rPr>
        <w:t>(b)</w:t>
      </w:r>
      <w:r w:rsidRPr="00C8397C">
        <w:rPr>
          <w:rFonts w:ascii="Times New Roman" w:hAnsi="Times New Roman" w:cs="Times New Roman"/>
          <w:sz w:val="24"/>
          <w:szCs w:val="24"/>
        </w:rPr>
        <w:t xml:space="preserve"> Federal law requires that all current and pending research support, as defined by 42 U.S.C. §6605, must be disclosed at the time of proposal submission, for all covered individuals. The Government may require an updated disclosure during the performance of any research project selected for funding. The Government will require an updated disclosure whenever covered individuals are added or identified as performing under the funded project. </w:t>
      </w:r>
    </w:p>
    <w:p w14:paraId="480BC5E9" w14:textId="54E8BA65" w:rsidR="00C8397C" w:rsidRPr="00C8397C" w:rsidRDefault="00C8397C" w:rsidP="00C8397C">
      <w:pPr>
        <w:rPr>
          <w:rFonts w:ascii="Times New Roman" w:hAnsi="Times New Roman" w:cs="Times New Roman"/>
          <w:sz w:val="24"/>
          <w:szCs w:val="24"/>
        </w:rPr>
      </w:pPr>
      <w:r>
        <w:rPr>
          <w:rFonts w:ascii="Times New Roman" w:hAnsi="Times New Roman" w:cs="Times New Roman"/>
          <w:sz w:val="24"/>
          <w:szCs w:val="24"/>
        </w:rPr>
        <w:t>(c</w:t>
      </w:r>
      <w:r w:rsidRPr="00C8397C">
        <w:rPr>
          <w:rFonts w:ascii="Times New Roman" w:hAnsi="Times New Roman" w:cs="Times New Roman"/>
          <w:sz w:val="24"/>
          <w:szCs w:val="24"/>
        </w:rPr>
        <w:t xml:space="preserve">) Covered Individuals are also required to sign the “Privacy Act Statement” and provide such signed statement to the </w:t>
      </w:r>
      <w:r w:rsidR="00540F94" w:rsidRPr="00F570EF">
        <w:rPr>
          <w:rFonts w:ascii="Times New Roman" w:hAnsi="Times New Roman" w:cs="Times New Roman"/>
          <w:sz w:val="24"/>
          <w:szCs w:val="24"/>
        </w:rPr>
        <w:t>Applicant/Recipient</w:t>
      </w:r>
      <w:r w:rsidRPr="00C8397C">
        <w:rPr>
          <w:rFonts w:ascii="Times New Roman" w:hAnsi="Times New Roman" w:cs="Times New Roman"/>
          <w:sz w:val="24"/>
          <w:szCs w:val="24"/>
        </w:rPr>
        <w:t xml:space="preserve"> for submission with the proposal. </w:t>
      </w:r>
      <w:r w:rsidR="00737A49">
        <w:rPr>
          <w:rFonts w:ascii="Times New Roman" w:hAnsi="Times New Roman" w:cs="Times New Roman"/>
          <w:sz w:val="24"/>
          <w:szCs w:val="24"/>
        </w:rPr>
        <w:t>(See Appendix 4)</w:t>
      </w:r>
    </w:p>
    <w:p w14:paraId="610E3C1D" w14:textId="061A20B4" w:rsidR="00C8397C" w:rsidRDefault="00C8397C" w:rsidP="00C8397C">
      <w:pPr>
        <w:rPr>
          <w:rFonts w:ascii="Times New Roman" w:hAnsi="Times New Roman" w:cs="Times New Roman"/>
          <w:sz w:val="24"/>
          <w:szCs w:val="24"/>
        </w:rPr>
      </w:pPr>
      <w:r w:rsidRPr="00C8397C">
        <w:rPr>
          <w:rFonts w:ascii="Times New Roman" w:hAnsi="Times New Roman" w:cs="Times New Roman"/>
          <w:sz w:val="24"/>
          <w:szCs w:val="24"/>
        </w:rPr>
        <w:t>(</w:t>
      </w:r>
      <w:r>
        <w:rPr>
          <w:rFonts w:ascii="Times New Roman" w:hAnsi="Times New Roman" w:cs="Times New Roman"/>
          <w:sz w:val="24"/>
          <w:szCs w:val="24"/>
        </w:rPr>
        <w:t>d</w:t>
      </w:r>
      <w:r w:rsidRPr="00C8397C">
        <w:rPr>
          <w:rFonts w:ascii="Times New Roman" w:hAnsi="Times New Roman" w:cs="Times New Roman"/>
          <w:sz w:val="24"/>
          <w:szCs w:val="24"/>
        </w:rPr>
        <w:t>) Any decision to accept a proposal for funding under this announcement will include full reliance on the individual’s statements. Failure to report fully and completely all sources of project support and outside positions and affiliations may be considered a material statement within the meaning of the False Claims Act, 31 U.S.C. 3729, and constitute a violation of Federal law.</w:t>
      </w:r>
    </w:p>
    <w:p w14:paraId="0330C955" w14:textId="7DFB4F78" w:rsidR="00664FAE" w:rsidRPr="00EE03DB" w:rsidRDefault="00EE03DB" w:rsidP="00664FAE">
      <w:pPr>
        <w:rPr>
          <w:rFonts w:ascii="Times New Roman" w:hAnsi="Times New Roman" w:cs="Times New Roman"/>
          <w:b/>
          <w:bCs/>
          <w:sz w:val="24"/>
          <w:szCs w:val="24"/>
        </w:rPr>
      </w:pPr>
      <w:r w:rsidRPr="00EE03DB">
        <w:rPr>
          <w:rFonts w:ascii="Times New Roman" w:hAnsi="Times New Roman" w:cs="Times New Roman"/>
          <w:b/>
          <w:bCs/>
          <w:sz w:val="24"/>
          <w:szCs w:val="24"/>
        </w:rPr>
        <w:t>IV.</w:t>
      </w:r>
      <w:r w:rsidR="00664FAE" w:rsidRPr="00EE03DB">
        <w:rPr>
          <w:rFonts w:ascii="Times New Roman" w:hAnsi="Times New Roman" w:cs="Times New Roman"/>
          <w:b/>
          <w:bCs/>
          <w:sz w:val="24"/>
          <w:szCs w:val="24"/>
        </w:rPr>
        <w:t xml:space="preserve"> </w:t>
      </w:r>
      <w:r w:rsidR="00D5737E" w:rsidRPr="00EE03DB">
        <w:rPr>
          <w:rFonts w:ascii="Times New Roman" w:hAnsi="Times New Roman" w:cs="Times New Roman"/>
          <w:b/>
          <w:bCs/>
          <w:sz w:val="24"/>
          <w:szCs w:val="24"/>
        </w:rPr>
        <w:t xml:space="preserve">Actions required by </w:t>
      </w:r>
      <w:r>
        <w:rPr>
          <w:rFonts w:ascii="Times New Roman" w:hAnsi="Times New Roman" w:cs="Times New Roman"/>
          <w:b/>
          <w:bCs/>
          <w:sz w:val="24"/>
          <w:szCs w:val="24"/>
        </w:rPr>
        <w:t>Applicants/Recipients</w:t>
      </w:r>
      <w:r w:rsidR="00EF4DD0" w:rsidRPr="00EE03DB">
        <w:rPr>
          <w:rFonts w:ascii="Times New Roman" w:hAnsi="Times New Roman" w:cs="Times New Roman"/>
          <w:b/>
          <w:bCs/>
          <w:sz w:val="24"/>
          <w:szCs w:val="24"/>
        </w:rPr>
        <w:t xml:space="preserve"> </w:t>
      </w:r>
      <w:r w:rsidRPr="00EE03DB">
        <w:rPr>
          <w:rFonts w:ascii="Times New Roman" w:hAnsi="Times New Roman" w:cs="Times New Roman"/>
          <w:b/>
          <w:bCs/>
          <w:sz w:val="24"/>
          <w:szCs w:val="24"/>
        </w:rPr>
        <w:t>during period</w:t>
      </w:r>
      <w:r w:rsidR="00664FAE" w:rsidRPr="00EE03DB">
        <w:rPr>
          <w:rFonts w:ascii="Times New Roman" w:hAnsi="Times New Roman" w:cs="Times New Roman"/>
          <w:b/>
          <w:bCs/>
          <w:sz w:val="24"/>
          <w:szCs w:val="24"/>
        </w:rPr>
        <w:t xml:space="preserve"> of performance:</w:t>
      </w:r>
    </w:p>
    <w:p w14:paraId="55FC2B5C" w14:textId="77777777" w:rsidR="00EE03DB" w:rsidRDefault="00056E74" w:rsidP="00664FAE">
      <w:pPr>
        <w:pStyle w:val="ListParagraph"/>
        <w:numPr>
          <w:ilvl w:val="0"/>
          <w:numId w:val="4"/>
        </w:numPr>
        <w:tabs>
          <w:tab w:val="left" w:pos="360"/>
        </w:tabs>
        <w:ind w:left="0" w:firstLine="0"/>
      </w:pPr>
      <w:r w:rsidRPr="00F570EF">
        <w:t xml:space="preserve">Applicant/Recipient will be required to re-submit the Research and Related Senior and Key Person Profile as an annual requirement. In addition, whenever a new covered individual(s) is to be added or identified as performing under the funded project, a new Research and Related Senior and Key Person Profile will be required prior to continued performance. </w:t>
      </w:r>
    </w:p>
    <w:p w14:paraId="2BCF94B8" w14:textId="77777777" w:rsidR="00EE03DB" w:rsidRDefault="00EE03DB" w:rsidP="00EE03DB">
      <w:pPr>
        <w:pStyle w:val="ListParagraph"/>
        <w:tabs>
          <w:tab w:val="left" w:pos="360"/>
        </w:tabs>
        <w:ind w:left="0" w:firstLine="0"/>
      </w:pPr>
    </w:p>
    <w:p w14:paraId="05758244" w14:textId="53B6962F" w:rsidR="00664FAE" w:rsidRDefault="00664FAE" w:rsidP="00664FAE">
      <w:pPr>
        <w:pStyle w:val="ListParagraph"/>
        <w:numPr>
          <w:ilvl w:val="0"/>
          <w:numId w:val="4"/>
        </w:numPr>
        <w:tabs>
          <w:tab w:val="left" w:pos="360"/>
        </w:tabs>
        <w:ind w:left="0" w:firstLine="0"/>
      </w:pPr>
      <w:r w:rsidRPr="00EE03DB">
        <w:t xml:space="preserve">If, at any time, during performance of this award, the </w:t>
      </w:r>
      <w:r w:rsidR="00BC56E9" w:rsidRPr="00EE03DB">
        <w:t>Applicant/</w:t>
      </w:r>
      <w:r w:rsidRPr="00EE03DB">
        <w:t xml:space="preserve">Recipient learns that its Senior/Key Research Personnel (including any </w:t>
      </w:r>
      <w:r w:rsidR="005D2349" w:rsidRPr="00EE03DB">
        <w:t>sub awardee</w:t>
      </w:r>
      <w:r w:rsidRPr="00EE03DB">
        <w:t xml:space="preserve"> personnel who receive this designation) are or are believed to be participants in a Foreign Government Talent Program or have Foreign Components with a strategic competitor or country with a history of targeting U.S. technology for unauthorized transfer, the </w:t>
      </w:r>
      <w:r w:rsidR="00540F94" w:rsidRPr="00EE03DB">
        <w:t xml:space="preserve">Applicant/Recipient </w:t>
      </w:r>
      <w:r w:rsidRPr="00EE03DB">
        <w:t xml:space="preserve">will notify the </w:t>
      </w:r>
      <w:r w:rsidR="00F43EF1" w:rsidRPr="00EE03DB">
        <w:t>Contracting/</w:t>
      </w:r>
      <w:r w:rsidRPr="00EE03DB">
        <w:t>Grants</w:t>
      </w:r>
      <w:r w:rsidR="00EE03DB">
        <w:t>/Agreements</w:t>
      </w:r>
      <w:r w:rsidRPr="00EE03DB">
        <w:t xml:space="preserve"> Officer within 5 business days of awareness.</w:t>
      </w:r>
    </w:p>
    <w:p w14:paraId="10F3C617" w14:textId="77777777" w:rsidR="00EE03DB" w:rsidRDefault="00EE03DB" w:rsidP="00EE03DB">
      <w:pPr>
        <w:pStyle w:val="ListParagraph"/>
      </w:pPr>
    </w:p>
    <w:p w14:paraId="1D818D03" w14:textId="77777777" w:rsidR="00EE03DB" w:rsidRDefault="00664FAE" w:rsidP="00EE03DB">
      <w:pPr>
        <w:pStyle w:val="ListParagraph"/>
        <w:numPr>
          <w:ilvl w:val="0"/>
          <w:numId w:val="4"/>
        </w:numPr>
        <w:tabs>
          <w:tab w:val="left" w:pos="360"/>
        </w:tabs>
        <w:ind w:left="0" w:firstLine="0"/>
      </w:pPr>
      <w:r w:rsidRPr="00EE03DB">
        <w:lastRenderedPageBreak/>
        <w:t xml:space="preserve">This disclosure must include specific information as to the personnel involved and the nature of the situation and relationship. The Government will review this information and conduct any necessary fact-finding or discussion with the </w:t>
      </w:r>
      <w:r w:rsidR="00BC56E9" w:rsidRPr="00EE03DB">
        <w:t>Applicant/</w:t>
      </w:r>
      <w:r w:rsidRPr="00EE03DB">
        <w:t>Recipient. The Government’s determination on disclosure may include acceptance, mitigation, or termination of the award.</w:t>
      </w:r>
    </w:p>
    <w:p w14:paraId="0E0B6D81" w14:textId="77777777" w:rsidR="00EE03DB" w:rsidRDefault="00EE03DB" w:rsidP="00EE03DB">
      <w:pPr>
        <w:pStyle w:val="ListParagraph"/>
      </w:pPr>
    </w:p>
    <w:p w14:paraId="2D312416" w14:textId="77777777" w:rsidR="00842732" w:rsidRDefault="00664FAE" w:rsidP="00EE03DB">
      <w:pPr>
        <w:pStyle w:val="ListParagraph"/>
        <w:numPr>
          <w:ilvl w:val="0"/>
          <w:numId w:val="4"/>
        </w:numPr>
        <w:tabs>
          <w:tab w:val="left" w:pos="360"/>
        </w:tabs>
        <w:ind w:left="0" w:firstLine="0"/>
      </w:pPr>
      <w:r w:rsidRPr="00EE03DB">
        <w:t xml:space="preserve"> Failure of the </w:t>
      </w:r>
      <w:r w:rsidR="00BC56E9" w:rsidRPr="00EE03DB">
        <w:t>Applicant/</w:t>
      </w:r>
      <w:r w:rsidRPr="00EE03DB">
        <w:t>Recipient to reasonably exercise due diligence to discover or ensure that neither it nor any of its Senior/Key Research Personnel involved in the subject award are participating in a Foreign Government Talent Program or have a Foreign Component with a strategic competitor or country with a history of targeting U.S. technology for unauthorized transfer may result in the Government exercising remedies in accordance with federal law and regulation.</w:t>
      </w:r>
      <w:r w:rsidR="00EE03DB">
        <w:t xml:space="preserve"> </w:t>
      </w:r>
    </w:p>
    <w:p w14:paraId="514234CF" w14:textId="77777777" w:rsidR="00842732" w:rsidRDefault="00842732" w:rsidP="00842732">
      <w:pPr>
        <w:pStyle w:val="ListParagraph"/>
      </w:pPr>
    </w:p>
    <w:p w14:paraId="0A0C0167" w14:textId="2413F881" w:rsidR="00AA740A" w:rsidRPr="00EE03DB" w:rsidRDefault="00664FAE" w:rsidP="00EE03DB">
      <w:pPr>
        <w:pStyle w:val="ListParagraph"/>
        <w:numPr>
          <w:ilvl w:val="0"/>
          <w:numId w:val="4"/>
        </w:numPr>
        <w:tabs>
          <w:tab w:val="left" w:pos="360"/>
        </w:tabs>
        <w:ind w:left="0" w:firstLine="0"/>
      </w:pPr>
      <w:r w:rsidRPr="00EE03DB">
        <w:t xml:space="preserve"> The </w:t>
      </w:r>
      <w:r w:rsidR="00BC56E9" w:rsidRPr="00EE03DB">
        <w:t>Applicant/</w:t>
      </w:r>
      <w:r w:rsidRPr="00EE03DB">
        <w:t xml:space="preserve">Recipient will be required to flow down this provision to all sub awardees who have personnel designated as Senior/Key Research Personnel </w:t>
      </w:r>
      <w:proofErr w:type="gramStart"/>
      <w:r w:rsidRPr="00EE03DB">
        <w:t>as a result of</w:t>
      </w:r>
      <w:proofErr w:type="gramEnd"/>
      <w:r w:rsidRPr="00EE03DB">
        <w:t xml:space="preserve"> their involvement in the performance of the research.</w:t>
      </w:r>
    </w:p>
    <w:p w14:paraId="183E7802" w14:textId="77777777" w:rsidR="0089579A" w:rsidRPr="00F570EF" w:rsidRDefault="0089579A" w:rsidP="00664FAE">
      <w:pPr>
        <w:rPr>
          <w:rFonts w:ascii="Times New Roman" w:hAnsi="Times New Roman" w:cs="Times New Roman"/>
          <w:sz w:val="24"/>
          <w:szCs w:val="24"/>
        </w:rPr>
      </w:pPr>
    </w:p>
    <w:p w14:paraId="6F260572" w14:textId="5D550D6C" w:rsidR="0089579A" w:rsidRPr="00531D85" w:rsidRDefault="00D13522" w:rsidP="00664FAE">
      <w:pPr>
        <w:rPr>
          <w:rFonts w:ascii="Times New Roman" w:hAnsi="Times New Roman" w:cs="Times New Roman"/>
          <w:b/>
          <w:bCs/>
          <w:sz w:val="24"/>
          <w:szCs w:val="24"/>
        </w:rPr>
      </w:pPr>
      <w:r w:rsidRPr="00531D85">
        <w:rPr>
          <w:rFonts w:ascii="Times New Roman" w:hAnsi="Times New Roman" w:cs="Times New Roman"/>
          <w:b/>
          <w:bCs/>
          <w:sz w:val="24"/>
          <w:szCs w:val="24"/>
        </w:rPr>
        <w:t>Section V:</w:t>
      </w:r>
    </w:p>
    <w:p w14:paraId="780DDBA8" w14:textId="77777777" w:rsidR="00D13522" w:rsidRPr="00531D85" w:rsidRDefault="00D13522" w:rsidP="00D13522">
      <w:pPr>
        <w:rPr>
          <w:rFonts w:ascii="Times New Roman" w:hAnsi="Times New Roman" w:cs="Times New Roman"/>
          <w:sz w:val="24"/>
          <w:szCs w:val="24"/>
        </w:rPr>
      </w:pPr>
      <w:r w:rsidRPr="00531D85">
        <w:rPr>
          <w:rFonts w:ascii="Times New Roman" w:hAnsi="Times New Roman" w:cs="Times New Roman"/>
          <w:sz w:val="24"/>
          <w:szCs w:val="24"/>
        </w:rPr>
        <w:t xml:space="preserve">2.  REVIEW AND SELECTION PROCESS:  </w:t>
      </w:r>
    </w:p>
    <w:p w14:paraId="46B0BC02" w14:textId="77777777" w:rsidR="00D13522" w:rsidRPr="00531D85" w:rsidRDefault="00D13522" w:rsidP="00D13522">
      <w:pPr>
        <w:rPr>
          <w:rFonts w:ascii="Times New Roman" w:hAnsi="Times New Roman" w:cs="Times New Roman"/>
          <w:b/>
          <w:i/>
          <w:sz w:val="24"/>
          <w:szCs w:val="24"/>
        </w:rPr>
      </w:pPr>
    </w:p>
    <w:p w14:paraId="05297BDC" w14:textId="13AA9C81" w:rsidR="00D13522" w:rsidRPr="00531D85" w:rsidRDefault="00D13522" w:rsidP="00D13522">
      <w:pPr>
        <w:numPr>
          <w:ilvl w:val="0"/>
          <w:numId w:val="6"/>
        </w:numPr>
        <w:spacing w:after="0" w:line="240" w:lineRule="auto"/>
        <w:rPr>
          <w:rFonts w:ascii="Times New Roman" w:hAnsi="Times New Roman" w:cs="Times New Roman"/>
          <w:b/>
          <w:sz w:val="24"/>
          <w:szCs w:val="24"/>
        </w:rPr>
      </w:pPr>
      <w:r w:rsidRPr="00531D85">
        <w:rPr>
          <w:rFonts w:ascii="Times New Roman" w:hAnsi="Times New Roman" w:cs="Times New Roman"/>
          <w:sz w:val="24"/>
          <w:szCs w:val="24"/>
        </w:rPr>
        <w:t>Only Government employees on the BAA</w:t>
      </w:r>
      <w:r w:rsidRPr="00531D85">
        <w:rPr>
          <w:rFonts w:ascii="Times New Roman" w:hAnsi="Times New Roman" w:cs="Times New Roman"/>
          <w:b/>
          <w:sz w:val="24"/>
          <w:szCs w:val="24"/>
        </w:rPr>
        <w:t xml:space="preserve"> </w:t>
      </w:r>
      <w:r w:rsidRPr="00531D85">
        <w:rPr>
          <w:rFonts w:ascii="Times New Roman" w:hAnsi="Times New Roman" w:cs="Times New Roman"/>
          <w:sz w:val="24"/>
          <w:szCs w:val="24"/>
        </w:rPr>
        <w:t>team will evaluate the white papers/proposals for selection.  The Air Force Research Laboratory's Information Directorate has contracted for various business and staff support services, some of which require contractors to obtain administrative access to proprietary information submitted by other contractors. Administrative access is defined as "handling or having physical control over information for the sole purpose of accomplishing the administrative functions specified in the administrative support contract, which do not require the review, reading, and comprehension of the content of the information on the part of non-technical professionals assigned to accomplish the specified administrative tasks."</w:t>
      </w:r>
      <w:r w:rsidRPr="00531D85">
        <w:rPr>
          <w:rFonts w:ascii="Times New Roman" w:hAnsi="Times New Roman" w:cs="Times New Roman"/>
          <w:b/>
          <w:sz w:val="24"/>
          <w:szCs w:val="24"/>
        </w:rPr>
        <w:t xml:space="preserve">  </w:t>
      </w:r>
      <w:r w:rsidRPr="00531D85">
        <w:rPr>
          <w:rFonts w:ascii="Times New Roman" w:hAnsi="Times New Roman" w:cs="Times New Roman"/>
          <w:sz w:val="24"/>
          <w:szCs w:val="24"/>
        </w:rPr>
        <w:t xml:space="preserve">These contractors have signed general non-disclosure agreements and organizational conflict of interest statements.  The required administrative access will be granted to non-technical professionals. Examples of the administrative tasks performed </w:t>
      </w:r>
      <w:proofErr w:type="gramStart"/>
      <w:r w:rsidRPr="00531D85">
        <w:rPr>
          <w:rFonts w:ascii="Times New Roman" w:hAnsi="Times New Roman" w:cs="Times New Roman"/>
          <w:sz w:val="24"/>
          <w:szCs w:val="24"/>
        </w:rPr>
        <w:t>include:</w:t>
      </w:r>
      <w:proofErr w:type="gramEnd"/>
      <w:r w:rsidRPr="00531D85">
        <w:rPr>
          <w:rFonts w:ascii="Times New Roman" w:hAnsi="Times New Roman" w:cs="Times New Roman"/>
          <w:sz w:val="24"/>
          <w:szCs w:val="24"/>
        </w:rPr>
        <w:t xml:space="preserve"> a. Assembling and organizing information for R&amp;D case files; b. Accessing library files for use by government personnel; and c. Handling and administration of proposals, contracts, contract funding and queries.  Any objection to administrative access must be in writing to the Contracting Officer and shall include a detailed statement of the basis for the objection.</w:t>
      </w:r>
      <w:r w:rsidRPr="00531D85">
        <w:rPr>
          <w:rFonts w:ascii="Times New Roman" w:hAnsi="Times New Roman" w:cs="Times New Roman"/>
          <w:b/>
          <w:sz w:val="24"/>
          <w:szCs w:val="24"/>
        </w:rPr>
        <w:t xml:space="preserve">  </w:t>
      </w:r>
    </w:p>
    <w:p w14:paraId="23816650" w14:textId="77777777" w:rsidR="00D13522" w:rsidRPr="00531D85" w:rsidRDefault="00D13522" w:rsidP="00D13522">
      <w:pPr>
        <w:rPr>
          <w:rFonts w:ascii="Times New Roman" w:hAnsi="Times New Roman" w:cs="Times New Roman"/>
          <w:b/>
          <w:sz w:val="24"/>
          <w:szCs w:val="24"/>
        </w:rPr>
      </w:pPr>
    </w:p>
    <w:p w14:paraId="363ED82A" w14:textId="77777777" w:rsidR="00D13522" w:rsidRPr="00531D85" w:rsidRDefault="00D13522" w:rsidP="00D13522">
      <w:pPr>
        <w:numPr>
          <w:ilvl w:val="0"/>
          <w:numId w:val="6"/>
        </w:numPr>
        <w:spacing w:after="0" w:line="240" w:lineRule="auto"/>
        <w:rPr>
          <w:rFonts w:ascii="Times New Roman" w:hAnsi="Times New Roman" w:cs="Times New Roman"/>
          <w:b/>
          <w:sz w:val="24"/>
          <w:szCs w:val="24"/>
        </w:rPr>
      </w:pPr>
      <w:r w:rsidRPr="00531D85">
        <w:rPr>
          <w:rFonts w:ascii="Times New Roman" w:hAnsi="Times New Roman" w:cs="Times New Roman"/>
          <w:b/>
          <w:bCs/>
          <w:sz w:val="24"/>
          <w:szCs w:val="24"/>
        </w:rPr>
        <w:t>WHITE PAPER/PROPOSAL REVIEW PROCESS:</w:t>
      </w:r>
    </w:p>
    <w:p w14:paraId="23F79994" w14:textId="77777777" w:rsidR="00D13522" w:rsidRPr="00531D85" w:rsidRDefault="00D13522" w:rsidP="00D13522">
      <w:pPr>
        <w:rPr>
          <w:rFonts w:ascii="Times New Roman" w:hAnsi="Times New Roman" w:cs="Times New Roman"/>
          <w:b/>
          <w:sz w:val="24"/>
          <w:szCs w:val="24"/>
        </w:rPr>
      </w:pPr>
    </w:p>
    <w:p w14:paraId="6CCB7FD4" w14:textId="77777777" w:rsidR="00D13522" w:rsidRPr="00531D85" w:rsidRDefault="00D13522" w:rsidP="00D13522">
      <w:pPr>
        <w:numPr>
          <w:ilvl w:val="1"/>
          <w:numId w:val="6"/>
        </w:numPr>
        <w:spacing w:after="0" w:line="240" w:lineRule="auto"/>
        <w:ind w:left="1080" w:hanging="270"/>
        <w:rPr>
          <w:rFonts w:ascii="Times New Roman" w:hAnsi="Times New Roman" w:cs="Times New Roman"/>
          <w:sz w:val="24"/>
          <w:szCs w:val="24"/>
        </w:rPr>
      </w:pPr>
      <w:r w:rsidRPr="00531D85">
        <w:rPr>
          <w:rFonts w:ascii="Times New Roman" w:hAnsi="Times New Roman" w:cs="Times New Roman"/>
          <w:b/>
          <w:bCs/>
          <w:sz w:val="24"/>
          <w:szCs w:val="24"/>
        </w:rPr>
        <w:t xml:space="preserve">FIRST STEP – White Paper Reviews: </w:t>
      </w:r>
      <w:r w:rsidRPr="00531D85">
        <w:rPr>
          <w:rFonts w:ascii="Times New Roman" w:hAnsi="Times New Roman" w:cs="Times New Roman"/>
          <w:sz w:val="24"/>
          <w:szCs w:val="24"/>
        </w:rPr>
        <w:t xml:space="preserve">The Government will review White Papers to identify those with the greatest potential to meet the Air Force’s needs based on the </w:t>
      </w:r>
      <w:r w:rsidRPr="00531D85">
        <w:rPr>
          <w:rFonts w:ascii="Times New Roman" w:hAnsi="Times New Roman" w:cs="Times New Roman"/>
          <w:sz w:val="24"/>
          <w:szCs w:val="24"/>
        </w:rPr>
        <w:lastRenderedPageBreak/>
        <w:t xml:space="preserve">criteria above. If funding is available for an identified white paper, AFRL/RI will request a formal technical and cost proposal from the Offeror. For white papers not of interest to the Government, or for which funding is not available, those Offerors will receive letters from the Government indicating the basis for non-selection. </w:t>
      </w:r>
    </w:p>
    <w:p w14:paraId="55F3E9A4" w14:textId="77777777" w:rsidR="00D13522" w:rsidRPr="00531D85" w:rsidRDefault="00D13522" w:rsidP="00D13522">
      <w:pPr>
        <w:ind w:left="1080" w:hanging="270"/>
        <w:rPr>
          <w:rFonts w:ascii="Times New Roman" w:hAnsi="Times New Roman" w:cs="Times New Roman"/>
          <w:b/>
          <w:sz w:val="24"/>
          <w:szCs w:val="24"/>
        </w:rPr>
      </w:pPr>
    </w:p>
    <w:p w14:paraId="09571BB6" w14:textId="77777777" w:rsidR="00D13522" w:rsidRPr="00531D85" w:rsidRDefault="00D13522" w:rsidP="00D13522">
      <w:pPr>
        <w:numPr>
          <w:ilvl w:val="1"/>
          <w:numId w:val="6"/>
        </w:numPr>
        <w:spacing w:after="0" w:line="240" w:lineRule="auto"/>
        <w:ind w:left="1080" w:hanging="270"/>
        <w:rPr>
          <w:rFonts w:ascii="Times New Roman" w:hAnsi="Times New Roman" w:cs="Times New Roman"/>
          <w:b/>
          <w:sz w:val="24"/>
          <w:szCs w:val="24"/>
        </w:rPr>
      </w:pPr>
      <w:r w:rsidRPr="00531D85">
        <w:rPr>
          <w:rFonts w:ascii="Times New Roman" w:hAnsi="Times New Roman" w:cs="Times New Roman"/>
          <w:b/>
          <w:bCs/>
          <w:sz w:val="24"/>
          <w:szCs w:val="24"/>
        </w:rPr>
        <w:t>SECOND STEP – Proposal Review and Selection Process</w:t>
      </w:r>
    </w:p>
    <w:p w14:paraId="6DCED481" w14:textId="77777777" w:rsidR="00D13522" w:rsidRPr="00531D85" w:rsidRDefault="00D13522" w:rsidP="00D13522">
      <w:pPr>
        <w:ind w:left="1170"/>
        <w:rPr>
          <w:rFonts w:ascii="Times New Roman" w:hAnsi="Times New Roman" w:cs="Times New Roman"/>
          <w:sz w:val="24"/>
          <w:szCs w:val="24"/>
        </w:rPr>
      </w:pPr>
    </w:p>
    <w:p w14:paraId="32BB4C54" w14:textId="77777777" w:rsidR="00D13522" w:rsidRPr="00531D85" w:rsidRDefault="00D13522" w:rsidP="00D13522">
      <w:pPr>
        <w:pStyle w:val="ListParagraph"/>
        <w:numPr>
          <w:ilvl w:val="0"/>
          <w:numId w:val="7"/>
        </w:numPr>
        <w:autoSpaceDE/>
        <w:autoSpaceDN/>
        <w:adjustRightInd/>
        <w:ind w:left="720"/>
        <w:contextualSpacing/>
      </w:pPr>
      <w:r w:rsidRPr="00531D85">
        <w:rPr>
          <w:b/>
          <w:bCs/>
        </w:rPr>
        <w:t>Categories</w:t>
      </w:r>
      <w:r w:rsidRPr="00531D85">
        <w:t>: Based on the evaluation, proposals will be categorized as Selectable or Not Selectable (see definitions below). The selection of one or more offerors for award will be based on the evaluation, as well as importance to agency programs and funding availability.</w:t>
      </w:r>
    </w:p>
    <w:p w14:paraId="566C08E8" w14:textId="77777777" w:rsidR="00D13522" w:rsidRPr="00531D85" w:rsidRDefault="00D13522" w:rsidP="00D13522">
      <w:pPr>
        <w:ind w:left="1440"/>
        <w:rPr>
          <w:rFonts w:ascii="Times New Roman" w:hAnsi="Times New Roman" w:cs="Times New Roman"/>
          <w:sz w:val="24"/>
          <w:szCs w:val="24"/>
        </w:rPr>
      </w:pPr>
    </w:p>
    <w:p w14:paraId="099E96AF" w14:textId="77777777" w:rsidR="00D13522" w:rsidRPr="00531D85" w:rsidRDefault="00D13522" w:rsidP="00D13522">
      <w:pPr>
        <w:pStyle w:val="ListParagraph"/>
        <w:numPr>
          <w:ilvl w:val="1"/>
          <w:numId w:val="8"/>
        </w:numPr>
        <w:autoSpaceDE/>
        <w:autoSpaceDN/>
        <w:adjustRightInd/>
        <w:contextualSpacing/>
      </w:pPr>
      <w:r w:rsidRPr="00531D85">
        <w:rPr>
          <w:b/>
          <w:bCs/>
        </w:rPr>
        <w:t xml:space="preserve">Selectable: </w:t>
      </w:r>
      <w:r w:rsidRPr="00531D85">
        <w:t xml:space="preserve">Proposals are recommended for acceptance, if sufficient funding* is available.  </w:t>
      </w:r>
    </w:p>
    <w:p w14:paraId="2407685B" w14:textId="77777777" w:rsidR="00D13522" w:rsidRPr="00531D85" w:rsidRDefault="00D13522" w:rsidP="00D13522">
      <w:pPr>
        <w:pStyle w:val="ListParagraph"/>
        <w:numPr>
          <w:ilvl w:val="1"/>
          <w:numId w:val="8"/>
        </w:numPr>
        <w:autoSpaceDE/>
        <w:autoSpaceDN/>
        <w:adjustRightInd/>
        <w:contextualSpacing/>
      </w:pPr>
      <w:r w:rsidRPr="00531D85">
        <w:rPr>
          <w:b/>
          <w:bCs/>
        </w:rPr>
        <w:t xml:space="preserve">Not Selectable: </w:t>
      </w:r>
      <w:r w:rsidRPr="00531D85">
        <w:t>Even if sufficient funding existed, the proposal should not be funded.</w:t>
      </w:r>
    </w:p>
    <w:p w14:paraId="4B3B280D" w14:textId="77777777" w:rsidR="00D13522" w:rsidRPr="00531D85" w:rsidRDefault="00D13522" w:rsidP="00D13522">
      <w:pPr>
        <w:ind w:left="1440"/>
        <w:rPr>
          <w:rFonts w:ascii="Times New Roman" w:hAnsi="Times New Roman" w:cs="Times New Roman"/>
          <w:sz w:val="24"/>
          <w:szCs w:val="24"/>
        </w:rPr>
      </w:pPr>
    </w:p>
    <w:p w14:paraId="377C4F05" w14:textId="77777777" w:rsidR="00D13522" w:rsidRPr="00531D85" w:rsidRDefault="00D13522" w:rsidP="00D13522">
      <w:pPr>
        <w:ind w:left="1080"/>
        <w:rPr>
          <w:rFonts w:ascii="Times New Roman" w:hAnsi="Times New Roman" w:cs="Times New Roman"/>
          <w:i/>
          <w:color w:val="000000"/>
          <w:sz w:val="24"/>
          <w:szCs w:val="24"/>
        </w:rPr>
      </w:pPr>
      <w:r w:rsidRPr="00531D85">
        <w:rPr>
          <w:rFonts w:ascii="Times New Roman" w:hAnsi="Times New Roman" w:cs="Times New Roman"/>
          <w:i/>
          <w:sz w:val="24"/>
          <w:szCs w:val="24"/>
        </w:rPr>
        <w:t xml:space="preserve">*Selectable proposals will be designated as funded or unfunded.  </w:t>
      </w:r>
      <w:r w:rsidRPr="00531D85">
        <w:rPr>
          <w:rFonts w:ascii="Times New Roman" w:hAnsi="Times New Roman" w:cs="Times New Roman"/>
          <w:i/>
          <w:color w:val="000000"/>
          <w:sz w:val="24"/>
          <w:szCs w:val="24"/>
        </w:rPr>
        <w:t xml:space="preserve">Letters will be sent to the unfunded offerors. These proposals may be funded </w:t>
      </w:r>
      <w:proofErr w:type="gramStart"/>
      <w:r w:rsidRPr="00531D85">
        <w:rPr>
          <w:rFonts w:ascii="Times New Roman" w:hAnsi="Times New Roman" w:cs="Times New Roman"/>
          <w:i/>
          <w:color w:val="000000"/>
          <w:sz w:val="24"/>
          <w:szCs w:val="24"/>
        </w:rPr>
        <w:t>at a later date</w:t>
      </w:r>
      <w:proofErr w:type="gramEnd"/>
      <w:r w:rsidRPr="00531D85">
        <w:rPr>
          <w:rFonts w:ascii="Times New Roman" w:hAnsi="Times New Roman" w:cs="Times New Roman"/>
          <w:i/>
          <w:color w:val="000000"/>
          <w:sz w:val="24"/>
          <w:szCs w:val="24"/>
        </w:rPr>
        <w:t xml:space="preserve"> without reevaluation, if funding becomes available.</w:t>
      </w:r>
    </w:p>
    <w:p w14:paraId="36F0338E" w14:textId="77777777" w:rsidR="00D13522" w:rsidRPr="00531D85" w:rsidRDefault="00D13522" w:rsidP="00D13522">
      <w:pPr>
        <w:ind w:left="1440"/>
        <w:contextualSpacing/>
        <w:rPr>
          <w:rFonts w:ascii="Times New Roman" w:hAnsi="Times New Roman" w:cs="Times New Roman"/>
          <w:sz w:val="24"/>
          <w:szCs w:val="24"/>
        </w:rPr>
      </w:pPr>
    </w:p>
    <w:p w14:paraId="37F6A607" w14:textId="77777777" w:rsidR="00D13522" w:rsidRPr="00531D85" w:rsidRDefault="00D13522" w:rsidP="00D13522">
      <w:pPr>
        <w:pStyle w:val="ListParagraph"/>
        <w:numPr>
          <w:ilvl w:val="0"/>
          <w:numId w:val="7"/>
        </w:numPr>
        <w:autoSpaceDE/>
        <w:autoSpaceDN/>
        <w:adjustRightInd/>
        <w:ind w:left="720"/>
        <w:contextualSpacing/>
      </w:pPr>
      <w:r w:rsidRPr="00531D85">
        <w:t xml:space="preserve">The Government reserves the right to award some, all, or none of the proposals. When the Government elects to award only a part of a proposal, the selected part may be categorized as Selectable, though the proposal </w:t>
      </w:r>
      <w:proofErr w:type="gramStart"/>
      <w:r w:rsidRPr="00531D85">
        <w:t>as a whole may</w:t>
      </w:r>
      <w:proofErr w:type="gramEnd"/>
      <w:r w:rsidRPr="00531D85">
        <w:t xml:space="preserve"> not merit such a categorization.</w:t>
      </w:r>
    </w:p>
    <w:p w14:paraId="0C4C3369" w14:textId="77777777" w:rsidR="00D13522" w:rsidRPr="00531D85" w:rsidRDefault="00D13522" w:rsidP="00D13522">
      <w:pPr>
        <w:pStyle w:val="ListParagraph"/>
      </w:pPr>
    </w:p>
    <w:p w14:paraId="625D06F4" w14:textId="0ADFD400" w:rsidR="00D13522" w:rsidRPr="00531D85" w:rsidRDefault="00D13522" w:rsidP="00D13522">
      <w:pPr>
        <w:pStyle w:val="ListParagraph"/>
        <w:numPr>
          <w:ilvl w:val="0"/>
          <w:numId w:val="7"/>
        </w:numPr>
        <w:autoSpaceDE/>
        <w:autoSpaceDN/>
        <w:adjustRightInd/>
        <w:ind w:left="720"/>
        <w:contextualSpacing/>
        <w:rPr>
          <w:b/>
          <w:bCs/>
        </w:rPr>
      </w:pPr>
      <w:r w:rsidRPr="00531D85">
        <w:rPr>
          <w:b/>
          <w:bCs/>
        </w:rPr>
        <w:t>In parallel with the technical evaluation, the Government will review the SF424</w:t>
      </w:r>
      <w:r w:rsidR="00531D85" w:rsidRPr="00531D85">
        <w:rPr>
          <w:b/>
          <w:bCs/>
        </w:rPr>
        <w:t xml:space="preserve"> (for assistance instruments), the Research and Related Senior and Key Person Profile Worksheet (for FAR based or Other Transactions),</w:t>
      </w:r>
      <w:r w:rsidRPr="00531D85">
        <w:rPr>
          <w:b/>
          <w:bCs/>
        </w:rPr>
        <w:t xml:space="preserve"> and Security Program Questionnaire</w:t>
      </w:r>
      <w:r w:rsidR="00531D85" w:rsidRPr="00531D85">
        <w:rPr>
          <w:b/>
          <w:bCs/>
        </w:rPr>
        <w:t xml:space="preserve"> and Privacy Act Statement</w:t>
      </w:r>
      <w:r w:rsidRPr="00531D85">
        <w:rPr>
          <w:b/>
          <w:bCs/>
        </w:rPr>
        <w:t xml:space="preserve"> submitted by the Contractor </w:t>
      </w:r>
      <w:proofErr w:type="gramStart"/>
      <w:r w:rsidRPr="00531D85">
        <w:rPr>
          <w:b/>
          <w:bCs/>
        </w:rPr>
        <w:t>in order to</w:t>
      </w:r>
      <w:proofErr w:type="gramEnd"/>
      <w:r w:rsidRPr="00531D85">
        <w:rPr>
          <w:b/>
          <w:bCs/>
        </w:rPr>
        <w:t xml:space="preserve"> satisfy the S&amp;T Protection requirements IAW AFRLI 61-113. In the event a security risk is </w:t>
      </w:r>
      <w:proofErr w:type="gramStart"/>
      <w:r w:rsidRPr="00531D85">
        <w:rPr>
          <w:b/>
          <w:bCs/>
        </w:rPr>
        <w:t>identified</w:t>
      </w:r>
      <w:proofErr w:type="gramEnd"/>
      <w:r w:rsidRPr="00531D85">
        <w:rPr>
          <w:b/>
          <w:bCs/>
        </w:rPr>
        <w:t xml:space="preserve"> and the Government has determined the security risk exceeds the acceptable threshold, the Offeror will be notified and informed of the declination of award.</w:t>
      </w:r>
    </w:p>
    <w:p w14:paraId="367CBEE1" w14:textId="77777777" w:rsidR="00D13522" w:rsidRPr="00531D85" w:rsidRDefault="00D13522" w:rsidP="00531D85">
      <w:pPr>
        <w:rPr>
          <w:rFonts w:ascii="Times New Roman" w:hAnsi="Times New Roman" w:cs="Times New Roman"/>
          <w:sz w:val="24"/>
          <w:szCs w:val="24"/>
        </w:rPr>
      </w:pPr>
    </w:p>
    <w:p w14:paraId="6AB390E8" w14:textId="77777777" w:rsidR="00D13522" w:rsidRPr="00531D85" w:rsidRDefault="00D13522" w:rsidP="00D13522">
      <w:pPr>
        <w:pStyle w:val="ListParagraph"/>
        <w:numPr>
          <w:ilvl w:val="0"/>
          <w:numId w:val="7"/>
        </w:numPr>
        <w:autoSpaceDE/>
        <w:autoSpaceDN/>
        <w:adjustRightInd/>
        <w:ind w:left="720"/>
        <w:contextualSpacing/>
      </w:pPr>
      <w:r w:rsidRPr="00531D85">
        <w:t xml:space="preserve">Proposal Risk Assessment: Proposals’ technical, cost, and schedule risk will be assessed as part of the above evaluation criteria’s application. Proposal risk relates to the identification and assessment of the risks associated with an offeror's proposed approach as it relates to accomplishing the proposed effort. Tradeoffs of the assessed risk will be weighed against the potential scientific benefit. Proposal risk for schedule relates to an </w:t>
      </w:r>
      <w:r w:rsidRPr="00531D85">
        <w:lastRenderedPageBreak/>
        <w:t>assessment of the risks associated with the offeror's proposed number of hours, labor categories, materials, or other cost elements as it relates to meeting the proposed period of performance.</w:t>
      </w:r>
    </w:p>
    <w:p w14:paraId="05CB05F4" w14:textId="77777777" w:rsidR="00D13522" w:rsidRPr="00531D85" w:rsidRDefault="00D13522" w:rsidP="00D13522">
      <w:pPr>
        <w:ind w:left="1080"/>
        <w:rPr>
          <w:rFonts w:ascii="Times New Roman" w:hAnsi="Times New Roman" w:cs="Times New Roman"/>
          <w:sz w:val="24"/>
          <w:szCs w:val="24"/>
        </w:rPr>
      </w:pPr>
    </w:p>
    <w:p w14:paraId="58B003CF" w14:textId="77777777" w:rsidR="00D13522" w:rsidRPr="00531D85" w:rsidRDefault="00D13522" w:rsidP="00D13522">
      <w:pPr>
        <w:pStyle w:val="ListParagraph"/>
        <w:numPr>
          <w:ilvl w:val="0"/>
          <w:numId w:val="7"/>
        </w:numPr>
        <w:autoSpaceDE/>
        <w:autoSpaceDN/>
        <w:adjustRightInd/>
        <w:ind w:left="720"/>
        <w:contextualSpacing/>
      </w:pPr>
      <w:r w:rsidRPr="00531D85">
        <w:t xml:space="preserve">Prior to award of a potentially successful offer, the Contracting Officer will </w:t>
      </w:r>
      <w:proofErr w:type="gramStart"/>
      <w:r w:rsidRPr="00531D85">
        <w:t>make a determination</w:t>
      </w:r>
      <w:proofErr w:type="gramEnd"/>
      <w:r w:rsidRPr="00531D85">
        <w:t xml:space="preserve"> regarding price reasonableness and realism.</w:t>
      </w:r>
    </w:p>
    <w:p w14:paraId="0CA21E6D" w14:textId="77777777" w:rsidR="00D13522" w:rsidRPr="00531D85" w:rsidRDefault="00D13522" w:rsidP="00664FAE">
      <w:pPr>
        <w:rPr>
          <w:rFonts w:ascii="Times New Roman" w:hAnsi="Times New Roman" w:cs="Times New Roman"/>
          <w:sz w:val="24"/>
          <w:szCs w:val="24"/>
        </w:rPr>
      </w:pPr>
    </w:p>
    <w:p w14:paraId="4698349B" w14:textId="77777777" w:rsidR="00531D85" w:rsidRPr="00531D85" w:rsidRDefault="00531D85" w:rsidP="00664FAE">
      <w:pPr>
        <w:rPr>
          <w:rFonts w:ascii="Times New Roman" w:hAnsi="Times New Roman" w:cs="Times New Roman"/>
          <w:sz w:val="24"/>
          <w:szCs w:val="24"/>
        </w:rPr>
      </w:pPr>
    </w:p>
    <w:p w14:paraId="681F1197" w14:textId="24C075A2" w:rsidR="00531D85" w:rsidRPr="00531D85" w:rsidRDefault="00531D85" w:rsidP="00664FAE">
      <w:pPr>
        <w:rPr>
          <w:rFonts w:ascii="Times New Roman" w:hAnsi="Times New Roman" w:cs="Times New Roman"/>
          <w:b/>
          <w:bCs/>
          <w:sz w:val="24"/>
          <w:szCs w:val="24"/>
        </w:rPr>
      </w:pPr>
      <w:r w:rsidRPr="00531D85">
        <w:rPr>
          <w:rFonts w:ascii="Times New Roman" w:hAnsi="Times New Roman" w:cs="Times New Roman"/>
          <w:b/>
          <w:bCs/>
          <w:sz w:val="24"/>
          <w:szCs w:val="24"/>
        </w:rPr>
        <w:t>N</w:t>
      </w:r>
      <w:r>
        <w:rPr>
          <w:rFonts w:ascii="Times New Roman" w:hAnsi="Times New Roman" w:cs="Times New Roman"/>
          <w:b/>
          <w:bCs/>
          <w:sz w:val="24"/>
          <w:szCs w:val="24"/>
        </w:rPr>
        <w:t xml:space="preserve">o other changes are made. </w:t>
      </w:r>
    </w:p>
    <w:sectPr w:rsidR="00531D85" w:rsidRPr="00531D85" w:rsidSect="00842732">
      <w:headerReference w:type="first" r:id="rId11"/>
      <w:pgSz w:w="12240" w:h="15840"/>
      <w:pgMar w:top="189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B00A1" w14:textId="77777777" w:rsidR="00D53EC6" w:rsidRDefault="00D53EC6" w:rsidP="00842732">
      <w:pPr>
        <w:spacing w:after="0" w:line="240" w:lineRule="auto"/>
      </w:pPr>
      <w:r>
        <w:separator/>
      </w:r>
    </w:p>
  </w:endnote>
  <w:endnote w:type="continuationSeparator" w:id="0">
    <w:p w14:paraId="137C6EE6" w14:textId="77777777" w:rsidR="00D53EC6" w:rsidRDefault="00D53EC6" w:rsidP="00842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05105" w14:textId="77777777" w:rsidR="00D53EC6" w:rsidRDefault="00D53EC6" w:rsidP="00842732">
      <w:pPr>
        <w:spacing w:after="0" w:line="240" w:lineRule="auto"/>
      </w:pPr>
      <w:r>
        <w:separator/>
      </w:r>
    </w:p>
  </w:footnote>
  <w:footnote w:type="continuationSeparator" w:id="0">
    <w:p w14:paraId="162C574B" w14:textId="77777777" w:rsidR="00D53EC6" w:rsidRDefault="00D53EC6" w:rsidP="00842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7E120" w14:textId="77777777" w:rsidR="00842732" w:rsidRDefault="008427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3"/>
      <w:numFmt w:val="lowerLetter"/>
      <w:lvlText w:val="%1."/>
      <w:lvlJc w:val="left"/>
      <w:pPr>
        <w:ind w:left="474" w:hanging="360"/>
      </w:pPr>
      <w:rPr>
        <w:rFonts w:ascii="Times New Roman" w:hAnsi="Times New Roman" w:cs="Times New Roman"/>
        <w:b w:val="0"/>
        <w:bCs w:val="0"/>
        <w:i/>
        <w:iCs/>
        <w:spacing w:val="-1"/>
        <w:w w:val="100"/>
        <w:sz w:val="24"/>
        <w:szCs w:val="24"/>
      </w:rPr>
    </w:lvl>
    <w:lvl w:ilvl="1">
      <w:start w:val="1"/>
      <w:numFmt w:val="lowerRoman"/>
      <w:lvlText w:val="%2."/>
      <w:lvlJc w:val="left"/>
      <w:pPr>
        <w:ind w:left="1194" w:hanging="488"/>
      </w:pPr>
      <w:rPr>
        <w:rFonts w:ascii="Times New Roman" w:hAnsi="Times New Roman" w:cs="Times New Roman"/>
        <w:b w:val="0"/>
        <w:bCs w:val="0"/>
        <w:i/>
        <w:iCs/>
        <w:spacing w:val="0"/>
        <w:w w:val="100"/>
        <w:sz w:val="24"/>
        <w:szCs w:val="24"/>
      </w:rPr>
    </w:lvl>
    <w:lvl w:ilvl="2">
      <w:numFmt w:val="bullet"/>
      <w:lvlText w:val="•"/>
      <w:lvlJc w:val="left"/>
      <w:pPr>
        <w:ind w:left="2097" w:hanging="488"/>
      </w:pPr>
    </w:lvl>
    <w:lvl w:ilvl="3">
      <w:numFmt w:val="bullet"/>
      <w:lvlText w:val="•"/>
      <w:lvlJc w:val="left"/>
      <w:pPr>
        <w:ind w:left="2995" w:hanging="488"/>
      </w:pPr>
    </w:lvl>
    <w:lvl w:ilvl="4">
      <w:numFmt w:val="bullet"/>
      <w:lvlText w:val="•"/>
      <w:lvlJc w:val="left"/>
      <w:pPr>
        <w:ind w:left="3893" w:hanging="488"/>
      </w:pPr>
    </w:lvl>
    <w:lvl w:ilvl="5">
      <w:numFmt w:val="bullet"/>
      <w:lvlText w:val="•"/>
      <w:lvlJc w:val="left"/>
      <w:pPr>
        <w:ind w:left="4791" w:hanging="488"/>
      </w:pPr>
    </w:lvl>
    <w:lvl w:ilvl="6">
      <w:numFmt w:val="bullet"/>
      <w:lvlText w:val="•"/>
      <w:lvlJc w:val="left"/>
      <w:pPr>
        <w:ind w:left="5688" w:hanging="488"/>
      </w:pPr>
    </w:lvl>
    <w:lvl w:ilvl="7">
      <w:numFmt w:val="bullet"/>
      <w:lvlText w:val="•"/>
      <w:lvlJc w:val="left"/>
      <w:pPr>
        <w:ind w:left="6586" w:hanging="488"/>
      </w:pPr>
    </w:lvl>
    <w:lvl w:ilvl="8">
      <w:numFmt w:val="bullet"/>
      <w:lvlText w:val="•"/>
      <w:lvlJc w:val="left"/>
      <w:pPr>
        <w:ind w:left="7484" w:hanging="488"/>
      </w:pPr>
    </w:lvl>
  </w:abstractNum>
  <w:abstractNum w:abstractNumId="1" w15:restartNumberingAfterBreak="0">
    <w:nsid w:val="28865FF6"/>
    <w:multiLevelType w:val="hybridMultilevel"/>
    <w:tmpl w:val="6818E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232B6"/>
    <w:multiLevelType w:val="hybridMultilevel"/>
    <w:tmpl w:val="9A1A8022"/>
    <w:lvl w:ilvl="0" w:tplc="04090019">
      <w:start w:val="1"/>
      <w:numFmt w:val="lowerLetter"/>
      <w:lvlText w:val="%1."/>
      <w:lvlJc w:val="left"/>
      <w:pPr>
        <w:ind w:left="720" w:hanging="360"/>
      </w:pPr>
      <w:rPr>
        <w:rFonts w:hint="default"/>
        <w:b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E5D2C"/>
    <w:multiLevelType w:val="hybridMultilevel"/>
    <w:tmpl w:val="448886FE"/>
    <w:lvl w:ilvl="0" w:tplc="04090017">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69095C63"/>
    <w:multiLevelType w:val="hybridMultilevel"/>
    <w:tmpl w:val="72407DCA"/>
    <w:lvl w:ilvl="0" w:tplc="DFB84E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DB54F4"/>
    <w:multiLevelType w:val="hybridMultilevel"/>
    <w:tmpl w:val="D610C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1851ED"/>
    <w:multiLevelType w:val="hybridMultilevel"/>
    <w:tmpl w:val="6D749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EF78CE"/>
    <w:multiLevelType w:val="hybridMultilevel"/>
    <w:tmpl w:val="9BB64332"/>
    <w:lvl w:ilvl="0" w:tplc="FFFFFFFF">
      <w:start w:val="1"/>
      <w:numFmt w:val="lowerLetter"/>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7058000">
    <w:abstractNumId w:val="0"/>
  </w:num>
  <w:num w:numId="2" w16cid:durableId="1636330525">
    <w:abstractNumId w:val="5"/>
  </w:num>
  <w:num w:numId="3" w16cid:durableId="780877121">
    <w:abstractNumId w:val="1"/>
  </w:num>
  <w:num w:numId="4" w16cid:durableId="1216892512">
    <w:abstractNumId w:val="4"/>
  </w:num>
  <w:num w:numId="5" w16cid:durableId="427044631">
    <w:abstractNumId w:val="6"/>
  </w:num>
  <w:num w:numId="6" w16cid:durableId="1503407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8573782">
    <w:abstractNumId w:val="3"/>
  </w:num>
  <w:num w:numId="8" w16cid:durableId="9114995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FAE"/>
    <w:rsid w:val="00002A7C"/>
    <w:rsid w:val="00024004"/>
    <w:rsid w:val="000250A7"/>
    <w:rsid w:val="00036438"/>
    <w:rsid w:val="000500E4"/>
    <w:rsid w:val="000557DE"/>
    <w:rsid w:val="00056E74"/>
    <w:rsid w:val="00081476"/>
    <w:rsid w:val="0008177E"/>
    <w:rsid w:val="00082A41"/>
    <w:rsid w:val="0008516B"/>
    <w:rsid w:val="0008523B"/>
    <w:rsid w:val="00085EE7"/>
    <w:rsid w:val="000869B9"/>
    <w:rsid w:val="00090FFF"/>
    <w:rsid w:val="000A2D49"/>
    <w:rsid w:val="000A4109"/>
    <w:rsid w:val="000B5425"/>
    <w:rsid w:val="000B7425"/>
    <w:rsid w:val="000C035E"/>
    <w:rsid w:val="000D0650"/>
    <w:rsid w:val="000D1308"/>
    <w:rsid w:val="000D33CD"/>
    <w:rsid w:val="000E7446"/>
    <w:rsid w:val="000E7BAC"/>
    <w:rsid w:val="000F5B53"/>
    <w:rsid w:val="0010563E"/>
    <w:rsid w:val="00110C8D"/>
    <w:rsid w:val="0011441B"/>
    <w:rsid w:val="00124E30"/>
    <w:rsid w:val="001251CE"/>
    <w:rsid w:val="001311CC"/>
    <w:rsid w:val="001414B6"/>
    <w:rsid w:val="00160216"/>
    <w:rsid w:val="00181071"/>
    <w:rsid w:val="001813A9"/>
    <w:rsid w:val="001921EC"/>
    <w:rsid w:val="00195C35"/>
    <w:rsid w:val="001A36DE"/>
    <w:rsid w:val="001B73BD"/>
    <w:rsid w:val="001C1F31"/>
    <w:rsid w:val="001D370D"/>
    <w:rsid w:val="001D5E6F"/>
    <w:rsid w:val="001D6324"/>
    <w:rsid w:val="001E62AE"/>
    <w:rsid w:val="001F1646"/>
    <w:rsid w:val="00201184"/>
    <w:rsid w:val="002037E0"/>
    <w:rsid w:val="0020397E"/>
    <w:rsid w:val="002060EA"/>
    <w:rsid w:val="00213E7B"/>
    <w:rsid w:val="00237D07"/>
    <w:rsid w:val="00241F3C"/>
    <w:rsid w:val="00242D4E"/>
    <w:rsid w:val="00243D5D"/>
    <w:rsid w:val="0024454D"/>
    <w:rsid w:val="00253966"/>
    <w:rsid w:val="002603F2"/>
    <w:rsid w:val="00262913"/>
    <w:rsid w:val="00272462"/>
    <w:rsid w:val="00274273"/>
    <w:rsid w:val="00293F7E"/>
    <w:rsid w:val="002A0802"/>
    <w:rsid w:val="002A1B5E"/>
    <w:rsid w:val="002A7E70"/>
    <w:rsid w:val="002B79E0"/>
    <w:rsid w:val="002D36C0"/>
    <w:rsid w:val="002E54EF"/>
    <w:rsid w:val="002E7E81"/>
    <w:rsid w:val="002F078D"/>
    <w:rsid w:val="002F1D69"/>
    <w:rsid w:val="002F2368"/>
    <w:rsid w:val="002F2ED7"/>
    <w:rsid w:val="002F3E66"/>
    <w:rsid w:val="00310FB8"/>
    <w:rsid w:val="00320C3E"/>
    <w:rsid w:val="00324783"/>
    <w:rsid w:val="00340155"/>
    <w:rsid w:val="00340D0D"/>
    <w:rsid w:val="00342DBD"/>
    <w:rsid w:val="00354FFB"/>
    <w:rsid w:val="00366355"/>
    <w:rsid w:val="003765E2"/>
    <w:rsid w:val="00390F80"/>
    <w:rsid w:val="003942A6"/>
    <w:rsid w:val="003A0D83"/>
    <w:rsid w:val="003A5AEC"/>
    <w:rsid w:val="003C0AA5"/>
    <w:rsid w:val="003C2C89"/>
    <w:rsid w:val="003C3999"/>
    <w:rsid w:val="003E23EF"/>
    <w:rsid w:val="003E7E71"/>
    <w:rsid w:val="0040009F"/>
    <w:rsid w:val="004117AB"/>
    <w:rsid w:val="00422D79"/>
    <w:rsid w:val="00427A0E"/>
    <w:rsid w:val="00433853"/>
    <w:rsid w:val="00453646"/>
    <w:rsid w:val="004612E0"/>
    <w:rsid w:val="00473BE8"/>
    <w:rsid w:val="004763FF"/>
    <w:rsid w:val="004803F0"/>
    <w:rsid w:val="00485372"/>
    <w:rsid w:val="004863F0"/>
    <w:rsid w:val="00487BE4"/>
    <w:rsid w:val="00494981"/>
    <w:rsid w:val="004A5A98"/>
    <w:rsid w:val="004C2AAC"/>
    <w:rsid w:val="004D3C67"/>
    <w:rsid w:val="004D50E9"/>
    <w:rsid w:val="00500DD0"/>
    <w:rsid w:val="00503FAF"/>
    <w:rsid w:val="00505981"/>
    <w:rsid w:val="005071DD"/>
    <w:rsid w:val="00512E14"/>
    <w:rsid w:val="005266B1"/>
    <w:rsid w:val="00531D85"/>
    <w:rsid w:val="0053603A"/>
    <w:rsid w:val="00540F94"/>
    <w:rsid w:val="00544736"/>
    <w:rsid w:val="00547862"/>
    <w:rsid w:val="005500AB"/>
    <w:rsid w:val="00557F5D"/>
    <w:rsid w:val="00560781"/>
    <w:rsid w:val="0057169C"/>
    <w:rsid w:val="0057688F"/>
    <w:rsid w:val="00576CC9"/>
    <w:rsid w:val="005874DC"/>
    <w:rsid w:val="00597212"/>
    <w:rsid w:val="005A0015"/>
    <w:rsid w:val="005D2349"/>
    <w:rsid w:val="005E5233"/>
    <w:rsid w:val="00602E2C"/>
    <w:rsid w:val="00603B15"/>
    <w:rsid w:val="00607B1F"/>
    <w:rsid w:val="00610B37"/>
    <w:rsid w:val="00623D8A"/>
    <w:rsid w:val="0064353E"/>
    <w:rsid w:val="006438E5"/>
    <w:rsid w:val="00657F0E"/>
    <w:rsid w:val="00663AB5"/>
    <w:rsid w:val="006642E1"/>
    <w:rsid w:val="00664FAE"/>
    <w:rsid w:val="006863B8"/>
    <w:rsid w:val="006B0027"/>
    <w:rsid w:val="006B3B72"/>
    <w:rsid w:val="006C7DD6"/>
    <w:rsid w:val="006D698E"/>
    <w:rsid w:val="006E6936"/>
    <w:rsid w:val="00702DB6"/>
    <w:rsid w:val="00714054"/>
    <w:rsid w:val="007375A8"/>
    <w:rsid w:val="0073762F"/>
    <w:rsid w:val="00737A49"/>
    <w:rsid w:val="0074496A"/>
    <w:rsid w:val="00751F6A"/>
    <w:rsid w:val="007571BF"/>
    <w:rsid w:val="007578CB"/>
    <w:rsid w:val="00763D37"/>
    <w:rsid w:val="00791D30"/>
    <w:rsid w:val="007A44B2"/>
    <w:rsid w:val="007C07DC"/>
    <w:rsid w:val="007D761E"/>
    <w:rsid w:val="007E039B"/>
    <w:rsid w:val="007E48DF"/>
    <w:rsid w:val="00806750"/>
    <w:rsid w:val="00811FB1"/>
    <w:rsid w:val="00834295"/>
    <w:rsid w:val="00836B5F"/>
    <w:rsid w:val="00842732"/>
    <w:rsid w:val="00850D27"/>
    <w:rsid w:val="00852248"/>
    <w:rsid w:val="00861973"/>
    <w:rsid w:val="008631F1"/>
    <w:rsid w:val="008668EF"/>
    <w:rsid w:val="0086717D"/>
    <w:rsid w:val="008672AB"/>
    <w:rsid w:val="008873D5"/>
    <w:rsid w:val="008951ED"/>
    <w:rsid w:val="0089579A"/>
    <w:rsid w:val="00897C58"/>
    <w:rsid w:val="00897D62"/>
    <w:rsid w:val="008A1798"/>
    <w:rsid w:val="008A1DE9"/>
    <w:rsid w:val="008B41D9"/>
    <w:rsid w:val="008C711A"/>
    <w:rsid w:val="008F196D"/>
    <w:rsid w:val="008F1C52"/>
    <w:rsid w:val="008F6FA1"/>
    <w:rsid w:val="00911A11"/>
    <w:rsid w:val="009124E1"/>
    <w:rsid w:val="00932826"/>
    <w:rsid w:val="009333BE"/>
    <w:rsid w:val="00944862"/>
    <w:rsid w:val="009448FD"/>
    <w:rsid w:val="00962282"/>
    <w:rsid w:val="0096506B"/>
    <w:rsid w:val="00973859"/>
    <w:rsid w:val="009904E6"/>
    <w:rsid w:val="009B2C11"/>
    <w:rsid w:val="009B2F94"/>
    <w:rsid w:val="009B7FF6"/>
    <w:rsid w:val="009C215C"/>
    <w:rsid w:val="009C31AA"/>
    <w:rsid w:val="009D51C7"/>
    <w:rsid w:val="009D52B1"/>
    <w:rsid w:val="009E08CE"/>
    <w:rsid w:val="009F1829"/>
    <w:rsid w:val="009F1AC9"/>
    <w:rsid w:val="009F3FDA"/>
    <w:rsid w:val="009F4EC6"/>
    <w:rsid w:val="00A001A2"/>
    <w:rsid w:val="00A0402D"/>
    <w:rsid w:val="00A07589"/>
    <w:rsid w:val="00A10C1B"/>
    <w:rsid w:val="00A23190"/>
    <w:rsid w:val="00A3730C"/>
    <w:rsid w:val="00A410D2"/>
    <w:rsid w:val="00A51541"/>
    <w:rsid w:val="00A56CF1"/>
    <w:rsid w:val="00A638CD"/>
    <w:rsid w:val="00A648A4"/>
    <w:rsid w:val="00A66F28"/>
    <w:rsid w:val="00A8455D"/>
    <w:rsid w:val="00A84570"/>
    <w:rsid w:val="00AA2EC3"/>
    <w:rsid w:val="00AA740A"/>
    <w:rsid w:val="00AA7DB8"/>
    <w:rsid w:val="00AB1D0F"/>
    <w:rsid w:val="00AB565C"/>
    <w:rsid w:val="00AC4F05"/>
    <w:rsid w:val="00AD5355"/>
    <w:rsid w:val="00AE124E"/>
    <w:rsid w:val="00AF2A6C"/>
    <w:rsid w:val="00B0419E"/>
    <w:rsid w:val="00B06FB1"/>
    <w:rsid w:val="00B207B8"/>
    <w:rsid w:val="00B21B32"/>
    <w:rsid w:val="00B34A83"/>
    <w:rsid w:val="00B40678"/>
    <w:rsid w:val="00B4723C"/>
    <w:rsid w:val="00B6385D"/>
    <w:rsid w:val="00B7655F"/>
    <w:rsid w:val="00B85EE4"/>
    <w:rsid w:val="00B90F99"/>
    <w:rsid w:val="00B91017"/>
    <w:rsid w:val="00B9629D"/>
    <w:rsid w:val="00BA1FE4"/>
    <w:rsid w:val="00BB152A"/>
    <w:rsid w:val="00BB36A6"/>
    <w:rsid w:val="00BC4049"/>
    <w:rsid w:val="00BC56E9"/>
    <w:rsid w:val="00BD656E"/>
    <w:rsid w:val="00BE255E"/>
    <w:rsid w:val="00BE33D8"/>
    <w:rsid w:val="00BE6996"/>
    <w:rsid w:val="00BF1EC5"/>
    <w:rsid w:val="00BF396F"/>
    <w:rsid w:val="00C10F6B"/>
    <w:rsid w:val="00C22860"/>
    <w:rsid w:val="00C22B97"/>
    <w:rsid w:val="00C27997"/>
    <w:rsid w:val="00C327AB"/>
    <w:rsid w:val="00C37E03"/>
    <w:rsid w:val="00C40266"/>
    <w:rsid w:val="00C41048"/>
    <w:rsid w:val="00C47690"/>
    <w:rsid w:val="00C50B6D"/>
    <w:rsid w:val="00C56075"/>
    <w:rsid w:val="00C72CC0"/>
    <w:rsid w:val="00C72E18"/>
    <w:rsid w:val="00C8397C"/>
    <w:rsid w:val="00C95454"/>
    <w:rsid w:val="00CB54CD"/>
    <w:rsid w:val="00CC3579"/>
    <w:rsid w:val="00CD548B"/>
    <w:rsid w:val="00CD60BE"/>
    <w:rsid w:val="00CE2B3A"/>
    <w:rsid w:val="00CE730F"/>
    <w:rsid w:val="00CF298D"/>
    <w:rsid w:val="00CF3453"/>
    <w:rsid w:val="00CF60A8"/>
    <w:rsid w:val="00D029B9"/>
    <w:rsid w:val="00D03D80"/>
    <w:rsid w:val="00D13522"/>
    <w:rsid w:val="00D24102"/>
    <w:rsid w:val="00D317C1"/>
    <w:rsid w:val="00D42CD7"/>
    <w:rsid w:val="00D4678C"/>
    <w:rsid w:val="00D53EC6"/>
    <w:rsid w:val="00D5737E"/>
    <w:rsid w:val="00D72F79"/>
    <w:rsid w:val="00D81CB3"/>
    <w:rsid w:val="00D8282D"/>
    <w:rsid w:val="00D836C7"/>
    <w:rsid w:val="00D86082"/>
    <w:rsid w:val="00DA6E4A"/>
    <w:rsid w:val="00DB1837"/>
    <w:rsid w:val="00DB731B"/>
    <w:rsid w:val="00DC7FA9"/>
    <w:rsid w:val="00DD46EE"/>
    <w:rsid w:val="00DE18A6"/>
    <w:rsid w:val="00DF154D"/>
    <w:rsid w:val="00DF40DA"/>
    <w:rsid w:val="00E01AB6"/>
    <w:rsid w:val="00E12633"/>
    <w:rsid w:val="00E179DB"/>
    <w:rsid w:val="00E227ED"/>
    <w:rsid w:val="00E25744"/>
    <w:rsid w:val="00E25919"/>
    <w:rsid w:val="00E329EE"/>
    <w:rsid w:val="00E37024"/>
    <w:rsid w:val="00E370C0"/>
    <w:rsid w:val="00E4426B"/>
    <w:rsid w:val="00E456DB"/>
    <w:rsid w:val="00E4577C"/>
    <w:rsid w:val="00E56519"/>
    <w:rsid w:val="00E60EF5"/>
    <w:rsid w:val="00E62385"/>
    <w:rsid w:val="00E62649"/>
    <w:rsid w:val="00E63135"/>
    <w:rsid w:val="00E638FF"/>
    <w:rsid w:val="00E6476A"/>
    <w:rsid w:val="00E6717D"/>
    <w:rsid w:val="00E70D46"/>
    <w:rsid w:val="00E741B6"/>
    <w:rsid w:val="00E7537E"/>
    <w:rsid w:val="00E82119"/>
    <w:rsid w:val="00E85D58"/>
    <w:rsid w:val="00E97B91"/>
    <w:rsid w:val="00EB00C1"/>
    <w:rsid w:val="00EE03DB"/>
    <w:rsid w:val="00EE2417"/>
    <w:rsid w:val="00EE68A3"/>
    <w:rsid w:val="00EF4025"/>
    <w:rsid w:val="00EF4DD0"/>
    <w:rsid w:val="00F1098E"/>
    <w:rsid w:val="00F12D0C"/>
    <w:rsid w:val="00F13C4A"/>
    <w:rsid w:val="00F314B8"/>
    <w:rsid w:val="00F3652E"/>
    <w:rsid w:val="00F4243E"/>
    <w:rsid w:val="00F43EF1"/>
    <w:rsid w:val="00F50E54"/>
    <w:rsid w:val="00F570EF"/>
    <w:rsid w:val="00F67538"/>
    <w:rsid w:val="00F745EF"/>
    <w:rsid w:val="00F8099D"/>
    <w:rsid w:val="00F81C54"/>
    <w:rsid w:val="00F81FD7"/>
    <w:rsid w:val="00F9167A"/>
    <w:rsid w:val="00F973C0"/>
    <w:rsid w:val="00FB13F8"/>
    <w:rsid w:val="00FB5B3F"/>
    <w:rsid w:val="00FC5200"/>
    <w:rsid w:val="00FC5A7A"/>
    <w:rsid w:val="00FC763B"/>
    <w:rsid w:val="00FD7C5F"/>
    <w:rsid w:val="00FE1D08"/>
    <w:rsid w:val="00FE459D"/>
    <w:rsid w:val="00FE7E95"/>
    <w:rsid w:val="00FF0352"/>
    <w:rsid w:val="00FF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5B1E3"/>
  <w15:chartTrackingRefBased/>
  <w15:docId w15:val="{88B2C09C-0035-4B08-B14F-6121A266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36A6"/>
    <w:rPr>
      <w:sz w:val="16"/>
      <w:szCs w:val="16"/>
    </w:rPr>
  </w:style>
  <w:style w:type="paragraph" w:styleId="CommentText">
    <w:name w:val="annotation text"/>
    <w:basedOn w:val="Normal"/>
    <w:link w:val="CommentTextChar"/>
    <w:uiPriority w:val="99"/>
    <w:unhideWhenUsed/>
    <w:rsid w:val="00BB36A6"/>
    <w:pPr>
      <w:spacing w:line="240" w:lineRule="auto"/>
    </w:pPr>
    <w:rPr>
      <w:sz w:val="20"/>
      <w:szCs w:val="20"/>
    </w:rPr>
  </w:style>
  <w:style w:type="character" w:customStyle="1" w:styleId="CommentTextChar">
    <w:name w:val="Comment Text Char"/>
    <w:basedOn w:val="DefaultParagraphFont"/>
    <w:link w:val="CommentText"/>
    <w:uiPriority w:val="99"/>
    <w:rsid w:val="00BB36A6"/>
    <w:rPr>
      <w:sz w:val="20"/>
      <w:szCs w:val="20"/>
    </w:rPr>
  </w:style>
  <w:style w:type="paragraph" w:styleId="CommentSubject">
    <w:name w:val="annotation subject"/>
    <w:basedOn w:val="CommentText"/>
    <w:next w:val="CommentText"/>
    <w:link w:val="CommentSubjectChar"/>
    <w:uiPriority w:val="99"/>
    <w:semiHidden/>
    <w:unhideWhenUsed/>
    <w:rsid w:val="00BB36A6"/>
    <w:rPr>
      <w:b/>
      <w:bCs/>
    </w:rPr>
  </w:style>
  <w:style w:type="character" w:customStyle="1" w:styleId="CommentSubjectChar">
    <w:name w:val="Comment Subject Char"/>
    <w:basedOn w:val="CommentTextChar"/>
    <w:link w:val="CommentSubject"/>
    <w:uiPriority w:val="99"/>
    <w:semiHidden/>
    <w:rsid w:val="00BB36A6"/>
    <w:rPr>
      <w:b/>
      <w:bCs/>
      <w:sz w:val="20"/>
      <w:szCs w:val="20"/>
    </w:rPr>
  </w:style>
  <w:style w:type="paragraph" w:styleId="Revision">
    <w:name w:val="Revision"/>
    <w:hidden/>
    <w:uiPriority w:val="99"/>
    <w:semiHidden/>
    <w:rsid w:val="0010563E"/>
    <w:pPr>
      <w:spacing w:after="0" w:line="240" w:lineRule="auto"/>
    </w:pPr>
  </w:style>
  <w:style w:type="table" w:styleId="TableGrid">
    <w:name w:val="Table Grid"/>
    <w:basedOn w:val="TableNormal"/>
    <w:uiPriority w:val="39"/>
    <w:rsid w:val="009D5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179DB"/>
    <w:pPr>
      <w:autoSpaceDE w:val="0"/>
      <w:autoSpaceDN w:val="0"/>
      <w:adjustRightInd w:val="0"/>
      <w:spacing w:after="0" w:line="240" w:lineRule="auto"/>
    </w:pPr>
    <w:rPr>
      <w:rFonts w:ascii="Times New Roman" w:hAnsi="Times New Roman" w:cs="Times New Roman"/>
      <w:i/>
      <w:iCs/>
      <w:kern w:val="0"/>
      <w:sz w:val="24"/>
      <w:szCs w:val="24"/>
    </w:rPr>
  </w:style>
  <w:style w:type="character" w:customStyle="1" w:styleId="BodyTextChar">
    <w:name w:val="Body Text Char"/>
    <w:basedOn w:val="DefaultParagraphFont"/>
    <w:link w:val="BodyText"/>
    <w:uiPriority w:val="1"/>
    <w:rsid w:val="00E179DB"/>
    <w:rPr>
      <w:rFonts w:ascii="Times New Roman" w:hAnsi="Times New Roman" w:cs="Times New Roman"/>
      <w:i/>
      <w:iCs/>
      <w:kern w:val="0"/>
      <w:sz w:val="24"/>
      <w:szCs w:val="24"/>
    </w:rPr>
  </w:style>
  <w:style w:type="paragraph" w:styleId="ListParagraph">
    <w:name w:val="List Paragraph"/>
    <w:basedOn w:val="Normal"/>
    <w:uiPriority w:val="34"/>
    <w:qFormat/>
    <w:rsid w:val="00E179DB"/>
    <w:pPr>
      <w:autoSpaceDE w:val="0"/>
      <w:autoSpaceDN w:val="0"/>
      <w:adjustRightInd w:val="0"/>
      <w:spacing w:after="0" w:line="240" w:lineRule="auto"/>
      <w:ind w:left="1192" w:hanging="617"/>
    </w:pPr>
    <w:rPr>
      <w:rFonts w:ascii="Times New Roman" w:hAnsi="Times New Roman" w:cs="Times New Roman"/>
      <w:kern w:val="0"/>
      <w:sz w:val="24"/>
      <w:szCs w:val="24"/>
    </w:rPr>
  </w:style>
  <w:style w:type="paragraph" w:customStyle="1" w:styleId="Default">
    <w:name w:val="Default"/>
    <w:rsid w:val="00E179DB"/>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181071"/>
    <w:rPr>
      <w:color w:val="0563C1" w:themeColor="hyperlink"/>
      <w:u w:val="single"/>
    </w:rPr>
  </w:style>
  <w:style w:type="character" w:styleId="UnresolvedMention">
    <w:name w:val="Unresolved Mention"/>
    <w:basedOn w:val="DefaultParagraphFont"/>
    <w:uiPriority w:val="99"/>
    <w:semiHidden/>
    <w:unhideWhenUsed/>
    <w:rsid w:val="00181071"/>
    <w:rPr>
      <w:color w:val="605E5C"/>
      <w:shd w:val="clear" w:color="auto" w:fill="E1DFDD"/>
    </w:rPr>
  </w:style>
  <w:style w:type="paragraph" w:styleId="Header">
    <w:name w:val="header"/>
    <w:basedOn w:val="Normal"/>
    <w:link w:val="HeaderChar"/>
    <w:uiPriority w:val="99"/>
    <w:unhideWhenUsed/>
    <w:rsid w:val="00842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732"/>
  </w:style>
  <w:style w:type="paragraph" w:styleId="Footer">
    <w:name w:val="footer"/>
    <w:basedOn w:val="Normal"/>
    <w:link w:val="FooterChar"/>
    <w:uiPriority w:val="99"/>
    <w:unhideWhenUsed/>
    <w:rsid w:val="00842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732"/>
  </w:style>
  <w:style w:type="character" w:styleId="FollowedHyperlink">
    <w:name w:val="FollowedHyperlink"/>
    <w:basedOn w:val="DefaultParagraphFont"/>
    <w:uiPriority w:val="99"/>
    <w:semiHidden/>
    <w:unhideWhenUsed/>
    <w:rsid w:val="00C72E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FRL.RIOF@us.af.mil" TargetMode="External"/><Relationship Id="rId4" Type="http://schemas.openxmlformats.org/officeDocument/2006/relationships/settings" Target="settings.xml"/><Relationship Id="rId9" Type="http://schemas.openxmlformats.org/officeDocument/2006/relationships/hyperlink" Target="https://sam.gov/opp/5d5947ee115b4a49adc07d0bc4bc72e5/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D9B56-A860-45FE-BE2A-121F34DC753B}">
  <ds:schemaRefs>
    <ds:schemaRef ds:uri="http://schemas.openxmlformats.org/officeDocument/2006/bibliography"/>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3</TotalTime>
  <Pages>6</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CRONIN, PAUL E CIV USAF AFMC AFRL/JA</dc:creator>
  <cp:keywords/>
  <dc:description/>
  <cp:lastModifiedBy>BUCKLEY, AMBER M CIV USAF AFMC AFRL/RIKA</cp:lastModifiedBy>
  <cp:revision>2</cp:revision>
  <dcterms:created xsi:type="dcterms:W3CDTF">2024-10-04T16:06:00Z</dcterms:created>
  <dcterms:modified xsi:type="dcterms:W3CDTF">2024-10-04T16:06:00Z</dcterms:modified>
</cp:coreProperties>
</file>