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AD8F" w14:textId="77777777" w:rsidR="0074107F" w:rsidRDefault="0074107F" w:rsidP="000A1686">
      <w:pPr>
        <w:rPr>
          <w:rFonts w:ascii="Arial" w:hAnsi="Arial" w:cs="Arial"/>
          <w:sz w:val="20"/>
          <w:szCs w:val="20"/>
        </w:rPr>
      </w:pPr>
    </w:p>
    <w:p w14:paraId="5EEE5CDF" w14:textId="66C64716" w:rsidR="0074107F" w:rsidRDefault="0074107F" w:rsidP="000A16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Observations:</w:t>
      </w:r>
    </w:p>
    <w:p w14:paraId="659AAAC7" w14:textId="683B61A6" w:rsidR="0074107F" w:rsidRDefault="0074107F" w:rsidP="0074107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Observations at the org</w:t>
      </w:r>
    </w:p>
    <w:p w14:paraId="1E8DAD62" w14:textId="6C570D7B" w:rsidR="0074107F" w:rsidRDefault="0074107F" w:rsidP="0074107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Observations of the threat landscape</w:t>
      </w:r>
    </w:p>
    <w:p w14:paraId="2398D290" w14:textId="536A8C83" w:rsidR="0074107F" w:rsidRDefault="0074107F" w:rsidP="0074107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Observations on trends in TTPS</w:t>
      </w:r>
    </w:p>
    <w:p w14:paraId="63529297" w14:textId="7E009F9A" w:rsidR="0074107F" w:rsidRDefault="0074107F" w:rsidP="0074107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Observations that are sector or vertical specific</w:t>
      </w:r>
    </w:p>
    <w:p w14:paraId="6B10AA98" w14:textId="77777777" w:rsidR="0074107F" w:rsidRDefault="0074107F" w:rsidP="0074107F">
      <w:pPr>
        <w:rPr>
          <w:rFonts w:ascii="Arial" w:hAnsi="Arial" w:cs="Arial"/>
          <w:sz w:val="20"/>
          <w:szCs w:val="20"/>
        </w:rPr>
      </w:pPr>
    </w:p>
    <w:p w14:paraId="43E770B1" w14:textId="36C55F70" w:rsidR="0074107F" w:rsidRDefault="0074107F" w:rsidP="007410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Observations should tell a story about</w:t>
      </w:r>
    </w:p>
    <w:p w14:paraId="7430DC08" w14:textId="5D2B8598" w:rsidR="0074107F" w:rsidRDefault="0074107F" w:rsidP="0074107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Threat pressure</w:t>
      </w:r>
    </w:p>
    <w:p w14:paraId="06DF6D54" w14:textId="73E6C660" w:rsidR="0074107F" w:rsidRPr="0074107F" w:rsidRDefault="0074107F" w:rsidP="0074107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Threat actor TTPs including targeting, goals and sophistication</w:t>
      </w:r>
    </w:p>
    <w:p w14:paraId="43D0004B" w14:textId="5D4BF79C" w:rsidR="0074107F" w:rsidRDefault="0074107F" w:rsidP="0074107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Security control performance</w:t>
      </w:r>
    </w:p>
    <w:p w14:paraId="1F6A7A23" w14:textId="0707E3F4" w:rsidR="0074107F" w:rsidRDefault="0074107F" w:rsidP="0074107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Impact (if known)</w:t>
      </w:r>
    </w:p>
    <w:p w14:paraId="563987A8" w14:textId="77777777" w:rsidR="0074107F" w:rsidRDefault="0074107F" w:rsidP="0074107F">
      <w:pPr>
        <w:rPr>
          <w:rFonts w:ascii="Arial" w:hAnsi="Arial" w:cs="Arial"/>
          <w:sz w:val="20"/>
          <w:szCs w:val="20"/>
        </w:rPr>
      </w:pPr>
    </w:p>
    <w:p w14:paraId="4C39D692" w14:textId="68AC830A" w:rsidR="0074107F" w:rsidRDefault="0074107F" w:rsidP="007410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Predictions:</w:t>
      </w:r>
    </w:p>
    <w:p w14:paraId="7FE8AA4D" w14:textId="06369680" w:rsidR="0074107F" w:rsidRDefault="0074107F" w:rsidP="0074107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prediction should be tied to one or observations</w:t>
      </w:r>
    </w:p>
    <w:p w14:paraId="46798601" w14:textId="77777777" w:rsidR="0074107F" w:rsidRDefault="0074107F" w:rsidP="0074107F">
      <w:pPr>
        <w:rPr>
          <w:rFonts w:ascii="Arial" w:hAnsi="Arial" w:cs="Arial"/>
          <w:sz w:val="20"/>
          <w:szCs w:val="20"/>
        </w:rPr>
      </w:pPr>
    </w:p>
    <w:p w14:paraId="1614CC41" w14:textId="4DBC00D7" w:rsidR="0074107F" w:rsidRDefault="0074107F" w:rsidP="007410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Recommendations:</w:t>
      </w:r>
    </w:p>
    <w:p w14:paraId="01AC2BD4" w14:textId="406C721C" w:rsidR="0074107F" w:rsidRPr="0074107F" w:rsidRDefault="0074107F" w:rsidP="0074107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Should speak to steps that could be taken to change the prediction confidence levels or outcomes</w:t>
      </w:r>
    </w:p>
    <w:p w14:paraId="5B8F79C1" w14:textId="77777777" w:rsidR="0074107F" w:rsidRPr="0074107F" w:rsidRDefault="0074107F" w:rsidP="0074107F">
      <w:pPr>
        <w:rPr>
          <w:rFonts w:ascii="Arial" w:hAnsi="Arial" w:cs="Arial"/>
          <w:sz w:val="20"/>
          <w:szCs w:val="20"/>
        </w:rPr>
      </w:pPr>
    </w:p>
    <w:p w14:paraId="4C26B7D8" w14:textId="77777777" w:rsidR="000A1686" w:rsidRDefault="000A1686" w:rsidP="000A1686">
      <w:pPr>
        <w:rPr>
          <w:rFonts w:ascii="Arial" w:hAnsi="Arial" w:cs="Arial"/>
          <w:sz w:val="20"/>
          <w:szCs w:val="20"/>
        </w:rPr>
      </w:pPr>
    </w:p>
    <w:p w14:paraId="19B86AFA" w14:textId="3F3673FC" w:rsidR="000A1686" w:rsidRPr="0074107F" w:rsidRDefault="0074107F" w:rsidP="000A1686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Example of a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made up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Strategic Intel Report using this format:</w:t>
      </w:r>
    </w:p>
    <w:p w14:paraId="3B217643" w14:textId="77777777" w:rsidR="000A1686" w:rsidRDefault="000A1686" w:rsidP="000A1686">
      <w:pPr>
        <w:rPr>
          <w:rFonts w:ascii="Arial" w:hAnsi="Arial" w:cs="Arial"/>
          <w:sz w:val="20"/>
          <w:szCs w:val="20"/>
        </w:rPr>
      </w:pPr>
    </w:p>
    <w:p w14:paraId="0DC2B645" w14:textId="77777777" w:rsidR="000A1686" w:rsidRPr="000A1686" w:rsidRDefault="000A1686" w:rsidP="000A1686">
      <w:pPr>
        <w:rPr>
          <w:rFonts w:ascii="Arial" w:hAnsi="Arial" w:cs="Arial"/>
          <w:b/>
          <w:bCs/>
          <w:sz w:val="20"/>
          <w:szCs w:val="20"/>
        </w:rPr>
      </w:pPr>
      <w:r w:rsidRPr="000A1686">
        <w:rPr>
          <w:rFonts w:ascii="Arial" w:hAnsi="Arial" w:cs="Arial"/>
          <w:b/>
          <w:bCs/>
          <w:sz w:val="20"/>
          <w:szCs w:val="20"/>
        </w:rPr>
        <w:t>Observations:</w:t>
      </w:r>
    </w:p>
    <w:p w14:paraId="01D724F3" w14:textId="7777110A" w:rsidR="000A1686" w:rsidRDefault="000A1686" w:rsidP="000A168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[Organization] is targeted by credential theft attempts more that healthcare industry average</w:t>
      </w:r>
      <w:r w:rsidR="0074107F">
        <w:rPr>
          <w:rFonts w:ascii="Arial" w:eastAsia="Times New Roman" w:hAnsi="Arial" w:cs="Arial"/>
          <w:sz w:val="20"/>
          <w:szCs w:val="20"/>
        </w:rPr>
        <w:t>, indicating an increased threat pressure focused on credential theft</w:t>
      </w:r>
    </w:p>
    <w:p w14:paraId="35B13460" w14:textId="327CF445" w:rsidR="000A1686" w:rsidRDefault="000A1686" w:rsidP="000A168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Unauthorized access accounts for the most incident types</w:t>
      </w:r>
      <w:r w:rsidR="0074107F">
        <w:rPr>
          <w:rFonts w:ascii="Arial" w:eastAsia="Times New Roman" w:hAnsi="Arial" w:cs="Arial"/>
          <w:sz w:val="20"/>
          <w:szCs w:val="20"/>
        </w:rPr>
        <w:t xml:space="preserve"> at [Organization]</w:t>
      </w:r>
    </w:p>
    <w:p w14:paraId="6A332642" w14:textId="4C095E9C" w:rsidR="000A1686" w:rsidRDefault="0074107F" w:rsidP="000A168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threat landscape shows c</w:t>
      </w:r>
      <w:r w:rsidR="000A1686">
        <w:rPr>
          <w:rFonts w:ascii="Arial" w:eastAsia="Times New Roman" w:hAnsi="Arial" w:cs="Arial"/>
          <w:sz w:val="20"/>
          <w:szCs w:val="20"/>
        </w:rPr>
        <w:t>loud-conscious threat actors are focused on obtaining credentials for administrators</w:t>
      </w:r>
    </w:p>
    <w:p w14:paraId="474FAB96" w14:textId="2302EDE5" w:rsidR="000A1686" w:rsidRDefault="0074107F" w:rsidP="000A168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[Cloud Administrator team]</w:t>
      </w:r>
      <w:r w:rsidR="000A1686">
        <w:rPr>
          <w:rFonts w:ascii="Arial" w:eastAsia="Times New Roman" w:hAnsi="Arial" w:cs="Arial"/>
          <w:sz w:val="20"/>
          <w:szCs w:val="20"/>
        </w:rPr>
        <w:t xml:space="preserve"> is one of the top departments that receive malicious emails in their inboxes</w:t>
      </w:r>
    </w:p>
    <w:p w14:paraId="56766BC3" w14:textId="1CD42FE1" w:rsidR="000A1686" w:rsidRDefault="000A1686" w:rsidP="000A168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Exposed credentials and data exposure investigations account for </w:t>
      </w:r>
      <w:r w:rsidR="0074107F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% of incident investigations</w:t>
      </w:r>
      <w:r w:rsidR="0074107F">
        <w:rPr>
          <w:rFonts w:ascii="Arial" w:eastAsia="Times New Roman" w:hAnsi="Arial" w:cs="Arial"/>
          <w:sz w:val="20"/>
          <w:szCs w:val="20"/>
        </w:rPr>
        <w:t xml:space="preserve"> conducted by Security Operations Teams</w:t>
      </w:r>
    </w:p>
    <w:p w14:paraId="02D06AA5" w14:textId="77777777" w:rsidR="0074107F" w:rsidRDefault="0074107F" w:rsidP="0074107F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1811029E" w14:textId="77777777" w:rsidR="000A1686" w:rsidRPr="000A1686" w:rsidRDefault="000A1686" w:rsidP="000A1686">
      <w:pPr>
        <w:rPr>
          <w:rFonts w:ascii="Arial" w:hAnsi="Arial" w:cs="Arial"/>
          <w:b/>
          <w:bCs/>
          <w:sz w:val="20"/>
          <w:szCs w:val="20"/>
        </w:rPr>
      </w:pPr>
      <w:r w:rsidRPr="000A1686">
        <w:rPr>
          <w:rFonts w:ascii="Arial" w:hAnsi="Arial" w:cs="Arial"/>
          <w:b/>
          <w:bCs/>
          <w:sz w:val="20"/>
          <w:szCs w:val="20"/>
        </w:rPr>
        <w:t>Predictions:</w:t>
      </w:r>
    </w:p>
    <w:p w14:paraId="01F7DB03" w14:textId="245040CE" w:rsidR="0074107F" w:rsidRDefault="0074107F" w:rsidP="0074107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[Organization]</w:t>
      </w:r>
      <w:r w:rsidR="000A1686">
        <w:rPr>
          <w:rFonts w:ascii="Arial" w:eastAsia="Times New Roman" w:hAnsi="Arial" w:cs="Arial"/>
          <w:sz w:val="20"/>
          <w:szCs w:val="20"/>
        </w:rPr>
        <w:t xml:space="preserve"> is experiencing an increased threat pressure focused on credential theft, using campaigns which are using sophisticated enough campaigns to make it past or security controls and target technology administrators.</w:t>
      </w:r>
      <w:r>
        <w:rPr>
          <w:rFonts w:ascii="Arial" w:eastAsia="Times New Roman" w:hAnsi="Arial" w:cs="Arial"/>
          <w:sz w:val="20"/>
          <w:szCs w:val="20"/>
        </w:rPr>
        <w:t xml:space="preserve"> We expect to see a continuation (high confidence) of this behavior at a higher threat pressure than industry average.</w:t>
      </w:r>
    </w:p>
    <w:p w14:paraId="5E5377D1" w14:textId="7018799F" w:rsidR="0074107F" w:rsidRDefault="0074107F" w:rsidP="0074107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[Organization]</w:t>
      </w:r>
      <w:r w:rsidR="000A1686">
        <w:rPr>
          <w:rFonts w:ascii="Arial" w:eastAsia="Times New Roman" w:hAnsi="Arial" w:cs="Arial"/>
          <w:sz w:val="20"/>
          <w:szCs w:val="20"/>
        </w:rPr>
        <w:t xml:space="preserve"> playbooks for SOC response currently </w:t>
      </w:r>
      <w:r>
        <w:rPr>
          <w:rFonts w:ascii="Arial" w:eastAsia="Times New Roman" w:hAnsi="Arial" w:cs="Arial"/>
          <w:sz w:val="20"/>
          <w:szCs w:val="20"/>
        </w:rPr>
        <w:t>do not include</w:t>
      </w:r>
      <w:r w:rsidR="000A1686">
        <w:rPr>
          <w:rFonts w:ascii="Arial" w:eastAsia="Times New Roman" w:hAnsi="Arial" w:cs="Arial"/>
          <w:sz w:val="20"/>
          <w:szCs w:val="20"/>
        </w:rPr>
        <w:t xml:space="preserve"> emails with malicious attachments, </w:t>
      </w:r>
      <w:r>
        <w:rPr>
          <w:rFonts w:ascii="Arial" w:eastAsia="Times New Roman" w:hAnsi="Arial" w:cs="Arial"/>
          <w:sz w:val="20"/>
          <w:szCs w:val="20"/>
        </w:rPr>
        <w:t>and exposure</w:t>
      </w:r>
      <w:r w:rsidR="000A1686">
        <w:rPr>
          <w:rFonts w:ascii="Arial" w:eastAsia="Times New Roman" w:hAnsi="Arial" w:cs="Arial"/>
          <w:sz w:val="20"/>
          <w:szCs w:val="20"/>
        </w:rPr>
        <w:t xml:space="preserve"> credentials and data exposure investigations at an extremely low priority.</w:t>
      </w:r>
      <w:r>
        <w:rPr>
          <w:rFonts w:ascii="Arial" w:eastAsia="Times New Roman" w:hAnsi="Arial" w:cs="Arial"/>
          <w:sz w:val="20"/>
          <w:szCs w:val="20"/>
        </w:rPr>
        <w:t xml:space="preserve"> We expect that this gap in our security processes will result within a Sev 3-4 incident within 12-18 months.</w:t>
      </w:r>
    </w:p>
    <w:p w14:paraId="264A05D1" w14:textId="0765F7DC" w:rsidR="0074107F" w:rsidRDefault="0074107F" w:rsidP="0074107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There is no enhanced security training required for cloud engineers with critical administrative access.</w:t>
      </w:r>
      <w:r w:rsidR="000A1686">
        <w:rPr>
          <w:rFonts w:ascii="Arial" w:eastAsia="Times New Roman" w:hAnsi="Arial" w:cs="Arial"/>
          <w:sz w:val="20"/>
          <w:szCs w:val="20"/>
        </w:rPr>
        <w:t xml:space="preserve"> This represents an increased risk to </w:t>
      </w:r>
      <w:r>
        <w:rPr>
          <w:rFonts w:ascii="Arial" w:eastAsia="Times New Roman" w:hAnsi="Arial" w:cs="Arial"/>
          <w:sz w:val="20"/>
          <w:szCs w:val="20"/>
        </w:rPr>
        <w:t>[Organization] experiencing a Sev1 incident impacting our cloud environment.</w:t>
      </w:r>
    </w:p>
    <w:p w14:paraId="4B3C55DF" w14:textId="77777777" w:rsidR="0074107F" w:rsidRPr="0074107F" w:rsidRDefault="0074107F" w:rsidP="0074107F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4E8B3FC8" w14:textId="77777777" w:rsidR="000A1686" w:rsidRPr="000A1686" w:rsidRDefault="000A1686" w:rsidP="000A1686">
      <w:pPr>
        <w:rPr>
          <w:rFonts w:ascii="Arial" w:hAnsi="Arial" w:cs="Arial"/>
          <w:b/>
          <w:bCs/>
          <w:sz w:val="20"/>
          <w:szCs w:val="20"/>
        </w:rPr>
      </w:pPr>
      <w:r w:rsidRPr="000A1686">
        <w:rPr>
          <w:rFonts w:ascii="Arial" w:hAnsi="Arial" w:cs="Arial"/>
          <w:b/>
          <w:bCs/>
          <w:sz w:val="20"/>
          <w:szCs w:val="20"/>
        </w:rPr>
        <w:t>Security Strategy Recommendation:</w:t>
      </w:r>
    </w:p>
    <w:p w14:paraId="4F1AB1D3" w14:textId="6A842235" w:rsidR="000A1686" w:rsidRDefault="000A1686" w:rsidP="000A16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Consider targeting the </w:t>
      </w:r>
      <w:r w:rsidR="0074107F">
        <w:rPr>
          <w:rFonts w:ascii="Arial" w:eastAsia="Times New Roman" w:hAnsi="Arial" w:cs="Arial"/>
          <w:sz w:val="20"/>
          <w:szCs w:val="20"/>
        </w:rPr>
        <w:t>[Cloud Administrator team]</w:t>
      </w:r>
      <w:r>
        <w:rPr>
          <w:rFonts w:ascii="Arial" w:eastAsia="Times New Roman" w:hAnsi="Arial" w:cs="Arial"/>
          <w:sz w:val="20"/>
          <w:szCs w:val="20"/>
        </w:rPr>
        <w:t xml:space="preserve"> team for enhanced security training regarding MFA fatigue, MFA bombing, SIM swamping protection </w:t>
      </w:r>
    </w:p>
    <w:p w14:paraId="4E24C125" w14:textId="2867F8B8" w:rsidR="000A1686" w:rsidRDefault="000A1686" w:rsidP="000A16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Evaluate the cloud </w:t>
      </w:r>
      <w:proofErr w:type="gramStart"/>
      <w:r>
        <w:rPr>
          <w:rFonts w:ascii="Arial" w:eastAsia="Times New Roman" w:hAnsi="Arial" w:cs="Arial"/>
          <w:sz w:val="20"/>
          <w:szCs w:val="20"/>
        </w:rPr>
        <w:t>administrators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team’s messaging security rules</w:t>
      </w:r>
      <w:r w:rsidR="0074107F">
        <w:rPr>
          <w:rFonts w:ascii="Arial" w:eastAsia="Times New Roman" w:hAnsi="Arial" w:cs="Arial"/>
          <w:sz w:val="20"/>
          <w:szCs w:val="20"/>
        </w:rPr>
        <w:t xml:space="preserve"> in our email security appliance</w:t>
      </w:r>
      <w:r>
        <w:rPr>
          <w:rFonts w:ascii="Arial" w:eastAsia="Times New Roman" w:hAnsi="Arial" w:cs="Arial"/>
          <w:sz w:val="20"/>
          <w:szCs w:val="20"/>
        </w:rPr>
        <w:t xml:space="preserve"> for </w:t>
      </w:r>
      <w:r w:rsidR="0074107F">
        <w:rPr>
          <w:rFonts w:ascii="Arial" w:eastAsia="Times New Roman" w:hAnsi="Arial" w:cs="Arial"/>
          <w:sz w:val="20"/>
          <w:szCs w:val="20"/>
        </w:rPr>
        <w:t>risk reduction improvements</w:t>
      </w:r>
    </w:p>
    <w:p w14:paraId="47FE529C" w14:textId="2FD87E16" w:rsidR="00FF5FC9" w:rsidRPr="00F31F85" w:rsidRDefault="000A1686" w:rsidP="00A6664F">
      <w:pPr>
        <w:pStyle w:val="ListParagraph"/>
        <w:numPr>
          <w:ilvl w:val="0"/>
          <w:numId w:val="2"/>
        </w:numPr>
      </w:pPr>
      <w:r w:rsidRPr="0074107F">
        <w:rPr>
          <w:rFonts w:ascii="Arial" w:eastAsia="Times New Roman" w:hAnsi="Arial" w:cs="Arial"/>
          <w:sz w:val="20"/>
          <w:szCs w:val="20"/>
        </w:rPr>
        <w:t>Add additional playbooks for investigating malicious email attachments which have been continued to user’s inboxes</w:t>
      </w:r>
      <w:r w:rsidR="0074107F" w:rsidRPr="0074107F">
        <w:rPr>
          <w:rFonts w:ascii="Arial" w:eastAsia="Times New Roman" w:hAnsi="Arial" w:cs="Arial"/>
          <w:sz w:val="20"/>
          <w:szCs w:val="20"/>
        </w:rPr>
        <w:t xml:space="preserve"> for the SOC, which include removing the malicious emails from user’s inboxes quickly to reduce risk of a high severity incident</w:t>
      </w:r>
    </w:p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2F58" w14:textId="77777777" w:rsidR="00E45905" w:rsidRDefault="00E45905" w:rsidP="00AF278B">
      <w:r>
        <w:separator/>
      </w:r>
    </w:p>
  </w:endnote>
  <w:endnote w:type="continuationSeparator" w:id="0">
    <w:p w14:paraId="550BAEE6" w14:textId="77777777" w:rsidR="00E45905" w:rsidRDefault="00E45905" w:rsidP="00AF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CD2B" w14:textId="77777777" w:rsidR="00E45905" w:rsidRDefault="00E45905" w:rsidP="00AF278B">
      <w:r>
        <w:separator/>
      </w:r>
    </w:p>
  </w:footnote>
  <w:footnote w:type="continuationSeparator" w:id="0">
    <w:p w14:paraId="2F7AAD5B" w14:textId="77777777" w:rsidR="00E45905" w:rsidRDefault="00E45905" w:rsidP="00AF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82E"/>
    <w:multiLevelType w:val="hybridMultilevel"/>
    <w:tmpl w:val="8D54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3A62"/>
    <w:multiLevelType w:val="hybridMultilevel"/>
    <w:tmpl w:val="20C8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7418"/>
    <w:multiLevelType w:val="hybridMultilevel"/>
    <w:tmpl w:val="22C8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875FF"/>
    <w:multiLevelType w:val="hybridMultilevel"/>
    <w:tmpl w:val="3908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C2AAE"/>
    <w:multiLevelType w:val="hybridMultilevel"/>
    <w:tmpl w:val="3AEA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9461">
    <w:abstractNumId w:val="1"/>
  </w:num>
  <w:num w:numId="2" w16cid:durableId="1497913846">
    <w:abstractNumId w:val="3"/>
  </w:num>
  <w:num w:numId="3" w16cid:durableId="2039815691">
    <w:abstractNumId w:val="1"/>
  </w:num>
  <w:num w:numId="4" w16cid:durableId="509376057">
    <w:abstractNumId w:val="2"/>
  </w:num>
  <w:num w:numId="5" w16cid:durableId="302278478">
    <w:abstractNumId w:val="4"/>
  </w:num>
  <w:num w:numId="6" w16cid:durableId="65090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8B"/>
    <w:rsid w:val="000A1686"/>
    <w:rsid w:val="003067F7"/>
    <w:rsid w:val="004D0E76"/>
    <w:rsid w:val="0074107F"/>
    <w:rsid w:val="00AF278B"/>
    <w:rsid w:val="00E45905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B83C5"/>
  <w15:chartTrackingRefBased/>
  <w15:docId w15:val="{3F6DB59E-AF10-4C73-AD46-D79CD4B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686"/>
    <w:pPr>
      <w:spacing w:after="0" w:line="240" w:lineRule="auto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8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cybershujin</dc:creator>
  <cp:keywords/>
  <dc:description/>
  <cp:lastModifiedBy>Rachel James</cp:lastModifiedBy>
  <cp:revision>3</cp:revision>
  <dcterms:created xsi:type="dcterms:W3CDTF">2023-12-20T19:10:00Z</dcterms:created>
  <dcterms:modified xsi:type="dcterms:W3CDTF">2024-03-10T17:22:00Z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2023-12-20T19:10:51Z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c0f93483-9eb5-4fc4-a2d6-616d6cb9e41d</vt:lpwstr>
  </property>
  <property fmtid="{D5CDD505-2E9C-101B-9397-08002B2CF9AE}" pid="8" name="MSIP_Label_3c9bec58-8084-492e-8360-0e1cfe36408c_ContentBits">
    <vt:lpwstr>0</vt:lpwstr>
  </property>
</Properties>
</file>