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40"/>
        <w:tblBorders>
          <w:top w:val="none" w:color="FFFFFF" w:sz="0"/>
          <w:left w:val="none" w:color="FFFFFF" w:sz="0"/>
          <w:bottom w:val="none" w:color="FFFFFF" w:sz="0"/>
          <w:right w:val="none" w:color="FFFFFF" w:sz="0"/>
          <w:insideH w:val="none" w:color="FFFFFF" w:sz="0"/>
          <w:insideV w:val="none" w:color="FFFFFF" w:sz="0"/>
        </w:tblBorders>
      </w:tblPr>
      <w:tblGrid>
        <w:gridCol w:w="9440"/>
        <w:gridCol w:w="1500"/>
      </w:tblGrid>
      <w:tr>
        <w:tc>
          <w:tcPr>
            <w:tcW w:type="dxa" w:w="9440"/>
            <w:tcMar>
              <w:top w:type="dxa" w:w="0"/>
              <w:left w:type="dxa" w:w="0"/>
              <w:bottom w:type="dxa" w:w="0"/>
              <w:right w:type="dxa" w:w="0"/>
            </w:tcMar>
          </w:tcPr>
          <w:p>
            <w:pPr>
              <w:spacing w:after="15"/>
            </w:pPr>
            <w:r>
              <w:rPr>
                <w:rFonts w:ascii="IBM Plex Sans" w:cs="IBM Plex Sans" w:eastAsia="IBM Plex Sans" w:hAnsi="IBM Plex Sans"/>
                <w:b/>
                <w:bCs/>
                <w:color w:val="13233A"/>
                <w:spacing w:val="10"/>
                <w:sz w:val="40"/>
                <w:szCs w:val="40"/>
              </w:rPr>
              <w:t xml:space="preserve">ETHAN HASKELL</w:t>
            </w:r>
          </w:p>
          <w:p>
            <w:pPr>
              <w:spacing w:after="0"/>
            </w:pPr>
            <w:r>
              <w:rPr>
                <w:rFonts w:ascii="IBM Plex Sans" w:cs="IBM Plex Sans" w:eastAsia="IBM Plex Sans" w:hAnsi="IBM Plex Sans"/>
                <w:color w:val="000000"/>
                <w:sz w:val="21"/>
                <w:szCs w:val="21"/>
              </w:rPr>
              <w:t xml:space="preserve">Cybersecurity &amp; Network Systems</w:t>
            </w:r>
          </w:p>
        </w:tc>
        <w:tc>
          <w:tcPr>
            <w:tcW w:type="dxa" w:w="1500"/>
            <w:tcMar>
              <w:top w:type="dxa" w:w="0"/>
              <w:left w:type="dxa" w:w="0"/>
              <w:bottom w:type="dxa" w:w="0"/>
              <w:right w:type="dxa" w:w="0"/>
            </w:tcMar>
            <w:vAlign w:val="center"/>
          </w:tcPr>
          <w:p>
            <w:pPr>
              <w:jc w:val="right"/>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590550"/>
                          </a:xfrm>
                          <a:prstGeom prst="rect">
                            <a:avLst/>
                          </a:prstGeom>
                        </pic:spPr>
                      </pic:pic>
                    </a:graphicData>
                  </a:graphic>
                </wp:inline>
              </w:drawing>
            </w:r>
          </w:p>
          <w:p>
            <w:pPr>
              <w:spacing w:before="20"/>
              <w:jc w:val="right"/>
            </w:pPr>
            <w:r>
              <w:rPr>
                <w:rFonts w:ascii="IBM Plex Sans" w:cs="IBM Plex Sans" w:eastAsia="IBM Plex Sans" w:hAnsi="IBM Plex Sans"/>
                <w:i/>
                <w:iCs/>
                <w:color w:val="6B7686"/>
                <w:sz w:val="13"/>
                <w:szCs w:val="13"/>
              </w:rPr>
              <w:t xml:space="preserve">scan for portfolio</w:t>
            </w:r>
          </w:p>
        </w:tc>
      </w:tr>
    </w:tbl>
    <w:p>
      <w:pPr>
        <w:spacing w:after="5" w:before="65"/>
      </w:pPr>
      <w:r>
        <w:rPr>
          <w:rFonts w:ascii="IBM Plex Sans" w:cs="IBM Plex Sans" w:eastAsia="IBM Plex Sans" w:hAnsi="IBM Plex Sans"/>
          <w:color w:val="3D4C61"/>
          <w:sz w:val="18"/>
          <w:szCs w:val="18"/>
        </w:rPr>
        <w:t xml:space="preserve">Ellicott City, Maryland  |  410-940-7116  |  ehas2026@gmail.com</w:t>
      </w:r>
    </w:p>
    <w:p>
      <w:pPr>
        <w:pBdr>
          <w:bottom w:val="single" w:color="D8DCE2" w:sz="4"/>
        </w:pBdr>
        <w:spacing w:after="28"/>
      </w:pPr>
      <w:r>
        <w:rPr>
          <w:rFonts w:ascii="IBM Plex Sans" w:cs="IBM Plex Sans" w:eastAsia="IBM Plex Sans" w:hAnsi="IBM Plex Sans"/>
          <w:color w:val="3D4C61"/>
          <w:sz w:val="18"/>
          <w:szCs w:val="18"/>
        </w:rPr>
        <w:t xml:space="preserve">linkedin.com/in/ethan-h-2745282a6  |  github.com/cyberskell  |  cyberskell.com</w:t>
      </w:r>
    </w:p>
    <w:p>
      <w:pPr>
        <w:pBdr>
          <w:bottom w:val="single" w:color="13233A" w:sz="8"/>
        </w:pBdr>
        <w:spacing w:after="22" w:before="38"/>
      </w:pPr>
      <w:r>
        <w:rPr>
          <w:rFonts w:ascii="IBM Plex Sans" w:cs="IBM Plex Sans" w:eastAsia="IBM Plex Sans" w:hAnsi="IBM Plex Sans"/>
          <w:b/>
          <w:bCs/>
          <w:color w:val="13233A"/>
          <w:spacing w:val="20"/>
          <w:sz w:val="20"/>
          <w:szCs w:val="20"/>
        </w:rPr>
        <w:t xml:space="preserve">SUMMARY</w:t>
      </w:r>
    </w:p>
    <w:p>
      <w:pPr>
        <w:spacing w:after="40"/>
      </w:pPr>
      <w:r>
        <w:rPr>
          <w:rFonts w:ascii="IBM Plex Sans" w:cs="IBM Plex Sans" w:eastAsia="IBM Plex Sans" w:hAnsi="IBM Plex Sans"/>
          <w:color w:val="23262B"/>
          <w:sz w:val="17"/>
          <w:szCs w:val="17"/>
        </w:rPr>
        <w:t xml:space="preserve">Cybersecurity student at Bowie State University with hands-on experience across enterprise network administration, workstation support, and self-hosted server environments, currently working to complete the CompTIA Network+ and Security+ certifications. Experienced working directly with non-technical staff and end users to resolve issues and document solutions through IT internships with the Supreme Court of the United States and the City of Baltimore. Eagle Scout known for reliability, professionalism, and clear communication.</w:t>
      </w:r>
    </w:p>
    <w:p>
      <w:pPr>
        <w:pBdr>
          <w:bottom w:val="single" w:color="13233A" w:sz="8"/>
        </w:pBdr>
        <w:spacing w:after="22" w:before="38"/>
      </w:pPr>
      <w:r>
        <w:rPr>
          <w:rFonts w:ascii="IBM Plex Sans" w:cs="IBM Plex Sans" w:eastAsia="IBM Plex Sans" w:hAnsi="IBM Plex Sans"/>
          <w:b/>
          <w:bCs/>
          <w:color w:val="13233A"/>
          <w:spacing w:val="20"/>
          <w:sz w:val="20"/>
          <w:szCs w:val="20"/>
        </w:rPr>
        <w:t xml:space="preserve">EDUCATION</w:t>
      </w:r>
    </w:p>
    <w:tbl>
      <w:tblPr>
        <w:tblW w:type="dxa" w:w="10940"/>
        <w:tblBorders>
          <w:top w:val="none" w:color="FFFFFF" w:sz="0"/>
          <w:left w:val="none" w:color="FFFFFF" w:sz="0"/>
          <w:bottom w:val="none" w:color="FFFFFF" w:sz="0"/>
          <w:right w:val="none" w:color="FFFFFF" w:sz="0"/>
          <w:insideH w:val="none" w:color="FFFFFF" w:sz="0"/>
          <w:insideV w:val="none" w:color="FFFFFF" w:sz="0"/>
        </w:tblBorders>
      </w:tblPr>
      <w:tblGrid>
        <w:gridCol w:w="8200"/>
        <w:gridCol w:w="2740"/>
      </w:tblGrid>
      <w:tr>
        <w:tc>
          <w:tcPr>
            <w:tcW w:type="dxa" w:w="8200"/>
            <w:tcMar>
              <w:top w:type="dxa" w:w="0"/>
              <w:left w:type="dxa" w:w="0"/>
              <w:bottom w:type="dxa" w:w="0"/>
              <w:right w:type="dxa" w:w="0"/>
            </w:tcMar>
          </w:tcPr>
          <w:p>
            <w:pPr>
              <w:spacing w:after="5" w:before="38"/>
            </w:pPr>
            <w:r>
              <w:rPr>
                <w:rFonts w:ascii="IBM Plex Sans" w:cs="IBM Plex Sans" w:eastAsia="IBM Plex Sans" w:hAnsi="IBM Plex Sans"/>
                <w:b/>
                <w:bCs/>
                <w:color w:val="1A1D21"/>
                <w:sz w:val="19"/>
                <w:szCs w:val="19"/>
              </w:rPr>
              <w:t xml:space="preserve">B.S. Computer Technology in Cybersecurity — Bowie State University, Maryland</w:t>
            </w:r>
          </w:p>
        </w:tc>
        <w:tc>
          <w:tcPr>
            <w:tcW w:type="dxa" w:w="2740"/>
            <w:tcMar>
              <w:top w:type="dxa" w:w="0"/>
              <w:left w:type="dxa" w:w="0"/>
              <w:bottom w:type="dxa" w:w="0"/>
              <w:right w:type="dxa" w:w="0"/>
            </w:tcMar>
            <w:vAlign w:val="center"/>
          </w:tcPr>
          <w:p>
            <w:pPr>
              <w:spacing w:after="5" w:before="38"/>
              <w:jc w:val="right"/>
            </w:pPr>
            <w:r>
              <w:rPr>
                <w:rFonts w:ascii="IBM Plex Sans" w:cs="IBM Plex Sans" w:eastAsia="IBM Plex Sans" w:hAnsi="IBM Plex Sans"/>
                <w:color w:val="6B7686"/>
                <w:sz w:val="17"/>
                <w:szCs w:val="17"/>
              </w:rPr>
              <w:t xml:space="preserve">Expected Dec. 2026</w:t>
            </w:r>
          </w:p>
        </w:tc>
      </w:tr>
    </w:tbl>
    <w:p>
      <w:pPr>
        <w:spacing w:after="24"/>
      </w:pPr>
      <w:r>
        <w:rPr>
          <w:rFonts w:ascii="IBM Plex Sans" w:cs="IBM Plex Sans" w:eastAsia="IBM Plex Sans" w:hAnsi="IBM Plex Sans"/>
          <w:i/>
          <w:iCs/>
          <w:color w:val="3D4C61"/>
          <w:sz w:val="17"/>
          <w:szCs w:val="17"/>
        </w:rPr>
        <w:t xml:space="preserve">GPA: 3.2 / 4.0</w:t>
      </w:r>
    </w:p>
    <w:p>
      <w:pPr>
        <w:spacing w:after="19"/>
      </w:pPr>
      <w:r>
        <w:rPr>
          <w:rFonts w:ascii="IBM Plex Sans" w:cs="IBM Plex Sans" w:eastAsia="IBM Plex Sans" w:hAnsi="IBM Plex Sans"/>
          <w:b/>
          <w:bCs/>
          <w:color w:val="13233A"/>
          <w:sz w:val="18"/>
          <w:szCs w:val="18"/>
        </w:rPr>
        <w:t xml:space="preserve">Relevant Coursework:  </w:t>
      </w:r>
      <w:r>
        <w:rPr>
          <w:rFonts w:ascii="IBM Plex Sans" w:cs="IBM Plex Sans" w:eastAsia="IBM Plex Sans" w:hAnsi="IBM Plex Sans"/>
          <w:color w:val="23262B"/>
          <w:sz w:val="18"/>
          <w:szCs w:val="18"/>
        </w:rPr>
        <w:t xml:space="preserve">Client Operating Systems, Windows Server Administration, PC Architecture, Computer Networking, Foundations of Computer and Network Security, Internet Technology, Database Development</w:t>
      </w:r>
    </w:p>
    <w:p>
      <w:pPr>
        <w:spacing w:after="19"/>
      </w:pPr>
      <w:r>
        <w:rPr>
          <w:rFonts w:ascii="IBM Plex Sans" w:cs="IBM Plex Sans" w:eastAsia="IBM Plex Sans" w:hAnsi="IBM Plex Sans"/>
          <w:b/>
          <w:bCs/>
          <w:color w:val="13233A"/>
          <w:sz w:val="18"/>
          <w:szCs w:val="18"/>
        </w:rPr>
        <w:t xml:space="preserve">Certifications:  </w:t>
      </w:r>
      <w:r>
        <w:rPr>
          <w:rFonts w:ascii="IBM Plex Sans" w:cs="IBM Plex Sans" w:eastAsia="IBM Plex Sans" w:hAnsi="IBM Plex Sans"/>
          <w:color w:val="23262B"/>
          <w:sz w:val="18"/>
          <w:szCs w:val="18"/>
        </w:rPr>
        <w:t xml:space="preserve">CompTIA Network+ and Security+ — in progress</w:t>
      </w:r>
    </w:p>
    <w:p>
      <w:pPr>
        <w:pBdr>
          <w:bottom w:val="single" w:color="13233A" w:sz="8"/>
        </w:pBdr>
        <w:spacing w:after="22" w:before="38"/>
      </w:pPr>
      <w:r>
        <w:rPr>
          <w:rFonts w:ascii="IBM Plex Sans" w:cs="IBM Plex Sans" w:eastAsia="IBM Plex Sans" w:hAnsi="IBM Plex Sans"/>
          <w:b/>
          <w:bCs/>
          <w:color w:val="13233A"/>
          <w:spacing w:val="20"/>
          <w:sz w:val="20"/>
          <w:szCs w:val="20"/>
        </w:rPr>
        <w:t xml:space="preserve">SKILLS</w:t>
      </w:r>
    </w:p>
    <w:p>
      <w:pPr>
        <w:spacing w:after="19"/>
      </w:pPr>
      <w:r>
        <w:rPr>
          <w:rFonts w:ascii="IBM Plex Sans" w:cs="IBM Plex Sans" w:eastAsia="IBM Plex Sans" w:hAnsi="IBM Plex Sans"/>
          <w:b/>
          <w:bCs/>
          <w:color w:val="13233A"/>
          <w:sz w:val="18"/>
          <w:szCs w:val="18"/>
        </w:rPr>
        <w:t xml:space="preserve">Systems &amp; Support:  </w:t>
      </w:r>
      <w:r>
        <w:rPr>
          <w:rFonts w:ascii="IBM Plex Sans" w:cs="IBM Plex Sans" w:eastAsia="IBM Plex Sans" w:hAnsi="IBM Plex Sans"/>
          <w:color w:val="23262B"/>
          <w:sz w:val="18"/>
          <w:szCs w:val="18"/>
        </w:rPr>
        <w:t xml:space="preserve">Windows, Windows Server, Linux (Ubuntu), Active Directory administration, account and access management, hardware/software troubleshooting, PC architecture, system maintenance and updates</w:t>
      </w:r>
    </w:p>
    <w:p>
      <w:pPr>
        <w:spacing w:after="19"/>
      </w:pPr>
      <w:r>
        <w:rPr>
          <w:rFonts w:ascii="IBM Plex Sans" w:cs="IBM Plex Sans" w:eastAsia="IBM Plex Sans" w:hAnsi="IBM Plex Sans"/>
          <w:b/>
          <w:bCs/>
          <w:color w:val="13233A"/>
          <w:sz w:val="18"/>
          <w:szCs w:val="18"/>
        </w:rPr>
        <w:t xml:space="preserve">Virtualization &amp; Cloud:  </w:t>
      </w:r>
      <w:r>
        <w:rPr>
          <w:rFonts w:ascii="IBM Plex Sans" w:cs="IBM Plex Sans" w:eastAsia="IBM Plex Sans" w:hAnsi="IBM Plex Sans"/>
          <w:color w:val="23262B"/>
          <w:sz w:val="18"/>
          <w:szCs w:val="18"/>
        </w:rPr>
        <w:t xml:space="preserve">Proxmox, Docker, VMware, VirtualBox, Azure</w:t>
      </w:r>
    </w:p>
    <w:p>
      <w:pPr>
        <w:spacing w:after="19"/>
      </w:pPr>
      <w:r>
        <w:rPr>
          <w:rFonts w:ascii="IBM Plex Sans" w:cs="IBM Plex Sans" w:eastAsia="IBM Plex Sans" w:hAnsi="IBM Plex Sans"/>
          <w:b/>
          <w:bCs/>
          <w:color w:val="13233A"/>
          <w:sz w:val="18"/>
          <w:szCs w:val="18"/>
        </w:rPr>
        <w:t xml:space="preserve">Networking:  </w:t>
      </w:r>
      <w:r>
        <w:rPr>
          <w:rFonts w:ascii="IBM Plex Sans" w:cs="IBM Plex Sans" w:eastAsia="IBM Plex Sans" w:hAnsi="IBM Plex Sans"/>
          <w:color w:val="23262B"/>
          <w:sz w:val="18"/>
          <w:szCs w:val="18"/>
        </w:rPr>
        <w:t xml:space="preserve">TCP/IP, DNS, DHCP, VPN (WireGuard), switch and router configuration, firewall configuration, network monitoring tools, wireless networking, connectivity troubleshooting</w:t>
      </w:r>
    </w:p>
    <w:p>
      <w:pPr>
        <w:spacing w:after="19"/>
      </w:pPr>
      <w:r>
        <w:rPr>
          <w:rFonts w:ascii="IBM Plex Sans" w:cs="IBM Plex Sans" w:eastAsia="IBM Plex Sans" w:hAnsi="IBM Plex Sans"/>
          <w:b/>
          <w:bCs/>
          <w:color w:val="13233A"/>
          <w:sz w:val="18"/>
          <w:szCs w:val="18"/>
        </w:rPr>
        <w:t xml:space="preserve">Tools &amp; Productivity:  </w:t>
      </w:r>
      <w:r>
        <w:rPr>
          <w:rFonts w:ascii="IBM Plex Sans" w:cs="IBM Plex Sans" w:eastAsia="IBM Plex Sans" w:hAnsi="IBM Plex Sans"/>
          <w:color w:val="23262B"/>
          <w:sz w:val="18"/>
          <w:szCs w:val="18"/>
        </w:rPr>
        <w:t xml:space="preserve">Microsoft Excel, Power BI, Git, command-line utilities, Python, SQL, Java, IT ticketing/helpdesk systems</w:t>
      </w:r>
    </w:p>
    <w:p>
      <w:pPr>
        <w:spacing w:after="19"/>
      </w:pPr>
      <w:r>
        <w:rPr>
          <w:rFonts w:ascii="IBM Plex Sans" w:cs="IBM Plex Sans" w:eastAsia="IBM Plex Sans" w:hAnsi="IBM Plex Sans"/>
          <w:b/>
          <w:bCs/>
          <w:color w:val="13233A"/>
          <w:sz w:val="18"/>
          <w:szCs w:val="18"/>
        </w:rPr>
        <w:t xml:space="preserve">Professional:  </w:t>
      </w:r>
      <w:r>
        <w:rPr>
          <w:rFonts w:ascii="IBM Plex Sans" w:cs="IBM Plex Sans" w:eastAsia="IBM Plex Sans" w:hAnsi="IBM Plex Sans"/>
          <w:color w:val="23262B"/>
          <w:sz w:val="18"/>
          <w:szCs w:val="18"/>
        </w:rPr>
        <w:t xml:space="preserve">Customer support &amp; service-desk best practices, technical documentation, cross-team collaboration, issue escalation and follow-through</w:t>
      </w:r>
    </w:p>
    <w:p>
      <w:pPr>
        <w:pBdr>
          <w:bottom w:val="single" w:color="13233A" w:sz="8"/>
        </w:pBdr>
        <w:spacing w:after="22" w:before="38"/>
      </w:pPr>
      <w:r>
        <w:rPr>
          <w:rFonts w:ascii="IBM Plex Sans" w:cs="IBM Plex Sans" w:eastAsia="IBM Plex Sans" w:hAnsi="IBM Plex Sans"/>
          <w:b/>
          <w:bCs/>
          <w:color w:val="13233A"/>
          <w:spacing w:val="20"/>
          <w:sz w:val="20"/>
          <w:szCs w:val="20"/>
        </w:rPr>
        <w:t xml:space="preserve">TECHNICAL PROJECTS</w:t>
      </w:r>
    </w:p>
    <w:p>
      <w:pPr>
        <w:spacing w:after="5" w:before="38"/>
      </w:pPr>
      <w:r>
        <w:rPr>
          <w:rFonts w:ascii="IBM Plex Sans" w:cs="IBM Plex Sans" w:eastAsia="IBM Plex Sans" w:hAnsi="IBM Plex Sans"/>
          <w:b/>
          <w:bCs/>
          <w:color w:val="1A1D21"/>
          <w:sz w:val="19"/>
          <w:szCs w:val="19"/>
        </w:rPr>
        <w:t xml:space="preserve">Personal Home Lab — System Administration &amp; Troubleshooting</w:t>
      </w:r>
    </w:p>
    <w:p>
      <w:pPr>
        <w:pStyle w:val="ListParagraph"/>
        <w:numPr>
          <w:ilvl w:val="0"/>
          <w:numId w:val="1"/>
        </w:numPr>
        <w:spacing w:after="11"/>
      </w:pPr>
      <w:r>
        <w:rPr>
          <w:rFonts w:ascii="IBM Plex Sans" w:cs="IBM Plex Sans" w:eastAsia="IBM Plex Sans" w:hAnsi="IBM Plex Sans"/>
          <w:color w:val="23262B"/>
          <w:sz w:val="17"/>
          <w:szCs w:val="17"/>
        </w:rPr>
        <w:t xml:space="preserve">Built and maintain a multi-service server environment on Proxmox, deploying and supporting Docker-containerized applications (media server, game server) — including installs, updates, backups, and diagnosing service outages.</w:t>
      </w:r>
    </w:p>
    <w:p>
      <w:pPr>
        <w:pStyle w:val="ListParagraph"/>
        <w:numPr>
          <w:ilvl w:val="0"/>
          <w:numId w:val="1"/>
        </w:numPr>
        <w:spacing w:after="11"/>
      </w:pPr>
      <w:r>
        <w:rPr>
          <w:rFonts w:ascii="IBM Plex Sans" w:cs="IBM Plex Sans" w:eastAsia="IBM Plex Sans" w:hAnsi="IBM Plex Sans"/>
          <w:color w:val="23262B"/>
          <w:sz w:val="17"/>
          <w:szCs w:val="17"/>
        </w:rPr>
        <w:t xml:space="preserve">Run a personal DNS server to monitor incoming network traffic and block unwanted applications at the network level; configured firewall rules and secure remote access via WireGuard VPN.</w:t>
      </w:r>
    </w:p>
    <w:p>
      <w:pPr>
        <w:spacing w:after="5" w:before="38"/>
      </w:pPr>
      <w:r>
        <w:rPr>
          <w:rFonts w:ascii="IBM Plex Sans" w:cs="IBM Plex Sans" w:eastAsia="IBM Plex Sans" w:hAnsi="IBM Plex Sans"/>
          <w:b/>
          <w:bCs/>
          <w:color w:val="1A1D21"/>
          <w:sz w:val="19"/>
          <w:szCs w:val="19"/>
        </w:rPr>
        <w:t xml:space="preserve">Self-Hosted Web Server (github.com/cyberskell/cyberskell-web-dns-server)</w:t>
      </w:r>
    </w:p>
    <w:p>
      <w:pPr>
        <w:pStyle w:val="ListParagraph"/>
        <w:numPr>
          <w:ilvl w:val="0"/>
          <w:numId w:val="1"/>
        </w:numPr>
        <w:spacing w:after="11"/>
      </w:pPr>
      <w:r>
        <w:rPr>
          <w:rFonts w:ascii="IBM Plex Sans" w:cs="IBM Plex Sans" w:eastAsia="IBM Plex Sans" w:hAnsi="IBM Plex Sans"/>
          <w:color w:val="23262B"/>
          <w:sz w:val="17"/>
          <w:szCs w:val="17"/>
        </w:rPr>
        <w:t xml:space="preserve">Deployed an Ubuntu Server running the Apache HTTP Server, configured with a custom domain and IP-based access control to restrict incoming connections.</w:t>
      </w:r>
    </w:p>
    <w:p>
      <w:pPr>
        <w:pStyle w:val="ListParagraph"/>
        <w:numPr>
          <w:ilvl w:val="0"/>
          <w:numId w:val="1"/>
        </w:numPr>
        <w:spacing w:after="11"/>
      </w:pPr>
      <w:r>
        <w:rPr>
          <w:rFonts w:ascii="IBM Plex Sans" w:cs="IBM Plex Sans" w:eastAsia="IBM Plex Sans" w:hAnsi="IBM Plex Sans"/>
          <w:color w:val="23262B"/>
          <w:sz w:val="17"/>
          <w:szCs w:val="17"/>
        </w:rPr>
        <w:t xml:space="preserve">Set up Apache virtual hosts and DNS routing, then hardened the server against unauthorized access with firewall rules on top of Apache's own access controls; perform ongoing maintenance and patching.</w:t>
      </w:r>
    </w:p>
    <w:p>
      <w:pPr>
        <w:spacing w:after="5" w:before="38"/>
      </w:pPr>
      <w:r>
        <w:rPr>
          <w:rFonts w:ascii="IBM Plex Sans" w:cs="IBM Plex Sans" w:eastAsia="IBM Plex Sans" w:hAnsi="IBM Plex Sans"/>
          <w:b/>
          <w:bCs/>
          <w:color w:val="1A1D21"/>
          <w:sz w:val="19"/>
          <w:szCs w:val="19"/>
        </w:rPr>
        <w:t xml:space="preserve">Mock Supercomputer / Virtual Cluster Build</w:t>
      </w:r>
    </w:p>
    <w:p>
      <w:pPr>
        <w:pStyle w:val="ListParagraph"/>
        <w:numPr>
          <w:ilvl w:val="0"/>
          <w:numId w:val="1"/>
        </w:numPr>
        <w:spacing w:after="11"/>
      </w:pPr>
      <w:r>
        <w:rPr>
          <w:rFonts w:ascii="IBM Plex Sans" w:cs="IBM Plex Sans" w:eastAsia="IBM Plex Sans" w:hAnsi="IBM Plex Sans"/>
          <w:color w:val="23262B"/>
          <w:sz w:val="17"/>
          <w:szCs w:val="17"/>
        </w:rPr>
        <w:t xml:space="preserve">Built a 6-node Raspberry Pi cluster wired over a dedicated switch, configured to emulate a small HPC environment with static IP addressing and SSH-based cluster management.</w:t>
      </w:r>
    </w:p>
    <w:p>
      <w:pPr>
        <w:pStyle w:val="ListParagraph"/>
        <w:numPr>
          <w:ilvl w:val="0"/>
          <w:numId w:val="1"/>
        </w:numPr>
        <w:spacing w:after="11"/>
      </w:pPr>
      <w:r>
        <w:rPr>
          <w:rFonts w:ascii="IBM Plex Sans" w:cs="IBM Plex Sans" w:eastAsia="IBM Plex Sans" w:hAnsi="IBM Plex Sans"/>
          <w:color w:val="23262B"/>
          <w:sz w:val="17"/>
          <w:szCs w:val="17"/>
        </w:rPr>
        <w:t xml:space="preserve">Diagnosed connectivity and configuration issues across the networked systems, from physical cabling to service-level configuration.</w:t>
      </w:r>
    </w:p>
    <w:p>
      <w:pPr>
        <w:pBdr>
          <w:bottom w:val="single" w:color="13233A" w:sz="8"/>
        </w:pBdr>
        <w:spacing w:after="22" w:before="38"/>
      </w:pPr>
      <w:r>
        <w:rPr>
          <w:rFonts w:ascii="IBM Plex Sans" w:cs="IBM Plex Sans" w:eastAsia="IBM Plex Sans" w:hAnsi="IBM Plex Sans"/>
          <w:b/>
          <w:bCs/>
          <w:color w:val="13233A"/>
          <w:spacing w:val="20"/>
          <w:sz w:val="20"/>
          <w:szCs w:val="20"/>
        </w:rPr>
        <w:t xml:space="preserve">WORK EXPERIENCE</w:t>
      </w:r>
    </w:p>
    <w:tbl>
      <w:tblPr>
        <w:tblW w:type="dxa" w:w="10940"/>
        <w:tblBorders>
          <w:top w:val="none" w:color="FFFFFF" w:sz="0"/>
          <w:left w:val="none" w:color="FFFFFF" w:sz="0"/>
          <w:bottom w:val="none" w:color="FFFFFF" w:sz="0"/>
          <w:right w:val="none" w:color="FFFFFF" w:sz="0"/>
          <w:insideH w:val="none" w:color="FFFFFF" w:sz="0"/>
          <w:insideV w:val="none" w:color="FFFFFF" w:sz="0"/>
        </w:tblBorders>
      </w:tblPr>
      <w:tblGrid>
        <w:gridCol w:w="8200"/>
        <w:gridCol w:w="2740"/>
      </w:tblGrid>
      <w:tr>
        <w:tc>
          <w:tcPr>
            <w:tcW w:type="dxa" w:w="8200"/>
            <w:tcMar>
              <w:top w:type="dxa" w:w="0"/>
              <w:left w:type="dxa" w:w="0"/>
              <w:bottom w:type="dxa" w:w="0"/>
              <w:right w:type="dxa" w:w="0"/>
            </w:tcMar>
          </w:tcPr>
          <w:p>
            <w:pPr>
              <w:spacing w:after="5" w:before="38"/>
            </w:pPr>
            <w:r>
              <w:rPr>
                <w:rFonts w:ascii="IBM Plex Sans" w:cs="IBM Plex Sans" w:eastAsia="IBM Plex Sans" w:hAnsi="IBM Plex Sans"/>
                <w:b/>
                <w:bCs/>
                <w:color w:val="1A1D21"/>
                <w:sz w:val="19"/>
                <w:szCs w:val="19"/>
              </w:rPr>
              <w:t xml:space="preserve">IT Operations Intern — Network Administration &amp; Workstation Administration Groups</w:t>
            </w:r>
          </w:p>
        </w:tc>
        <w:tc>
          <w:tcPr>
            <w:tcW w:type="dxa" w:w="2740"/>
            <w:tcMar>
              <w:top w:type="dxa" w:w="0"/>
              <w:left w:type="dxa" w:w="0"/>
              <w:bottom w:type="dxa" w:w="0"/>
              <w:right w:type="dxa" w:w="0"/>
            </w:tcMar>
            <w:vAlign w:val="center"/>
          </w:tcPr>
          <w:p>
            <w:pPr>
              <w:spacing w:after="5" w:before="38"/>
              <w:jc w:val="right"/>
            </w:pPr>
            <w:r>
              <w:rPr>
                <w:rFonts w:ascii="IBM Plex Sans" w:cs="IBM Plex Sans" w:eastAsia="IBM Plex Sans" w:hAnsi="IBM Plex Sans"/>
                <w:color w:val="6B7686"/>
                <w:sz w:val="17"/>
                <w:szCs w:val="17"/>
              </w:rPr>
              <w:t xml:space="preserve">Sept. 2026 – Jan. 2027</w:t>
            </w:r>
          </w:p>
        </w:tc>
      </w:tr>
    </w:tbl>
    <w:p>
      <w:pPr>
        <w:spacing w:after="24"/>
      </w:pPr>
      <w:r>
        <w:rPr>
          <w:rFonts w:ascii="IBM Plex Sans" w:cs="IBM Plex Sans" w:eastAsia="IBM Plex Sans" w:hAnsi="IBM Plex Sans"/>
          <w:i/>
          <w:iCs/>
          <w:color w:val="3D4C61"/>
          <w:sz w:val="17"/>
          <w:szCs w:val="17"/>
        </w:rPr>
        <w:t xml:space="preserve">Supreme Court of the United States</w:t>
      </w:r>
    </w:p>
    <w:p>
      <w:pPr>
        <w:pStyle w:val="ListParagraph"/>
        <w:numPr>
          <w:ilvl w:val="0"/>
          <w:numId w:val="1"/>
        </w:numPr>
        <w:spacing w:after="11"/>
      </w:pPr>
      <w:r>
        <w:rPr>
          <w:rFonts w:ascii="IBM Plex Sans" w:cs="IBM Plex Sans" w:eastAsia="IBM Plex Sans" w:hAnsi="IBM Plex Sans"/>
          <w:color w:val="23262B"/>
          <w:sz w:val="17"/>
          <w:szCs w:val="17"/>
        </w:rPr>
        <w:t xml:space="preserve">Supported both the Network Administration Group (NAG) and Workstation Administration Group (WAG), gaining hands-on exposure to enterprise networking environments, system monitoring, hardware deployments, and end-user technical support.</w:t>
      </w:r>
    </w:p>
    <w:p>
      <w:pPr>
        <w:pStyle w:val="ListParagraph"/>
        <w:numPr>
          <w:ilvl w:val="0"/>
          <w:numId w:val="1"/>
        </w:numPr>
        <w:spacing w:after="11"/>
      </w:pPr>
      <w:r>
        <w:rPr>
          <w:rFonts w:ascii="IBM Plex Sans" w:cs="IBM Plex Sans" w:eastAsia="IBM Plex Sans" w:hAnsi="IBM Plex Sans"/>
          <w:color w:val="23262B"/>
          <w:sz w:val="17"/>
          <w:szCs w:val="17"/>
        </w:rPr>
        <w:t xml:space="preserve">Split time between proactive network monitoring and operational tasks within NAG — including switch and router configuration and troubleshooting using network monitoring tools — and direct, user-facing technical support within WAG.</w:t>
      </w:r>
    </w:p>
    <w:p>
      <w:pPr>
        <w:pStyle w:val="ListParagraph"/>
        <w:numPr>
          <w:ilvl w:val="0"/>
          <w:numId w:val="1"/>
        </w:numPr>
        <w:spacing w:after="11"/>
      </w:pPr>
      <w:r>
        <w:rPr>
          <w:rFonts w:ascii="IBM Plex Sans" w:cs="IBM Plex Sans" w:eastAsia="IBM Plex Sans" w:hAnsi="IBM Plex Sans"/>
          <w:color w:val="23262B"/>
          <w:sz w:val="17"/>
          <w:szCs w:val="17"/>
        </w:rPr>
        <w:t xml:space="preserve">Tracked and resolved issues through IT ticketing systems, following documentation standards for hardware deployments and support requests.</w:t>
      </w:r>
    </w:p>
    <w:p>
      <w:pPr>
        <w:pStyle w:val="ListParagraph"/>
        <w:numPr>
          <w:ilvl w:val="0"/>
          <w:numId w:val="1"/>
        </w:numPr>
        <w:spacing w:after="11"/>
      </w:pPr>
      <w:r>
        <w:rPr>
          <w:rFonts w:ascii="IBM Plex Sans" w:cs="IBM Plex Sans" w:eastAsia="IBM Plex Sans" w:hAnsi="IBM Plex Sans"/>
          <w:color w:val="23262B"/>
          <w:sz w:val="17"/>
          <w:szCs w:val="17"/>
        </w:rPr>
        <w:t xml:space="preserve">Applied customer service best practices while balancing network administration duties with hands-on workstation support.</w:t>
      </w:r>
    </w:p>
    <w:tbl>
      <w:tblPr>
        <w:tblW w:type="dxa" w:w="10940"/>
        <w:tblBorders>
          <w:top w:val="none" w:color="FFFFFF" w:sz="0"/>
          <w:left w:val="none" w:color="FFFFFF" w:sz="0"/>
          <w:bottom w:val="none" w:color="FFFFFF" w:sz="0"/>
          <w:right w:val="none" w:color="FFFFFF" w:sz="0"/>
          <w:insideH w:val="none" w:color="FFFFFF" w:sz="0"/>
          <w:insideV w:val="none" w:color="FFFFFF" w:sz="0"/>
        </w:tblBorders>
      </w:tblPr>
      <w:tblGrid>
        <w:gridCol w:w="8200"/>
        <w:gridCol w:w="2740"/>
      </w:tblGrid>
      <w:tr>
        <w:tc>
          <w:tcPr>
            <w:tcW w:type="dxa" w:w="8200"/>
            <w:tcMar>
              <w:top w:type="dxa" w:w="0"/>
              <w:left w:type="dxa" w:w="0"/>
              <w:bottom w:type="dxa" w:w="0"/>
              <w:right w:type="dxa" w:w="0"/>
            </w:tcMar>
          </w:tcPr>
          <w:p>
            <w:pPr>
              <w:spacing w:after="5" w:before="38"/>
            </w:pPr>
            <w:r>
              <w:rPr>
                <w:rFonts w:ascii="IBM Plex Sans" w:cs="IBM Plex Sans" w:eastAsia="IBM Plex Sans" w:hAnsi="IBM Plex Sans"/>
                <w:b/>
                <w:bCs/>
                <w:color w:val="1A1D21"/>
                <w:sz w:val="19"/>
                <w:szCs w:val="19"/>
              </w:rPr>
              <w:t xml:space="preserve">Full-Stack Database &amp; Software Development Intern</w:t>
            </w:r>
          </w:p>
        </w:tc>
        <w:tc>
          <w:tcPr>
            <w:tcW w:type="dxa" w:w="2740"/>
            <w:tcMar>
              <w:top w:type="dxa" w:w="0"/>
              <w:left w:type="dxa" w:w="0"/>
              <w:bottom w:type="dxa" w:w="0"/>
              <w:right w:type="dxa" w:w="0"/>
            </w:tcMar>
            <w:vAlign w:val="center"/>
          </w:tcPr>
          <w:p>
            <w:pPr>
              <w:spacing w:after="5" w:before="38"/>
              <w:jc w:val="right"/>
            </w:pPr>
            <w:r>
              <w:rPr>
                <w:rFonts w:ascii="IBM Plex Sans" w:cs="IBM Plex Sans" w:eastAsia="IBM Plex Sans" w:hAnsi="IBM Plex Sans"/>
                <w:color w:val="6B7686"/>
                <w:sz w:val="17"/>
                <w:szCs w:val="17"/>
              </w:rPr>
              <w:t xml:space="preserve">May 2025 – Aug. 2025</w:t>
            </w:r>
          </w:p>
        </w:tc>
      </w:tr>
    </w:tbl>
    <w:p>
      <w:pPr>
        <w:spacing w:after="24"/>
      </w:pPr>
      <w:r>
        <w:rPr>
          <w:rFonts w:ascii="IBM Plex Sans" w:cs="IBM Plex Sans" w:eastAsia="IBM Plex Sans" w:hAnsi="IBM Plex Sans"/>
          <w:i/>
          <w:iCs/>
          <w:color w:val="3D4C61"/>
          <w:sz w:val="17"/>
          <w:szCs w:val="17"/>
        </w:rPr>
        <w:t xml:space="preserve">Baltimore City Fellows Internship — City of Baltimore, Office of the Comptroller</w:t>
      </w:r>
    </w:p>
    <w:p>
      <w:pPr>
        <w:pStyle w:val="ListParagraph"/>
        <w:numPr>
          <w:ilvl w:val="0"/>
          <w:numId w:val="1"/>
        </w:numPr>
        <w:spacing w:after="11"/>
      </w:pPr>
      <w:r>
        <w:rPr>
          <w:rFonts w:ascii="IBM Plex Sans" w:cs="IBM Plex Sans" w:eastAsia="IBM Plex Sans" w:hAnsi="IBM Plex Sans"/>
          <w:color w:val="23262B"/>
          <w:sz w:val="17"/>
          <w:szCs w:val="17"/>
        </w:rPr>
        <w:t xml:space="preserve">Worked directly with non-technical staff across IT and operations teams to translate their needs into technical requirements and deliver a dashboard that departments used daily.</w:t>
      </w:r>
    </w:p>
    <w:p>
      <w:pPr>
        <w:pStyle w:val="ListParagraph"/>
        <w:numPr>
          <w:ilvl w:val="0"/>
          <w:numId w:val="1"/>
        </w:numPr>
        <w:spacing w:after="11"/>
      </w:pPr>
      <w:r>
        <w:rPr>
          <w:rFonts w:ascii="IBM Plex Sans" w:cs="IBM Plex Sans" w:eastAsia="IBM Plex Sans" w:hAnsi="IBM Plex Sans"/>
          <w:color w:val="23262B"/>
          <w:sz w:val="17"/>
          <w:szCs w:val="17"/>
        </w:rPr>
        <w:t xml:space="preserve">Led full-stack development of an interactive dashboard that automated previously manual daily data updates, reducing repetitive reporting work and improving data quality across departmental records; documented the build for staff handoff and training.</w:t>
      </w:r>
    </w:p>
    <w:p>
      <w:pPr>
        <w:pBdr>
          <w:bottom w:val="single" w:color="13233A" w:sz="8"/>
        </w:pBdr>
        <w:spacing w:after="22" w:before="38"/>
      </w:pPr>
      <w:r>
        <w:rPr>
          <w:rFonts w:ascii="IBM Plex Sans" w:cs="IBM Plex Sans" w:eastAsia="IBM Plex Sans" w:hAnsi="IBM Plex Sans"/>
          <w:b/>
          <w:bCs/>
          <w:color w:val="13233A"/>
          <w:spacing w:val="20"/>
          <w:sz w:val="20"/>
          <w:szCs w:val="20"/>
        </w:rPr>
        <w:t xml:space="preserve">LEADERSHIP &amp; VOLUNTEER EXPERIENCE</w:t>
      </w:r>
    </w:p>
    <w:p>
      <w:pPr>
        <w:pStyle w:val="ListParagraph"/>
        <w:numPr>
          <w:ilvl w:val="0"/>
          <w:numId w:val="1"/>
        </w:numPr>
        <w:spacing w:after="11"/>
      </w:pPr>
      <w:r>
        <w:rPr>
          <w:rFonts w:ascii="IBM Plex Sans" w:cs="IBM Plex Sans" w:eastAsia="IBM Plex Sans" w:hAnsi="IBM Plex Sans"/>
          <w:color w:val="23262B"/>
          <w:sz w:val="17"/>
          <w:szCs w:val="17"/>
        </w:rPr>
        <w:t xml:space="preserve">Eagle Scout — Boy Scouts of America: led and documented a multi-volunteer service project from planning through completion.</w:t>
      </w:r>
    </w:p>
    <w:p>
      <w:pPr>
        <w:pStyle w:val="ListParagraph"/>
        <w:numPr>
          <w:ilvl w:val="0"/>
          <w:numId w:val="1"/>
        </w:numPr>
        <w:spacing w:after="11"/>
      </w:pPr>
      <w:r>
        <w:rPr>
          <w:rFonts w:ascii="IBM Plex Sans" w:cs="IBM Plex Sans" w:eastAsia="IBM Plex Sans" w:hAnsi="IBM Plex Sans"/>
          <w:color w:val="23262B"/>
          <w:sz w:val="17"/>
          <w:szCs w:val="17"/>
        </w:rPr>
        <w:t xml:space="preserve">BDPA Baltimore Metro, Charter Member (2023–Present)  |  BSU Collegiate Chapter, Project Coordinator (2025)  |  HSCC, Election Chair (2025) &amp; Student Volunteer (2023–Present)</w:t>
      </w:r>
    </w:p>
    <w:sectPr>
      <w:pgSz w:w="12240" w:h="15840" w:orient="portrait"/>
      <w:pgMar w:top="150" w:right="560" w:bottom="15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2dc5028aec758df5e28b1fdcc2ad4fa79eed6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2026-10-08T10:54:36.170Z</dcterms:created>
  <dcterms:modified xsi:type="dcterms:W3CDTF">2026-10-08T10:54:36.172Z</dcterms:modified>
</cp:coreProperties>
</file>

<file path=docProps/custom.xml><?xml version="1.0" encoding="utf-8"?>
<Properties xmlns="http://schemas.openxmlformats.org/officeDocument/2006/custom-properties" xmlns:vt="http://schemas.openxmlformats.org/officeDocument/2006/docPropsVTypes"/>
</file>