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440"/>
        <w:gridCol w:w="1500"/>
      </w:tblGrid>
      <w:tr>
        <w:tc>
          <w:tcPr>
            <w:tcW w:type="dxa" w:w="944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5"/>
            </w:pPr>
            <w:r>
              <w:rPr>
                <w:rFonts w:ascii="IBM Plex Sans" w:cs="IBM Plex Sans" w:eastAsia="IBM Plex Sans" w:hAnsi="IBM Plex Sans"/>
                <w:b/>
                <w:bCs/>
                <w:color w:val="13233A"/>
                <w:spacing w:val="10"/>
                <w:sz w:val="40"/>
                <w:szCs w:val="40"/>
              </w:rPr>
              <w:t xml:space="preserve">ETHAN HASKELL</w:t>
            </w:r>
          </w:p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000000"/>
                <w:sz w:val="21"/>
                <w:szCs w:val="21"/>
              </w:rPr>
              <w:t xml:space="preserve">Cybersecurity &amp; Network Systems</w:t>
            </w:r>
          </w:p>
        </w:tc>
        <w:tc>
          <w:tcPr>
            <w:tcW w:type="dxa" w:w="15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right"/>
            </w:pPr>
            <w:r>
              <w:rPr>
                <w:rFonts w:ascii="IBM Plex Sans" w:cs="IBM Plex Sans" w:eastAsia="IBM Plex Sans" w:hAnsi="IBM Plex Sans"/>
                <w:i/>
                <w:iCs/>
                <w:color w:val="6B7686"/>
                <w:sz w:val="13"/>
                <w:szCs w:val="13"/>
              </w:rPr>
              <w:t xml:space="preserve">scan for portfolio</w:t>
            </w:r>
          </w:p>
        </w:tc>
      </w:tr>
    </w:tbl>
    <w:p>
      <w:pPr>
        <w:spacing w:after="5" w:before="65"/>
      </w:pPr>
      <w:r>
        <w:rPr>
          <w:rFonts w:ascii="IBM Plex Sans" w:cs="IBM Plex Sans" w:eastAsia="IBM Plex Sans" w:hAnsi="IBM Plex Sans"/>
          <w:color w:val="3D4C61"/>
          <w:sz w:val="18"/>
          <w:szCs w:val="18"/>
        </w:rPr>
        <w:t xml:space="preserve">Ellicott City, Maryland  |  410-940-7116  |  ehas2026@gmail.com</w:t>
      </w:r>
    </w:p>
    <w:p>
      <w:pPr>
        <w:pBdr>
          <w:bottom w:val="single" w:color="D8DCE2" w:sz="4"/>
        </w:pBdr>
        <w:spacing w:after="28"/>
      </w:pPr>
      <w:r>
        <w:rPr>
          <w:rFonts w:ascii="IBM Plex Sans" w:cs="IBM Plex Sans" w:eastAsia="IBM Plex Sans" w:hAnsi="IBM Plex Sans"/>
          <w:color w:val="3D4C61"/>
          <w:sz w:val="18"/>
          <w:szCs w:val="18"/>
        </w:rPr>
        <w:t xml:space="preserve">linkedin.com/in/ethan-h-2745282a6  |  github.com/cyberskell  |  cyberskell.com</w:t>
      </w:r>
    </w:p>
    <w:p>
      <w:pPr>
        <w:pBdr>
          <w:bottom w:val="single" w:color="13233A" w:sz="8"/>
        </w:pBdr>
        <w:spacing w:after="22" w:before="38"/>
      </w:pPr>
      <w:r>
        <w:rPr>
          <w:rFonts w:ascii="IBM Plex Sans" w:cs="IBM Plex Sans" w:eastAsia="IBM Plex Sans" w:hAnsi="IBM Plex Sans"/>
          <w:b/>
          <w:bCs/>
          <w:color w:val="13233A"/>
          <w:spacing w:val="20"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IBM Plex Sans" w:cs="IBM Plex Sans" w:eastAsia="IBM Plex Sans" w:hAnsi="IBM Plex Sans"/>
          <w:color w:val="23262B"/>
          <w:sz w:val="17"/>
          <w:szCs w:val="17"/>
        </w:rPr>
        <w:t xml:space="preserve">Networking infrastructure student with a focus in cybersecurity at Bowie State University, with hands-on experience in enterprise network administration, workstation support, and self-hosted servers; pursuing CompTIA Network+ and Security+. Experienced resolving issues for non-technical staff and end users through IT internships with the Supreme Court of the United States and the City of Baltimore. Eagle Scout known for reliability, professionalism, and clear communication.</w:t>
      </w:r>
    </w:p>
    <w:p>
      <w:pPr>
        <w:pBdr>
          <w:bottom w:val="single" w:color="13233A" w:sz="8"/>
        </w:pBdr>
        <w:spacing w:after="22" w:before="38"/>
      </w:pPr>
      <w:r>
        <w:rPr>
          <w:rFonts w:ascii="IBM Plex Sans" w:cs="IBM Plex Sans" w:eastAsia="IBM Plex Sans" w:hAnsi="IBM Plex Sans"/>
          <w:b/>
          <w:bCs/>
          <w:color w:val="13233A"/>
          <w:spacing w:val="20"/>
          <w:sz w:val="20"/>
          <w:szCs w:val="20"/>
        </w:rPr>
        <w:t xml:space="preserve">EDUCATION</w:t>
      </w:r>
    </w:p>
    <w:tbl>
      <w:tblPr>
        <w:tblW w:type="dxa" w:w="109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  <w:gridCol w:w="2740"/>
      </w:tblGrid>
      <w:tr>
        <w:tc>
          <w:tcPr>
            <w:tcW w:type="dxa" w:w="8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" w:before="38"/>
            </w:pPr>
            <w:r>
              <w:rPr>
                <w:rFonts w:ascii="IBM Plex Sans" w:cs="IBM Plex Sans" w:eastAsia="IBM Plex Sans" w:hAnsi="IBM Plex Sans"/>
                <w:b/>
                <w:bCs/>
                <w:color w:val="1A1D21"/>
                <w:sz w:val="19"/>
                <w:szCs w:val="19"/>
              </w:rPr>
              <w:t xml:space="preserve">B.S. Networking Infrastructure, Focus in Cybersecurity — Bowie State University</w:t>
            </w:r>
          </w:p>
        </w:tc>
        <w:tc>
          <w:tcPr>
            <w:tcW w:type="dxa" w:w="27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5" w:before="38"/>
              <w:jc w:val="right"/>
            </w:pPr>
            <w:r>
              <w:rPr>
                <w:rFonts w:ascii="IBM Plex Sans" w:cs="IBM Plex Sans" w:eastAsia="IBM Plex Sans" w:hAnsi="IBM Plex Sans"/>
                <w:color w:val="6B7686"/>
                <w:sz w:val="17"/>
                <w:szCs w:val="17"/>
              </w:rPr>
              <w:t xml:space="preserve">Expected Dec. 2026</w:t>
            </w:r>
          </w:p>
        </w:tc>
      </w:tr>
    </w:tbl>
    <w:p>
      <w:pPr>
        <w:spacing w:after="24"/>
      </w:pPr>
      <w:r>
        <w:rPr>
          <w:rFonts w:ascii="IBM Plex Sans" w:cs="IBM Plex Sans" w:eastAsia="IBM Plex Sans" w:hAnsi="IBM Plex Sans"/>
          <w:i/>
          <w:iCs/>
          <w:color w:val="3D4C61"/>
          <w:sz w:val="17"/>
          <w:szCs w:val="17"/>
        </w:rPr>
        <w:t xml:space="preserve">GPA: 3.2 / 4.0</w:t>
      </w:r>
    </w:p>
    <w:p>
      <w:pPr>
        <w:spacing w:after="19"/>
      </w:pPr>
      <w:r>
        <w:rPr>
          <w:rFonts w:ascii="IBM Plex Sans" w:cs="IBM Plex Sans" w:eastAsia="IBM Plex Sans" w:hAnsi="IBM Plex Sans"/>
          <w:b/>
          <w:bCs/>
          <w:color w:val="13233A"/>
          <w:sz w:val="18"/>
          <w:szCs w:val="18"/>
        </w:rPr>
        <w:t xml:space="preserve">Relevant Coursework:  </w:t>
      </w:r>
      <w:r>
        <w:rPr>
          <w:rFonts w:ascii="IBM Plex Sans" w:cs="IBM Plex Sans" w:eastAsia="IBM Plex Sans" w:hAnsi="IBM Plex Sans"/>
          <w:color w:val="23262B"/>
          <w:sz w:val="18"/>
          <w:szCs w:val="18"/>
        </w:rPr>
        <w:t xml:space="preserve">Client Operating Systems, Windows Server Administration, PC Architecture, Computer Networking, Foundations of Computer and Network Security, Internet Technology, Database Development</w:t>
      </w:r>
    </w:p>
    <w:p>
      <w:pPr>
        <w:spacing w:after="19"/>
      </w:pPr>
      <w:r>
        <w:rPr>
          <w:rFonts w:ascii="IBM Plex Sans" w:cs="IBM Plex Sans" w:eastAsia="IBM Plex Sans" w:hAnsi="IBM Plex Sans"/>
          <w:b/>
          <w:bCs/>
          <w:color w:val="13233A"/>
          <w:sz w:val="18"/>
          <w:szCs w:val="18"/>
        </w:rPr>
        <w:t xml:space="preserve">Certifications:  </w:t>
      </w:r>
      <w:r>
        <w:rPr>
          <w:rFonts w:ascii="IBM Plex Sans" w:cs="IBM Plex Sans" w:eastAsia="IBM Plex Sans" w:hAnsi="IBM Plex Sans"/>
          <w:color w:val="23262B"/>
          <w:sz w:val="18"/>
          <w:szCs w:val="18"/>
        </w:rPr>
        <w:t xml:space="preserve">CompTIA Network+ and Security+ — in progress</w:t>
      </w:r>
    </w:p>
    <w:p>
      <w:pPr>
        <w:pBdr>
          <w:bottom w:val="single" w:color="13233A" w:sz="8"/>
        </w:pBdr>
        <w:spacing w:after="22" w:before="38"/>
      </w:pPr>
      <w:r>
        <w:rPr>
          <w:rFonts w:ascii="IBM Plex Sans" w:cs="IBM Plex Sans" w:eastAsia="IBM Plex Sans" w:hAnsi="IBM Plex Sans"/>
          <w:b/>
          <w:bCs/>
          <w:color w:val="13233A"/>
          <w:spacing w:val="20"/>
          <w:sz w:val="20"/>
          <w:szCs w:val="20"/>
        </w:rPr>
        <w:t xml:space="preserve">SKILLS</w:t>
      </w:r>
    </w:p>
    <w:p>
      <w:pPr>
        <w:spacing w:after="19"/>
      </w:pPr>
      <w:r>
        <w:rPr>
          <w:rFonts w:ascii="IBM Plex Sans" w:cs="IBM Plex Sans" w:eastAsia="IBM Plex Sans" w:hAnsi="IBM Plex Sans"/>
          <w:b/>
          <w:bCs/>
          <w:color w:val="13233A"/>
          <w:sz w:val="18"/>
          <w:szCs w:val="18"/>
        </w:rPr>
        <w:t xml:space="preserve">Systems &amp; Support:  </w:t>
      </w:r>
      <w:r>
        <w:rPr>
          <w:rFonts w:ascii="IBM Plex Sans" w:cs="IBM Plex Sans" w:eastAsia="IBM Plex Sans" w:hAnsi="IBM Plex Sans"/>
          <w:color w:val="23262B"/>
          <w:sz w:val="18"/>
          <w:szCs w:val="18"/>
        </w:rPr>
        <w:t xml:space="preserve">Windows, Windows Server, Linux (Ubuntu), Active Directory administration, account and access management, hardware/software troubleshooting, PC architecture, system maintenance and updates</w:t>
      </w:r>
    </w:p>
    <w:p>
      <w:pPr>
        <w:spacing w:after="19"/>
      </w:pPr>
      <w:r>
        <w:rPr>
          <w:rFonts w:ascii="IBM Plex Sans" w:cs="IBM Plex Sans" w:eastAsia="IBM Plex Sans" w:hAnsi="IBM Plex Sans"/>
          <w:b/>
          <w:bCs/>
          <w:color w:val="13233A"/>
          <w:sz w:val="18"/>
          <w:szCs w:val="18"/>
        </w:rPr>
        <w:t xml:space="preserve">Virtualization &amp; Cloud:  </w:t>
      </w:r>
      <w:r>
        <w:rPr>
          <w:rFonts w:ascii="IBM Plex Sans" w:cs="IBM Plex Sans" w:eastAsia="IBM Plex Sans" w:hAnsi="IBM Plex Sans"/>
          <w:color w:val="23262B"/>
          <w:sz w:val="18"/>
          <w:szCs w:val="18"/>
        </w:rPr>
        <w:t xml:space="preserve">Proxmox, Docker, VMware, VirtualBox, Azure</w:t>
      </w:r>
    </w:p>
    <w:p>
      <w:pPr>
        <w:spacing w:after="19"/>
      </w:pPr>
      <w:r>
        <w:rPr>
          <w:rFonts w:ascii="IBM Plex Sans" w:cs="IBM Plex Sans" w:eastAsia="IBM Plex Sans" w:hAnsi="IBM Plex Sans"/>
          <w:b/>
          <w:bCs/>
          <w:color w:val="13233A"/>
          <w:sz w:val="18"/>
          <w:szCs w:val="18"/>
        </w:rPr>
        <w:t xml:space="preserve">Networking:  </w:t>
      </w:r>
      <w:r>
        <w:rPr>
          <w:rFonts w:ascii="IBM Plex Sans" w:cs="IBM Plex Sans" w:eastAsia="IBM Plex Sans" w:hAnsi="IBM Plex Sans"/>
          <w:color w:val="23262B"/>
          <w:sz w:val="18"/>
          <w:szCs w:val="18"/>
        </w:rPr>
        <w:t xml:space="preserve">TCP/IP, DNS, DHCP, VPN (WireGuard), switch and router configuration, firewall configuration, network monitoring tools, wireless networking, connectivity troubleshooting</w:t>
      </w:r>
    </w:p>
    <w:p>
      <w:pPr>
        <w:spacing w:after="19"/>
      </w:pPr>
      <w:r>
        <w:rPr>
          <w:rFonts w:ascii="IBM Plex Sans" w:cs="IBM Plex Sans" w:eastAsia="IBM Plex Sans" w:hAnsi="IBM Plex Sans"/>
          <w:b/>
          <w:bCs/>
          <w:color w:val="13233A"/>
          <w:sz w:val="18"/>
          <w:szCs w:val="18"/>
        </w:rPr>
        <w:t xml:space="preserve">Tools &amp; Productivity:  </w:t>
      </w:r>
      <w:r>
        <w:rPr>
          <w:rFonts w:ascii="IBM Plex Sans" w:cs="IBM Plex Sans" w:eastAsia="IBM Plex Sans" w:hAnsi="IBM Plex Sans"/>
          <w:color w:val="23262B"/>
          <w:sz w:val="18"/>
          <w:szCs w:val="18"/>
        </w:rPr>
        <w:t xml:space="preserve">Microsoft Excel, Power BI, Git, command-line utilities, Python, SQL, Java, IT ticketing/helpdesk systems</w:t>
      </w:r>
    </w:p>
    <w:p>
      <w:pPr>
        <w:spacing w:after="19"/>
      </w:pPr>
      <w:r>
        <w:rPr>
          <w:rFonts w:ascii="IBM Plex Sans" w:cs="IBM Plex Sans" w:eastAsia="IBM Plex Sans" w:hAnsi="IBM Plex Sans"/>
          <w:b/>
          <w:bCs/>
          <w:color w:val="13233A"/>
          <w:sz w:val="18"/>
          <w:szCs w:val="18"/>
        </w:rPr>
        <w:t xml:space="preserve">Professional:  </w:t>
      </w:r>
      <w:r>
        <w:rPr>
          <w:rFonts w:ascii="IBM Plex Sans" w:cs="IBM Plex Sans" w:eastAsia="IBM Plex Sans" w:hAnsi="IBM Plex Sans"/>
          <w:color w:val="23262B"/>
          <w:sz w:val="18"/>
          <w:szCs w:val="18"/>
        </w:rPr>
        <w:t xml:space="preserve">Customer support &amp; service-desk best practices, technical documentation, cross-team collaboration, issue escalation and follow-through</w:t>
      </w:r>
    </w:p>
    <w:p>
      <w:pPr>
        <w:pBdr>
          <w:bottom w:val="single" w:color="13233A" w:sz="8"/>
        </w:pBdr>
        <w:spacing w:after="22" w:before="38"/>
      </w:pPr>
      <w:r>
        <w:rPr>
          <w:rFonts w:ascii="IBM Plex Sans" w:cs="IBM Plex Sans" w:eastAsia="IBM Plex Sans" w:hAnsi="IBM Plex Sans"/>
          <w:b/>
          <w:bCs/>
          <w:color w:val="13233A"/>
          <w:spacing w:val="20"/>
          <w:sz w:val="20"/>
          <w:szCs w:val="20"/>
        </w:rPr>
        <w:t xml:space="preserve">TECHNICAL PROJECTS</w:t>
      </w:r>
    </w:p>
    <w:p>
      <w:pPr>
        <w:spacing w:after="5" w:before="38"/>
      </w:pPr>
      <w:r>
        <w:rPr>
          <w:rFonts w:ascii="IBM Plex Sans" w:cs="IBM Plex Sans" w:eastAsia="IBM Plex Sans" w:hAnsi="IBM Plex Sans"/>
          <w:b/>
          <w:bCs/>
          <w:color w:val="1A1D21"/>
          <w:sz w:val="19"/>
          <w:szCs w:val="19"/>
        </w:rPr>
        <w:t xml:space="preserve">Personal Home Lab — System Administration &amp; Troubleshooting</w:t>
      </w:r>
    </w:p>
    <w:p>
      <w:pPr>
        <w:pStyle w:val="ListParagraph"/>
        <w:numPr>
          <w:ilvl w:val="0"/>
          <w:numId w:val="1"/>
        </w:numPr>
        <w:spacing w:after="11"/>
      </w:pPr>
      <w:r>
        <w:rPr>
          <w:rFonts w:ascii="IBM Plex Sans" w:cs="IBM Plex Sans" w:eastAsia="IBM Plex Sans" w:hAnsi="IBM Plex Sans"/>
          <w:color w:val="23262B"/>
          <w:sz w:val="17"/>
          <w:szCs w:val="17"/>
        </w:rPr>
        <w:t xml:space="preserve">Built and maintain a multi-service server environment on Proxmox, deploying and supporting Docker-containerized applications (media server, game server) — including installs, updates, backups, and diagnosing service outages.</w:t>
      </w:r>
    </w:p>
    <w:p>
      <w:pPr>
        <w:pStyle w:val="ListParagraph"/>
        <w:numPr>
          <w:ilvl w:val="0"/>
          <w:numId w:val="1"/>
        </w:numPr>
        <w:spacing w:after="11"/>
      </w:pPr>
      <w:r>
        <w:rPr>
          <w:rFonts w:ascii="IBM Plex Sans" w:cs="IBM Plex Sans" w:eastAsia="IBM Plex Sans" w:hAnsi="IBM Plex Sans"/>
          <w:color w:val="23262B"/>
          <w:sz w:val="17"/>
          <w:szCs w:val="17"/>
        </w:rPr>
        <w:t xml:space="preserve">Run a personal DNS server to monitor incoming network traffic and block unwanted applications at the network level, backed by custom firewall rules.</w:t>
      </w:r>
    </w:p>
    <w:p>
      <w:pPr>
        <w:spacing w:after="5" w:before="38"/>
      </w:pPr>
      <w:r>
        <w:rPr>
          <w:rFonts w:ascii="IBM Plex Sans" w:cs="IBM Plex Sans" w:eastAsia="IBM Plex Sans" w:hAnsi="IBM Plex Sans"/>
          <w:b/>
          <w:bCs/>
          <w:color w:val="1A1D21"/>
          <w:sz w:val="19"/>
          <w:szCs w:val="19"/>
        </w:rPr>
        <w:t xml:space="preserve">Self-Hosted Web Server (github.com/cyberskell/cyberskell-web-dns-server)</w:t>
      </w:r>
    </w:p>
    <w:p>
      <w:pPr>
        <w:pStyle w:val="ListParagraph"/>
        <w:numPr>
          <w:ilvl w:val="0"/>
          <w:numId w:val="1"/>
        </w:numPr>
        <w:spacing w:after="11"/>
      </w:pPr>
      <w:r>
        <w:rPr>
          <w:rFonts w:ascii="IBM Plex Sans" w:cs="IBM Plex Sans" w:eastAsia="IBM Plex Sans" w:hAnsi="IBM Plex Sans"/>
          <w:color w:val="23262B"/>
          <w:sz w:val="17"/>
          <w:szCs w:val="17"/>
        </w:rPr>
        <w:t xml:space="preserve">Deployed an Ubuntu Server running the Apache HTTP Server, configured with a custom domain and IP-based access control to restrict incoming connections.</w:t>
      </w:r>
    </w:p>
    <w:p>
      <w:pPr>
        <w:pStyle w:val="ListParagraph"/>
        <w:numPr>
          <w:ilvl w:val="0"/>
          <w:numId w:val="1"/>
        </w:numPr>
        <w:spacing w:after="11"/>
      </w:pPr>
      <w:r>
        <w:rPr>
          <w:rFonts w:ascii="IBM Plex Sans" w:cs="IBM Plex Sans" w:eastAsia="IBM Plex Sans" w:hAnsi="IBM Plex Sans"/>
          <w:color w:val="23262B"/>
          <w:sz w:val="17"/>
          <w:szCs w:val="17"/>
        </w:rPr>
        <w:t xml:space="preserve">Set up Apache virtual hosts and DNS routing, then hardened the server against unauthorized access with firewall rules on top of Apache's own access controls; perform ongoing maintenance and patching.</w:t>
      </w:r>
    </w:p>
    <w:p>
      <w:pPr>
        <w:spacing w:after="5" w:before="38"/>
      </w:pPr>
      <w:r>
        <w:rPr>
          <w:rFonts w:ascii="IBM Plex Sans" w:cs="IBM Plex Sans" w:eastAsia="IBM Plex Sans" w:hAnsi="IBM Plex Sans"/>
          <w:b/>
          <w:bCs/>
          <w:color w:val="1A1D21"/>
          <w:sz w:val="19"/>
          <w:szCs w:val="19"/>
        </w:rPr>
        <w:t xml:space="preserve">Hybrid Identity, Cloud Infrastructure &amp; Disaster Recovery Lab | Azure, Windows Server 2022, AD</w:t>
      </w:r>
    </w:p>
    <w:p>
      <w:pPr>
        <w:pStyle w:val="ListParagraph"/>
        <w:numPr>
          <w:ilvl w:val="0"/>
          <w:numId w:val="1"/>
        </w:numPr>
        <w:spacing w:after="11"/>
      </w:pPr>
      <w:r>
        <w:rPr>
          <w:rFonts w:ascii="IBM Plex Sans" w:cs="IBM Plex Sans" w:eastAsia="IBM Plex Sans" w:hAnsi="IBM Plex Sans"/>
          <w:color w:val="23262B"/>
          <w:sz w:val="17"/>
          <w:szCs w:val="17"/>
        </w:rPr>
        <w:t xml:space="preserve">Designed a segmented Azure network with an IP-restricted jumpbox, private domain controller, and NAT Gateway; built an AD forest, joined VMs to the domain, and synced users to Microsoft Entra ID with Entra Connect.</w:t>
      </w:r>
    </w:p>
    <w:p>
      <w:pPr>
        <w:pStyle w:val="ListParagraph"/>
        <w:numPr>
          <w:ilvl w:val="0"/>
          <w:numId w:val="1"/>
        </w:numPr>
        <w:spacing w:after="11"/>
      </w:pPr>
      <w:r>
        <w:rPr>
          <w:rFonts w:ascii="IBM Plex Sans" w:cs="IBM Plex Sans" w:eastAsia="IBM Plex Sans" w:hAnsi="IBM Plex Sans"/>
          <w:color w:val="23262B"/>
          <w:sz w:val="17"/>
          <w:szCs w:val="17"/>
        </w:rPr>
        <w:t xml:space="preserve">Built an AD CS Enterprise Root CA with Group Policy auto-enrollment and NPS/RADIUS with EAP-TLS, verified end to end in NPS audit logs; configured Azure File Sync with cloud tiering.</w:t>
      </w:r>
    </w:p>
    <w:p>
      <w:pPr>
        <w:pStyle w:val="ListParagraph"/>
        <w:numPr>
          <w:ilvl w:val="0"/>
          <w:numId w:val="1"/>
        </w:numPr>
        <w:spacing w:after="11"/>
      </w:pPr>
      <w:r>
        <w:rPr>
          <w:rFonts w:ascii="IBM Plex Sans" w:cs="IBM Plex Sans" w:eastAsia="IBM Plex Sans" w:hAnsi="IBM Plex Sans"/>
          <w:color w:val="23262B"/>
          <w:sz w:val="17"/>
          <w:szCs w:val="17"/>
        </w:rPr>
        <w:t xml:space="preserve">Implemented Azure Backup and Azure Site Recovery with a cross-region test failover; resolved Azure Policy, SKU, and quota blockers with Azure CLI.</w:t>
      </w:r>
    </w:p>
    <w:p>
      <w:pPr>
        <w:pBdr>
          <w:bottom w:val="single" w:color="13233A" w:sz="8"/>
        </w:pBdr>
        <w:spacing w:after="22" w:before="38"/>
      </w:pPr>
      <w:r>
        <w:rPr>
          <w:rFonts w:ascii="IBM Plex Sans" w:cs="IBM Plex Sans" w:eastAsia="IBM Plex Sans" w:hAnsi="IBM Plex Sans"/>
          <w:b/>
          <w:bCs/>
          <w:color w:val="13233A"/>
          <w:spacing w:val="20"/>
          <w:sz w:val="20"/>
          <w:szCs w:val="20"/>
        </w:rPr>
        <w:t xml:space="preserve">WORK EXPERIENCE</w:t>
      </w:r>
    </w:p>
    <w:tbl>
      <w:tblPr>
        <w:tblW w:type="dxa" w:w="109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  <w:gridCol w:w="2740"/>
      </w:tblGrid>
      <w:tr>
        <w:tc>
          <w:tcPr>
            <w:tcW w:type="dxa" w:w="8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" w:before="38"/>
            </w:pPr>
            <w:r>
              <w:rPr>
                <w:rFonts w:ascii="IBM Plex Sans" w:cs="IBM Plex Sans" w:eastAsia="IBM Plex Sans" w:hAnsi="IBM Plex Sans"/>
                <w:b/>
                <w:bCs/>
                <w:color w:val="1A1D21"/>
                <w:sz w:val="19"/>
                <w:szCs w:val="19"/>
              </w:rPr>
              <w:t xml:space="preserve">IT Operations Intern — Network Administration &amp; Workstation Administration Groups</w:t>
            </w:r>
          </w:p>
        </w:tc>
        <w:tc>
          <w:tcPr>
            <w:tcW w:type="dxa" w:w="27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5" w:before="38"/>
              <w:jc w:val="right"/>
            </w:pPr>
            <w:r>
              <w:rPr>
                <w:rFonts w:ascii="IBM Plex Sans" w:cs="IBM Plex Sans" w:eastAsia="IBM Plex Sans" w:hAnsi="IBM Plex Sans"/>
                <w:color w:val="6B7686"/>
                <w:sz w:val="17"/>
                <w:szCs w:val="17"/>
              </w:rPr>
              <w:t xml:space="preserve">Sept. 2026 – Jan. 2027</w:t>
            </w:r>
          </w:p>
        </w:tc>
      </w:tr>
    </w:tbl>
    <w:p>
      <w:pPr>
        <w:spacing w:after="24"/>
      </w:pPr>
      <w:r>
        <w:rPr>
          <w:rFonts w:ascii="IBM Plex Sans" w:cs="IBM Plex Sans" w:eastAsia="IBM Plex Sans" w:hAnsi="IBM Plex Sans"/>
          <w:i/>
          <w:iCs/>
          <w:color w:val="3D4C61"/>
          <w:sz w:val="17"/>
          <w:szCs w:val="17"/>
        </w:rPr>
        <w:t xml:space="preserve">Supreme Court of the United States</w:t>
      </w:r>
    </w:p>
    <w:p>
      <w:pPr>
        <w:pStyle w:val="ListParagraph"/>
        <w:numPr>
          <w:ilvl w:val="0"/>
          <w:numId w:val="1"/>
        </w:numPr>
        <w:spacing w:after="11"/>
      </w:pPr>
      <w:r>
        <w:rPr>
          <w:rFonts w:ascii="IBM Plex Sans" w:cs="IBM Plex Sans" w:eastAsia="IBM Plex Sans" w:hAnsi="IBM Plex Sans"/>
          <w:color w:val="23262B"/>
          <w:sz w:val="17"/>
          <w:szCs w:val="17"/>
        </w:rPr>
        <w:t xml:space="preserve">Supported both the Network Administration Group (NAG) and Workstation Administration Group (WAG), gaining hands-on exposure to enterprise networking environments, system monitoring, hardware deployments, and end-user technical support.</w:t>
      </w:r>
    </w:p>
    <w:p>
      <w:pPr>
        <w:pStyle w:val="ListParagraph"/>
        <w:numPr>
          <w:ilvl w:val="0"/>
          <w:numId w:val="1"/>
        </w:numPr>
        <w:spacing w:after="11"/>
      </w:pPr>
      <w:r>
        <w:rPr>
          <w:rFonts w:ascii="IBM Plex Sans" w:cs="IBM Plex Sans" w:eastAsia="IBM Plex Sans" w:hAnsi="IBM Plex Sans"/>
          <w:color w:val="23262B"/>
          <w:sz w:val="17"/>
          <w:szCs w:val="17"/>
        </w:rPr>
        <w:t xml:space="preserve">Split time between proactive network monitoring and operational tasks within NAG — including switch and router configuration and troubleshooting using network monitoring tools — and direct, user-facing technical support within WAG.</w:t>
      </w:r>
    </w:p>
    <w:p>
      <w:pPr>
        <w:pStyle w:val="ListParagraph"/>
        <w:numPr>
          <w:ilvl w:val="0"/>
          <w:numId w:val="1"/>
        </w:numPr>
        <w:spacing w:after="11"/>
      </w:pPr>
      <w:r>
        <w:rPr>
          <w:rFonts w:ascii="IBM Plex Sans" w:cs="IBM Plex Sans" w:eastAsia="IBM Plex Sans" w:hAnsi="IBM Plex Sans"/>
          <w:color w:val="23262B"/>
          <w:sz w:val="17"/>
          <w:szCs w:val="17"/>
        </w:rPr>
        <w:t xml:space="preserve">Tracked and resolved issues through IT ticketing systems, applying customer service best practices and following documentation standards for hardware deployments and support requests.</w:t>
      </w:r>
    </w:p>
    <w:tbl>
      <w:tblPr>
        <w:tblW w:type="dxa" w:w="109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  <w:gridCol w:w="2740"/>
      </w:tblGrid>
      <w:tr>
        <w:tc>
          <w:tcPr>
            <w:tcW w:type="dxa" w:w="8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" w:before="38"/>
            </w:pPr>
            <w:r>
              <w:rPr>
                <w:rFonts w:ascii="IBM Plex Sans" w:cs="IBM Plex Sans" w:eastAsia="IBM Plex Sans" w:hAnsi="IBM Plex Sans"/>
                <w:b/>
                <w:bCs/>
                <w:color w:val="1A1D21"/>
                <w:sz w:val="19"/>
                <w:szCs w:val="19"/>
              </w:rPr>
              <w:t xml:space="preserve">Full-Stack Database &amp; Software Development Intern</w:t>
            </w:r>
          </w:p>
        </w:tc>
        <w:tc>
          <w:tcPr>
            <w:tcW w:type="dxa" w:w="27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5" w:before="38"/>
              <w:jc w:val="right"/>
            </w:pPr>
            <w:r>
              <w:rPr>
                <w:rFonts w:ascii="IBM Plex Sans" w:cs="IBM Plex Sans" w:eastAsia="IBM Plex Sans" w:hAnsi="IBM Plex Sans"/>
                <w:color w:val="6B7686"/>
                <w:sz w:val="17"/>
                <w:szCs w:val="17"/>
              </w:rPr>
              <w:t xml:space="preserve">May 2025 – Aug. 2025</w:t>
            </w:r>
          </w:p>
        </w:tc>
      </w:tr>
    </w:tbl>
    <w:p>
      <w:pPr>
        <w:spacing w:after="24"/>
      </w:pPr>
      <w:r>
        <w:rPr>
          <w:rFonts w:ascii="IBM Plex Sans" w:cs="IBM Plex Sans" w:eastAsia="IBM Plex Sans" w:hAnsi="IBM Plex Sans"/>
          <w:i/>
          <w:iCs/>
          <w:color w:val="3D4C61"/>
          <w:sz w:val="17"/>
          <w:szCs w:val="17"/>
        </w:rPr>
        <w:t xml:space="preserve">Baltimore City Fellows Internship — City of Baltimore, Office of the Comptroller</w:t>
      </w:r>
    </w:p>
    <w:p>
      <w:pPr>
        <w:pStyle w:val="ListParagraph"/>
        <w:numPr>
          <w:ilvl w:val="0"/>
          <w:numId w:val="1"/>
        </w:numPr>
        <w:spacing w:after="11"/>
      </w:pPr>
      <w:r>
        <w:rPr>
          <w:rFonts w:ascii="IBM Plex Sans" w:cs="IBM Plex Sans" w:eastAsia="IBM Plex Sans" w:hAnsi="IBM Plex Sans"/>
          <w:color w:val="23262B"/>
          <w:sz w:val="17"/>
          <w:szCs w:val="17"/>
        </w:rPr>
        <w:t xml:space="preserve">Worked directly with non-technical staff across IT and operations teams to translate their needs into technical requirements and deliver a dashboard that departments used daily.</w:t>
      </w:r>
    </w:p>
    <w:p>
      <w:pPr>
        <w:pStyle w:val="ListParagraph"/>
        <w:numPr>
          <w:ilvl w:val="0"/>
          <w:numId w:val="1"/>
        </w:numPr>
        <w:spacing w:after="11"/>
      </w:pPr>
      <w:r>
        <w:rPr>
          <w:rFonts w:ascii="IBM Plex Sans" w:cs="IBM Plex Sans" w:eastAsia="IBM Plex Sans" w:hAnsi="IBM Plex Sans"/>
          <w:color w:val="23262B"/>
          <w:sz w:val="17"/>
          <w:szCs w:val="17"/>
        </w:rPr>
        <w:t xml:space="preserve">Led full-stack development of an interactive dashboard that automated previously manual daily data updates, reducing repetitive reporting work and improving data quality across departmental records; documented the build for staff handoff and training.</w:t>
      </w:r>
    </w:p>
    <w:p>
      <w:pPr>
        <w:pBdr>
          <w:bottom w:val="single" w:color="13233A" w:sz="8"/>
        </w:pBdr>
        <w:spacing w:after="22" w:before="38"/>
      </w:pPr>
      <w:r>
        <w:rPr>
          <w:rFonts w:ascii="IBM Plex Sans" w:cs="IBM Plex Sans" w:eastAsia="IBM Plex Sans" w:hAnsi="IBM Plex Sans"/>
          <w:b/>
          <w:bCs/>
          <w:color w:val="13233A"/>
          <w:spacing w:val="20"/>
          <w:sz w:val="20"/>
          <w:szCs w:val="20"/>
        </w:rPr>
        <w:t xml:space="preserve">LEADERSHIP &amp; VOLUNTEER EXPERIENCE</w:t>
      </w:r>
    </w:p>
    <w:p>
      <w:pPr>
        <w:pStyle w:val="ListParagraph"/>
        <w:numPr>
          <w:ilvl w:val="0"/>
          <w:numId w:val="1"/>
        </w:numPr>
        <w:spacing w:after="11"/>
      </w:pPr>
      <w:r>
        <w:rPr>
          <w:rFonts w:ascii="IBM Plex Sans" w:cs="IBM Plex Sans" w:eastAsia="IBM Plex Sans" w:hAnsi="IBM Plex Sans"/>
          <w:color w:val="23262B"/>
          <w:sz w:val="17"/>
          <w:szCs w:val="17"/>
        </w:rPr>
        <w:t xml:space="preserve">Eagle Scout — Boy Scouts of America: led and documented a multi-volunteer service project from planning through completion.</w:t>
      </w:r>
    </w:p>
    <w:p>
      <w:pPr>
        <w:pStyle w:val="ListParagraph"/>
        <w:numPr>
          <w:ilvl w:val="0"/>
          <w:numId w:val="1"/>
        </w:numPr>
        <w:spacing w:after="11"/>
      </w:pPr>
      <w:r>
        <w:rPr>
          <w:rFonts w:ascii="IBM Plex Sans" w:cs="IBM Plex Sans" w:eastAsia="IBM Plex Sans" w:hAnsi="IBM Plex Sans"/>
          <w:color w:val="23262B"/>
          <w:sz w:val="17"/>
          <w:szCs w:val="17"/>
        </w:rPr>
        <w:t xml:space="preserve">BDPA Baltimore Metro, Charter Member (2023–Present)  |  BSU Collegiate Chapter, Project Coordinator (2025)  |  HSCC, Election Chair (2025) &amp; Student Volunteer (2023–Present)</w:t>
      </w:r>
    </w:p>
    <w:sectPr>
      <w:pgSz w:w="12240" w:h="15840" w:orient="portrait"/>
      <w:pgMar w:top="150" w:right="560" w:bottom="15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2dc5028aec758df5e28b1fdcc2ad4fa79eed6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Ethan Haskell — Resume</dc:title>
  <dc:creator>Ethan Haskell</dc:creator>
  <cp:lastModifiedBy>Ethan Haskell</cp:lastModifiedBy>
  <cp:revision>1</cp:revision>
  <dcterms:created xsi:type="dcterms:W3CDTF">2026-10-10T16:01:29.895Z</dcterms:created>
  <dcterms:modified xsi:type="dcterms:W3CDTF">2026-10-10T16:01:29.895Z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